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"1-4"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14:paraId="25611BA5" w14:textId="3872EF37">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bidi w:val="1"/>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14:paraId="558E3B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1" w:name="_Toc238572009"/>
      <w:r>
        <w:rPr>
          <w:rFonts w:ascii="Times New Roman" w:hAnsi="Times New Roman" w:cs="B Titr" w:eastAsia="Times New Roman"/>
          <w:b/>
          <w:bCs/>
          <w:color w:val="000000"/>
          <w:sz w:val="30"/>
          <w:szCs w:val="30"/>
          <w:rtl w:val="1"/>
          <w:cs w:val="1"/>
          <w:lang w:bidi="fa-IR"/>
        </w:rPr>
        <w:lastRenderedPageBreak/>
        <w:t xml:space="preserve">۱-۵- فرضیه‌های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5" w:name="_Toc238572011"/>
      <w:r>
        <w:rPr>
          <w:rFonts w:ascii="Times New Roman" w:hAnsi="Times New Roman" w:cs="B Titr" w:eastAsia="Times New Roman"/>
          <w:b/>
          <w:bCs/>
          <w:color w:val="000000"/>
          <w:sz w:val="30"/>
          <w:szCs w:val="30"/>
          <w:rtl w:val="1"/>
          <w:cs w:val="1"/>
          <w:lang w:bidi="fa-IR"/>
        </w:rPr>
        <w:t xml:space="preserve">۱-۵-۲- فرضیه‌های فرعی:</w:t>
      </w:r>
      <w:bookmarkEnd w:id="15"/>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4" w:name="_Toc238572018"/>
      <w:r>
        <w:rPr>
          <w:rFonts w:ascii="Times New Roman" w:hAnsi="Times New Roman" w:cs="B Titr" w:eastAsia="Times New Roman"/>
          <w:b/>
          <w:bCs/>
          <w:color w:val="000000"/>
          <w:sz w:val="30"/>
          <w:szCs w:val="30"/>
          <w:rtl w:val="1"/>
          <w:cs w:val="1"/>
          <w:lang w:bidi="fa-IR"/>
        </w:rPr>
        <w:t xml:space="preserve">۲-۱-۲- نظریه‌های سالمندی</w:t>
      </w:r>
      <w:bookmarkEnd w:id="24"/>
    </w:p>
    <w:p>
      <w:pPr>
        <w:bidi w:val="1"/>
        <w:jc w:val="center"/>
      </w:pPr>
      <w:r>
        <w:drawing xmlns:a="http://schemas.openxmlformats.org/drawingml/2006/main" xmlns:pic="http://schemas.openxmlformats.org/drawingml/2006/picture">
          <wp:inline distT="0" distB="0" distL="0" distR="0">
            <wp:extent cx="5669280" cy="3526015"/>
            <wp:effectExtent l="0" t="0" r="0" b="0"/>
            <wp:docPr id="100" name="tree1.png" descr="درختواره نظریه‌های سالمندی"/>
            <wp:cNvGraphicFramePr>
              <a:graphicFrameLocks noChangeAspect="1"/>
            </wp:cNvGraphicFramePr>
            <a:graphic>
              <a:graphicData uri="http://schemas.openxmlformats.org/drawingml/2006/picture">
                <pic:pic>
                  <pic:nvPicPr>
                    <pic:cNvPr id="0" name="tree1.png"/>
                    <pic:cNvPicPr>
                      <a:picLocks noChangeAspect="1" noChangeArrowheads="1"/>
                    </pic:cNvPicPr>
                  </pic:nvPicPr>
                  <pic:blipFill>
                    <a:blip r:embed="rIdTreePng1"/>
                    <a:stretch>
                      <a:fillRect/>
                    </a:stretch>
                  </pic:blipFill>
                  <pic:spPr bwMode="auto">
                    <a:xfrm>
                      <a:off x="0" y="0"/>
                      <a:ext cx="5669280" cy="3526015"/>
                    </a:xfrm>
                    <a:prstGeom prst="rect">
                      <a:avLst/>
                    </a:prstGeom>
                  </pic:spPr>
                </pic:pic>
              </a:graphicData>
            </a: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۱- درختواره نظریه‌های سالمندی (شاخه زیست‌شناختی، روان‌شناختی و جامعه‌شناختی)</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32F7C692" w14:textId="77777777">
      <w:pPr>
        <w:bidi w:val="1"/>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xml:space="preserve">،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14:paraId="7CC44E55"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8" w:name="_Toc238572021"/>
      <w:r>
        <w:rPr>
          <w:rFonts w:ascii="Times New Roman" w:hAnsi="Times New Roman" w:cs="B Titr" w:eastAsia="Times New Roman"/>
          <w:b/>
          <w:bCs/>
          <w:color w:val="000000"/>
          <w:sz w:val="30"/>
          <w:szCs w:val="30"/>
          <w:rtl w:val="1"/>
          <w:cs w:val="1"/>
          <w:lang w:bidi="fa-IR"/>
        </w:rPr>
        <w:t xml:space="preserve">۲-۱-۲-۱-۲- نظریه پیر شدن سلولی</w:t>
      </w:r>
      <w:bookmarkEnd w:id="28"/>
    </w:p>
    <w:p w14:paraId="5A7126E9"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14:paraId="79F4BF84"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Style w:val="FootnoteReference"/>
          <w:rFonts w:ascii="Times New Roman" w:eastAsia="Times New Roman" w:hAnsi="Times New Roman" w:hint="cs" w:cs="Times New Roman"/>
          <w:lang w:bidi="fa-IR" w:val="en-US"/>
          <w:sz w:val="20"/>
          <w:szCs w:val="20"/>
          <w:vertAlign w:val="superscript"/>
          <w:rtl w:val="0"/>
        </w:rPr>
        <w:footnoteReference w:id="15"/>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Style w:val="FootnoteReference"/>
          <w:rFonts w:ascii="Times New Roman" w:eastAsia="Times New Roman" w:hAnsi="Times New Roman" w:hint="cs" w:cs="Times New Roman"/>
          <w:lang w:bidi="fa-IR" w:val="en-US"/>
          <w:sz w:val="20"/>
          <w:szCs w:val="20"/>
          <w:vertAlign w:val="superscript"/>
          <w:rtl w:val="0"/>
        </w:rPr>
        <w:footnoteReference w:id="19"/>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rPr>
          <w:rFonts w:ascii="Times New Roman" w:hAnsi="Times New Roman" w:eastAsia="Times New Roman" w:cs="B Titr"/>
          <w:rtl w:val="1"/>
          <w:cs w:val="1"/>
          <w:lang w:bidi="fa-IR" w:val="en-US"/>
        </w:rPr>
      </w:pPr>
      <w:bookmarkStart w:id="5002" w:name="_Toc238572200"/>
      <w:r>
        <w:rPr>
          <w:rFonts w:ascii="Times New Roman" w:hAnsi="Times New Roman" w:eastAsia="Times New Roman" w:cs="B Titr"/>
          <w:b/>
          <w:bCs/>
          <w:sz w:val="28"/>
          <w:szCs w:val="28"/>
          <w:rtl w:val="1"/>
          <w:cs w:val="1"/>
          <w:lang w:bidi="fa-IR" w:val="en-US"/>
        </w:rPr>
        <w:t>۲-۱-۲-۲-۴- نظریه انتخاب اجتماعی-هیجانی</w:t>
      </w:r>
      <w:bookmarkEnd w:id="500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eastAsia="Times New Roman" w:cs="B Lotus"/>
          <w:sz w:val="28"/>
          <w:szCs w:val="28"/>
          <w:rtl/>
          <w:cs/>
          <w:lang w:bidi="fa-IR" w:val="en-US"/>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eastAsia="Times New Roman" w:cs="B Lotus"/>
          <w:sz w:val="28"/>
          <w:szCs w:val="28"/>
          <w:rtl/>
          <w:cs/>
          <w:lang w:bidi="fa-IR" w:val="en-US"/>
        </w:rPr>
        <w:t>، ۱۹۹۹؛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eastAsia="Times New Roman" w:cs="B Lotus"/>
          <w:sz w:val="28"/>
          <w:szCs w:val="28"/>
          <w:rtl/>
          <w:cs/>
          <w:lang w:bidi="fa-IR" w:val="en-US"/>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eastAsia="Times New Roman" w:cs="B Lotus"/>
          <w:sz w:val="28"/>
          <w:szCs w:val="28"/>
          <w:rtl/>
          <w:cs/>
          <w:lang w:bidi="fa-IR" w:val="en-US"/>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eastAsia="Times New Roman" w:cs="B Lotus"/>
          <w:sz w:val="28"/>
          <w:szCs w:val="28"/>
          <w:rtl/>
          <w:cs/>
          <w:lang w:bidi="fa-IR" w:val="en-US"/>
        </w:rPr>
        <w:t>، ۲۰۱۴؛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bidi w:val="1"/>
        <w:jc w:val="center"/>
      </w:pPr>
      <w:r>
        <w:drawing xmlns:a="http://schemas.openxmlformats.org/drawingml/2006/main" xmlns:pic="http://schemas.openxmlformats.org/drawingml/2006/picture">
          <wp:inline distT="0" distB="0" distL="0" distR="0">
            <wp:extent cx="5669280" cy="3526015"/>
            <wp:effectExtent l="0" t="0" r="0" b="0"/>
            <wp:docPr id="101" name="tree2.png" descr="درختواره اضطراب مرگ"/>
            <wp:cNvGraphicFramePr>
              <a:graphicFrameLocks noChangeAspect="1"/>
            </wp:cNvGraphicFramePr>
            <a:graphic>
              <a:graphicData uri="http://schemas.openxmlformats.org/drawingml/2006/picture">
                <pic:pic>
                  <pic:nvPicPr>
                    <pic:cNvPr id="0" name="tree2.png"/>
                    <pic:cNvPicPr>
                      <a:picLocks noChangeAspect="1" noChangeArrowheads="1"/>
                    </pic:cNvPicPr>
                  </pic:nvPicPr>
                  <pic:blipFill>
                    <a:blip r:embed="rIdTreePng2"/>
                    <a:stretch>
                      <a:fillRect/>
                    </a:stretch>
                  </pic:blipFill>
                  <pic:spPr bwMode="auto">
                    <a:xfrm>
                      <a:off x="0" y="0"/>
                      <a:ext cx="5669280" cy="3526015"/>
                    </a:xfrm>
                    <a:prstGeom prst="rect">
                      <a:avLst/>
                    </a:prstGeom>
                  </pic:spPr>
                </pic:pic>
              </a:graphicData>
            </a: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۲- درختواره اضطراب مرگ (نظریه‌ها، ابعاد، عوامل و پیامدها)</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Style w:val="FootnoteReference"/>
          <w:rFonts w:ascii="Times New Roman" w:eastAsia="Times New Roman" w:hAnsi="Times New Roman" w:hint="cs" w:cs="Times New Roman"/>
          <w:lang w:bidi="fa-IR" w:val="en-US"/>
          <w:sz w:val="20"/>
          <w:szCs w:val="20"/>
          <w:vertAlign w:val="superscript"/>
          <w:rtl w:val="0"/>
        </w:rPr>
        <w:footnoteReference w:id="31"/>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Style w:val="FootnoteReference"/>
          <w:rFonts w:ascii="Times New Roman" w:eastAsia="Times New Roman" w:hAnsi="Times New Roman" w:hint="cs" w:cs="Times New Roman"/>
          <w:lang w:bidi="fa-IR" w:val="en-US"/>
          <w:sz w:val="20"/>
          <w:szCs w:val="20"/>
          <w:vertAlign w:val="superscript"/>
          <w:rtl w:val="0"/>
        </w:rPr>
        <w:footnoteReference w:id="80"/>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14:paraId="7311123B" w14:textId="77777777">
      <w:pPr>
        <w:bidi w:val="1"/>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14:paraId="1050A04F" w14:textId="77777777">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14:paraId="54DBB1F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bidi w:val="1"/>
        <w:jc w:val="center"/>
      </w:pPr>
      <w:r>
        <w:drawing xmlns:a="http://schemas.openxmlformats.org/drawingml/2006/main" xmlns:pic="http://schemas.openxmlformats.org/drawingml/2006/picture">
          <wp:inline distT="0" distB="0" distL="0" distR="0">
            <wp:extent cx="5669280" cy="3526015"/>
            <wp:effectExtent l="0" t="0" r="0" b="0"/>
            <wp:docPr id="102" name="tree3.png" descr="درختواره هوش معنوی"/>
            <wp:cNvGraphicFramePr>
              <a:graphicFrameLocks noChangeAspect="1"/>
            </wp:cNvGraphicFramePr>
            <a:graphic>
              <a:graphicData uri="http://schemas.openxmlformats.org/drawingml/2006/picture">
                <pic:pic>
                  <pic:nvPicPr>
                    <pic:cNvPr id="0" name="tree3.png"/>
                    <pic:cNvPicPr>
                      <a:picLocks noChangeAspect="1" noChangeArrowheads="1"/>
                    </pic:cNvPicPr>
                  </pic:nvPicPr>
                  <pic:blipFill>
                    <a:blip r:embed="rIdTreePng3"/>
                    <a:stretch>
                      <a:fillRect/>
                    </a:stretch>
                  </pic:blipFill>
                  <pic:spPr bwMode="auto">
                    <a:xfrm>
                      <a:off x="0" y="0"/>
                      <a:ext cx="5669280" cy="3526015"/>
                    </a:xfrm>
                    <a:prstGeom prst="rect">
                      <a:avLst/>
                    </a:prstGeom>
                  </pic:spPr>
                </pic:pic>
              </a:graphicData>
            </a: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۳- درختواره هوش معنوی (مفهوم، فضیلت‌گرایی، عوامل و مدل چهارعاملی کینگ)</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14:paraId="772319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60" w:name="_Toc238572046"/>
      <w:r>
        <w:rPr>
          <w:rFonts w:ascii="Times New Roman" w:hAnsi="Times New Roman" w:cs="B Titr" w:eastAsia="Times New Roman"/>
          <w:b/>
          <w:bCs/>
          <w:color w:val="000000"/>
          <w:kern w:val="32"/>
          <w:sz w:val="30"/>
          <w:szCs w:val="30"/>
          <w:rtl w:val="1"/>
          <w:cs w:val="1"/>
          <w:lang w:bidi="fa-IR"/>
        </w:rPr>
        <w:t xml:space="preserve">۲-۳-۳- عوامل مؤثر بر هوش معنوی</w:t>
      </w:r>
      <w:bookmarkEnd w:id="58"/>
      <w:bookmarkEnd w:id="60"/>
    </w:p>
    <w:p w14:paraId="39BF5CC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rPr>
          <w:rFonts w:ascii="Times New Roman" w:hAnsi="Times New Roman" w:eastAsia="Times New Roman" w:cs="B Titr"/>
          <w:rtl w:val="1"/>
          <w:cs w:val="1"/>
          <w:lang w:bidi="fa-IR" w:val="en-US"/>
        </w:rPr>
      </w:pPr>
      <w:bookmarkStart w:id="5003" w:name="_Toc238572201"/>
      <w:r>
        <w:rPr>
          <w:rFonts w:ascii="Times New Roman" w:hAnsi="Times New Roman" w:eastAsia="Times New Roman" w:cs="B Titr"/>
          <w:b/>
          <w:bCs/>
          <w:sz w:val="28"/>
          <w:szCs w:val="28"/>
          <w:rtl w:val="1"/>
          <w:cs w:val="1"/>
          <w:lang w:bidi="fa-IR" w:val="en-US"/>
        </w:rPr>
        <w:t>۲-۳-۴- مدل چهارعاملی هوش معنوی کینگ</w:t>
      </w:r>
      <w:bookmarkEnd w:id="5003"/>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و دی‌سیکو</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bidi w:val="1"/>
        <w:jc w:val="center"/>
      </w:pPr>
      <w:r>
        <w:drawing xmlns:a="http://schemas.openxmlformats.org/drawingml/2006/main" xmlns:pic="http://schemas.openxmlformats.org/drawingml/2006/picture">
          <wp:inline distT="0" distB="0" distL="0" distR="0">
            <wp:extent cx="5669280" cy="3526015"/>
            <wp:effectExtent l="0" t="0" r="0" b="0"/>
            <wp:docPr id="103" name="tree4.png" descr="درختواره اضطراب سلامت"/>
            <wp:cNvGraphicFramePr>
              <a:graphicFrameLocks noChangeAspect="1"/>
            </wp:cNvGraphicFramePr>
            <a:graphic>
              <a:graphicData uri="http://schemas.openxmlformats.org/drawingml/2006/picture">
                <pic:pic>
                  <pic:nvPicPr>
                    <pic:cNvPr id="0" name="tree4.png"/>
                    <pic:cNvPicPr>
                      <a:picLocks noChangeAspect="1" noChangeArrowheads="1"/>
                    </pic:cNvPicPr>
                  </pic:nvPicPr>
                  <pic:blipFill>
                    <a:blip r:embed="rIdTreePng4"/>
                    <a:stretch>
                      <a:fillRect/>
                    </a:stretch>
                  </pic:blipFill>
                  <pic:spPr bwMode="auto">
                    <a:xfrm>
                      <a:off x="0" y="0"/>
                      <a:ext cx="5669280" cy="3526015"/>
                    </a:xfrm>
                    <a:prstGeom prst="rect">
                      <a:avLst/>
                    </a:prstGeom>
                  </pic:spPr>
                </pic:pic>
              </a:graphicData>
            </a: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۴- درختواره اضطراب سلامت (مفهوم، مدل‌های نظری، عوامل و مداخلات)</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Style w:val="FootnoteReference"/>
          <w:rFonts w:ascii="Times New Roman" w:eastAsia="Times New Roman" w:hAnsi="Times New Roman" w:hint="cs" w:cs="Times New Roman"/>
          <w:lang w:bidi="fa-IR" w:val="en-US"/>
          <w:sz w:val="20"/>
          <w:szCs w:val="20"/>
          <w:vertAlign w:val="superscript"/>
          <w:rtl w:val="0"/>
        </w:rPr>
        <w:footnoteReference w:id="105"/>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صورت‌بندی کلاسیک این مدل را سالکوویس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۴- باور به ناکافی‌بودن یا غیرقابل‌اعتماد بودن خدمات پزشکی (سالکوویس و وارویک، ۱۹۹۰؛ تیلور</w:t>
      </w:r>
      <w:r>
        <w:rPr>
          <w:rStyle w:val="FootnoteReference"/>
          <w:rFonts w:ascii="Times New Roman" w:eastAsia="Times New Roman" w:hAnsi="Times New Roman" w:hint="cs" w:cs="Times New Roman"/>
          <w:lang w:bidi="fa-IR" w:val="en-US"/>
          <w:sz w:val="20"/>
          <w:szCs w:val="20"/>
          <w:vertAlign w:val="superscript"/>
          <w:rtl w:val="0"/>
        </w:rPr>
        <w:footnoteReference w:id="54"/>
      </w:r>
      <w:r>
        <w:rPr>
          <w:rFonts w:ascii="Times New Roman" w:hAnsi="Times New Roman" w:eastAsia="Times New Roman" w:cs="B Lotus"/>
          <w:sz w:val="28"/>
          <w:szCs w:val="28"/>
          <w:rtl/>
          <w:cs/>
          <w:lang w:bidi="fa-IR" w:val="en-US"/>
        </w:rPr>
        <w:t xml:space="preserve"> و آسموندسون</w:t>
      </w:r>
      <w:r>
        <w:rPr>
          <w:rStyle w:val="FootnoteReference"/>
          <w:rFonts w:ascii="Times New Roman" w:eastAsia="Times New Roman" w:hAnsi="Times New Roman" w:hint="cs" w:cs="Times New Roman"/>
          <w:lang w:bidi="fa-IR" w:val="en-US"/>
          <w:sz w:val="20"/>
          <w:szCs w:val="20"/>
          <w:vertAlign w:val="superscript"/>
          <w:rtl w:val="0"/>
        </w:rPr>
        <w:footnoteReference w:id="49"/>
      </w:r>
      <w:r>
        <w:rPr>
          <w:rFonts w:ascii="Times New Roman" w:hAnsi="Times New Roman" w:eastAsia="Times New Roman" w:cs="B Lotus"/>
          <w:sz w:val="28"/>
          <w:szCs w:val="28"/>
          <w:rtl/>
          <w:cs/>
          <w:lang w:bidi="fa-IR" w:val="en-US"/>
        </w:rPr>
        <w:t>،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سالکووسکیس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۲۰۲۳؛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 تیلور و آسموندسون،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14:paraId="64F4397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دلبستگی بالبی</w:t>
      </w:r>
      <w:r>
        <w:rPr>
          <w:rStyle w:val="FootnoteReference"/>
          <w:rFonts w:ascii="Times New Roman" w:eastAsia="Times New Roman" w:hAnsi="Times New Roman" w:hint="cs" w:cs="Times New Roman"/>
          <w:lang w:bidi="fa-IR" w:val="en-US"/>
          <w:sz w:val="20"/>
          <w:szCs w:val="20"/>
          <w:vertAlign w:val="superscript"/>
          <w:rtl w:val="0"/>
        </w:rPr>
        <w:footnoteReference w:id="98"/>
      </w:r>
      <w:r>
        <w:rPr>
          <w:rFonts w:ascii="Times New Roman" w:hAnsi="Times New Roman" w:eastAsia="Times New Roman" w:cs="B Lotus"/>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از جمله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14:paraId="6A5047B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14:paraId="24DB7519"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14:paraId="3E0E6B6F"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14:paraId="7731F1CE"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14:paraId="2981B68E" w14:textId="77777777">
      <w:pPr>
        <w:bidi w:val="1"/>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0" w:name="_Toc238572061"/>
      <w:r>
        <w:rPr>
          <w:rFonts w:ascii="Times New Roman" w:hAnsi="Times New Roman" w:cs="B Titr" w:eastAsia="Times New Roman"/>
          <w:b/>
          <w:bCs/>
          <w:color w:val="000000"/>
          <w:sz w:val="30"/>
          <w:szCs w:val="30"/>
          <w:rtl w:val="1"/>
          <w:cs w:val="1"/>
          <w:lang w:bidi="fa-IR"/>
        </w:rPr>
        <w:t xml:space="preserve">۳-۲- جامعه، نمونه و روش نمونه‌گیری</w:t>
      </w:r>
      <w:bookmarkEnd w:id="80"/>
    </w:p>
    <w:p w14:paraId="2937E5F2" w14:textId="4CE88DDD">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14:paraId="6BA5CAEF"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3" w:name="_Toc238572064"/>
      <w:r>
        <w:rPr>
          <w:rFonts w:ascii="Times New Roman" w:hAnsi="Times New Roman" w:cs="B Titr" w:eastAsia="Times New Roman"/>
          <w:b/>
          <w:bCs/>
          <w:color w:val="000000"/>
          <w:sz w:val="30"/>
          <w:szCs w:val="30"/>
          <w:rtl w:val="1"/>
          <w:cs w:val="1"/>
          <w:lang w:bidi="fa-IR"/>
        </w:rPr>
        <w:t xml:space="preserve">۳-۳-۲- پرسشنامه اضطراب مرگ (DAS)</w:t>
      </w:r>
      <w:r>
        <w:rPr>
          <w:rFonts w:ascii="Times New Roman" w:hAnsi="Times New Roman" w:cs="B Titr" w:eastAsia="Times New Roman"/>
          <w:b/>
          <w:bCs/>
          <w:color w:val="000000"/>
          <w:sz w:val="30"/>
          <w:szCs w:val="30"/>
          <w:rtl w:val="1"/>
          <w:cs w:val="1"/>
          <w:lang w:bidi="fa-IR" w:val="en-US"/>
        </w:rPr>
        <w:t xml:space="preserve"/>
      </w:r>
      <w:bookmarkEnd w:id="83"/>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4" w:name="_Toc238572065"/>
      <w:r>
        <w:rPr>
          <w:rFonts w:ascii="Times New Roman" w:hAnsi="Times New Roman" w:cs="B Titr" w:eastAsia="Times New Roman"/>
          <w:b/>
          <w:bCs/>
          <w:color w:val="000000"/>
          <w:sz w:val="30"/>
          <w:szCs w:val="30"/>
          <w:rtl w:val="1"/>
          <w:cs w:val="1"/>
          <w:lang w:bidi="fa-IR"/>
        </w:rPr>
        <w:t xml:space="preserve">۳-۳-۳- پرسشنامه اضطراب سلامتی (HAI)</w:t>
      </w:r>
      <w:r>
        <w:rPr>
          <w:rFonts w:ascii="Times New Roman" w:hAnsi="Times New Roman" w:cs="B Titr" w:eastAsia="Times New Roman"/>
          <w:b/>
          <w:bCs/>
          <w:color w:val="000000"/>
          <w:sz w:val="30"/>
          <w:szCs w:val="30"/>
          <w:rtl w:val="1"/>
          <w:cs w:val="1"/>
          <w:lang w:bidi="fa-IR" w:val="en-US"/>
        </w:rPr>
        <w:t/>
      </w:r>
      <w:bookmarkEnd w:id="84"/>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14:paraId="766EA293" w14:textId="13CE6418">
      <w:pPr>
        <w:bidi w:val="1"/>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14:paraId="326A488A"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90" w:name="_Toc238572069"/>
      <w:r>
        <w:rPr>
          <w:rFonts w:ascii="Times New Roman" w:hAnsi="Times New Roman" w:cs="B Titr" w:eastAsia="Times New Roman"/>
          <w:b/>
          <w:bCs/>
          <w:color w:val="000000"/>
          <w:sz w:val="30"/>
          <w:szCs w:val="30"/>
          <w:rtl w:val="1"/>
          <w:cs w:val="1"/>
          <w:lang w:bidi="fa-IR"/>
        </w:rPr>
        <w:t xml:space="preserve">۴-۱- یافته‌های توصیفی</w:t>
      </w:r>
      <w:bookmarkEnd w:id="90"/>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bookmarkStart w:id="135" w:name="_Toc238572091"/>
      <w:r>
        <w:rPr>
          <w:rFonts w:ascii="Times New Roman" w:hAnsi="Times New Roman" w:cs="B Titr" w:eastAsia="Times New Roman"/>
          <w:b/>
          <w:bCs/>
          <w:color w:val="000000"/>
          <w:sz w:val="30"/>
          <w:szCs w:val="30"/>
          <w:rtl w:val="1"/>
          <w:cs w:val="1"/>
          <w:lang w:bidi="fa-IR"/>
        </w:rPr>
        <w:t xml:space="preserve">۴-۲- یافته‌های استنباطی</w:t>
      </w:r>
      <w:r>
        <w:rPr>
          <w:rFonts w:ascii="Times New Roman" w:hAnsi="Times New Roman" w:cs="B Titr" w:eastAsia="Times New Roman"/>
          <w:b/>
          <w:bCs/>
          <w:color w:val="000000"/>
          <w:sz w:val="30"/>
          <w:szCs w:val="30"/>
          <w:rtl w:val="1"/>
          <w:cs w:val="1"/>
          <w:lang w:bidi="fa-IR"/>
        </w:rPr>
        <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bidi w:val="1"/>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14:paraId="19E4176B"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val="1"/>
          <w:cs w:val="1"/>
          <w:lang w:bidi="fa-IR"/>
        </w:rPr>
        <w:t xml:space="preserve">۵-۲- محدودیت‌های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bidi w:val="1"/>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bidi w:val="1"/>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r>
        <w:rPr>
          <w:rFonts w:ascii="Times New Roman" w:hAnsi="Times New Roman" w:eastAsia="Times New Roman" w:cs="Times New Roman"/>
          <w:rtl w:val="0"/>
          <w:cs w:val="0"/>
          <w:lang w:val="en-US"/>
        </w:rPr>
        <w:t xml:space="preserve"> </w:t>
      </w:r>
      <w:hyperlink r:id="rIdDoiLopez23" w:history="1">
        <w:r>
          <w:rPr>
            <w:rFonts w:ascii="Times New Roman" w:hAnsi="Times New Roman" w:eastAsia="Times New Roman" w:cs="B Lotus"/>
            <w:rStyle w:val="Hyperlink"/>
            <w:sz w:val="28"/>
            <w:szCs w:val="28"/>
            <w:rtl w:val="0"/>
            <w:cs w:val="0"/>
            <w:lang w:val="en-US"/>
          </w:rPr>
          <w:t>https://doi.org/10.1016/j.cell.2022.11.001</w:t>
        </w:r>
      </w:hyperlink>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w:t>
      </w:r>
      <w:r>
        <w:rPr>
          <w:rFonts w:ascii="Times New Roman" w:hAnsi="Times New Roman" w:cs="Times New Roman" w:eastAsia="Times New Roman"/>
          <w:sz w:val="24"/>
          <w:szCs w:val="24"/>
          <w:rtl w:val="0"/>
          <w:cs w:val="0"/>
          <w:lang w:val="en-US"/>
        </w:rPr>
        <w:t xml:space="preserve">, L. F; van </w:t>
      </w:r>
      <w:r>
        <w:rPr>
          <w:rFonts w:ascii="Times New Roman" w:hAnsi="Times New Roman" w:cs="Times New Roman" w:eastAsia="Times New Roman"/>
          <w:sz w:val="24"/>
          <w:szCs w:val="24"/>
          <w:rtl w:val="0"/>
          <w:cs w:val="0"/>
          <w:lang w:val="en-US"/>
        </w:rPr>
        <w:t>Harreveld</w:t>
      </w:r>
      <w:r>
        <w:rPr>
          <w:rFonts w:ascii="Times New Roman" w:hAnsi="Times New Roman" w:cs="Times New Roman" w:eastAsia="Times New Roman"/>
          <w:sz w:val="24"/>
          <w:szCs w:val="24"/>
          <w:rtl w:val="0"/>
          <w:cs w:val="0"/>
          <w:lang w:val="en-US"/>
        </w:rPr>
        <w:t xml:space="preserve">, F., &amp; van der </w:t>
      </w:r>
      <w:r>
        <w:rPr>
          <w:rFonts w:ascii="Times New Roman" w:hAnsi="Times New Roman" w:cs="Times New Roman" w:eastAsia="Times New Roman"/>
          <w:sz w:val="24"/>
          <w:szCs w:val="24"/>
          <w:rtl w:val="0"/>
          <w:cs w:val="0"/>
          <w:lang w:val="en-US"/>
        </w:rPr>
        <w:t>Pligt</w:t>
      </w:r>
      <w:r>
        <w:rPr>
          <w:rFonts w:ascii="Times New Roman" w:hAnsi="Times New Roman" w:cs="Times New Roman" w:eastAsia="Times New Roman"/>
          <w:sz w:val="24"/>
          <w:szCs w:val="24"/>
          <w:rtl w:val="0"/>
          <w:cs w:val="0"/>
          <w:lang w:val="en-US"/>
        </w:rPr>
        <w:t xml:space="preserve">, J. (2022). The psychology of death anxiety and mortality </w:t>
      </w:r>
      <w:r>
        <w:rPr>
          <w:rFonts w:ascii="Times New Roman" w:hAnsi="Times New Roman" w:cs="Times New Roman" w:eastAsia="Times New Roman"/>
          <w:sz w:val="24"/>
          <w:szCs w:val="24"/>
          <w:rtl w:val="0"/>
          <w:cs w:val="0"/>
          <w:lang w:val="en-US"/>
        </w:rPr>
        <w:t>salience.</w:t>
      </w:r>
      <w:r>
        <w:rPr>
          <w:rFonts w:ascii="Times New Roman" w:hAnsi="Times New Roman" w:cs="Times New Roman" w:eastAsia="Times New Roman"/>
          <w:noProof/>
          <w:sz w:val="24"/>
          <w:szCs w:val="24"/>
          <w:rtl w:val="0"/>
          <w:cs w:val="0"/>
          <w:lang w:val="en-US"/>
        </w:rPr>
        <w:t>Noyes</w:t>
      </w:r>
      <w:r>
        <w:rPr>
          <w:rFonts w:ascii="Times New Roman" w:hAnsi="Times New Roman" w:cs="Times New Roman" w:eastAsia="Times New Roman"/>
          <w:noProof/>
          <w:sz w:val="24"/>
          <w:szCs w:val="24"/>
          <w:rtl w:val="0"/>
          <w:cs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Inflammaging</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Franceschi</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Westerhof</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Bohlmeijer</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McAdams</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Rowe</w:t>
      </w:r>
    </w:p>
  </w:footnote>
  <w:footnote w:id="12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Kahn</w:t>
      </w:r>
    </w:p>
  </w:footnote>
  <w:footnote w:id="12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Pyszczynski, Lockett, Greenberg &amp; Solomon</w:t>
      </w:r>
    </w:p>
  </w:footnote>
  <w:footnote w:id="12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Iverach</w:t>
      </w:r>
    </w:p>
  </w:footnote>
  <w:footnote w:id="12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Menzies</w:t>
      </w:r>
    </w:p>
  </w:footnote>
  <w:footnote w:id="12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Meaning Management Theory</w:t>
      </w:r>
    </w:p>
  </w:footnote>
  <w:footnote w:id="12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Wong</w:t>
      </w:r>
    </w:p>
  </w:footnote>
  <w:footnote w:id="12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 w:id="12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2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2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Braddock</w:t>
      </w:r>
    </w:p>
  </w:footnote>
  <w:footnote w:id="13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Haigh</w:t>
      </w:r>
    </w:p>
  </w:footnote>
  <w:footnote w:id="13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3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3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Png1" Type="http://schemas.openxmlformats.org/officeDocument/2006/relationships/image" Target="media/tree1.png"/><Relationship Id="rIdTreePng2" Type="http://schemas.openxmlformats.org/officeDocument/2006/relationships/image" Target="media/tree2.png"/><Relationship Id="rIdTreePng3" Type="http://schemas.openxmlformats.org/officeDocument/2006/relationships/image" Target="media/tree3.png"/><Relationship Id="rIdTreePng4" Type="http://schemas.openxmlformats.org/officeDocument/2006/relationships/image" Target="media/tree4.png"/><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SST99" Type="http://schemas.openxmlformats.org/officeDocument/2006/relationships/hyperlink" Target="https://doi.org/10.1037/0003-066X.54.3.165" TargetMode="External"/><Relationship Id="rIdDoiReed14" Type="http://schemas.openxmlformats.org/officeDocument/2006/relationships/hyperlink" Target="https://doi.org/10.1037/a0035194"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Hav61" Type="http://schemas.openxmlformats.org/officeDocument/2006/relationships/hyperlink" Target="https://doi.org/10.1093/geront/1.1.8" TargetMode="External"/><Relationship Id="rIdDoiAtchley89" Type="http://schemas.openxmlformats.org/officeDocument/2006/relationships/hyperlink" Target="https://doi.org/10.1093/geront/29.2.183"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