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"1-4"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 فرضیه‌های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 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 (DAS)</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 (HAI)</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14:paraId="25611BA5" w14:textId="3872EF37">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bidi w:val="1"/>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14:paraId="558E3B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1" w:name="_Toc238572009"/>
      <w:r>
        <w:rPr>
          <w:rFonts w:ascii="Times New Roman" w:hAnsi="Times New Roman" w:cs="B Titr" w:eastAsia="Times New Roman"/>
          <w:b/>
          <w:bCs/>
          <w:color w:val="000000"/>
          <w:sz w:val="30"/>
          <w:szCs w:val="30"/>
          <w:rtl w:val="1"/>
          <w:cs w:val="1"/>
          <w:lang w:bidi="fa-IR"/>
        </w:rPr>
        <w:lastRenderedPageBreak/>
        <w:t xml:space="preserve">۱-۵- فرضیه‌های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5" w:name="_Toc238572011"/>
      <w:r>
        <w:rPr>
          <w:rFonts w:ascii="Times New Roman" w:hAnsi="Times New Roman" w:cs="B Titr" w:eastAsia="Times New Roman"/>
          <w:b/>
          <w:bCs/>
          <w:color w:val="000000"/>
          <w:sz w:val="30"/>
          <w:szCs w:val="30"/>
          <w:rtl w:val="1"/>
          <w:cs w:val="1"/>
          <w:lang w:bidi="fa-IR"/>
        </w:rPr>
        <w:t xml:space="preserve">۱-۵-۲- فرضیه‌های فرعی:</w:t>
      </w:r>
      <w:bookmarkEnd w:id="15"/>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4" w:name="_Toc238572018"/>
      <w:r>
        <w:rPr>
          <w:rFonts w:ascii="Times New Roman" w:hAnsi="Times New Roman" w:cs="B Titr" w:eastAsia="Times New Roman"/>
          <w:b/>
          <w:bCs/>
          <w:color w:val="000000"/>
          <w:sz w:val="30"/>
          <w:szCs w:val="30"/>
          <w:rtl w:val="1"/>
          <w:cs w:val="1"/>
          <w:lang w:bidi="fa-IR"/>
        </w:rPr>
        <w:t xml:space="preserve">۲-۱-۲- نظریه‌های سالمندی</w:t>
      </w:r>
      <w:bookmarkEnd w:id="24"/>
    </w:p>
    <w:p>
      <w:pPr>
        <w:jc w:val="center"/>
        <w:bidi w:val="0"/>
      </w:pPr>
      <w:r>
        <w:drawing>
          <wp:inline distT="0" distB="0" distL="0" distR="0">
            <wp:extent cx="5669280" cy="4297680"/>
            <wp:effectExtent l="0" t="0" r="0" b="0"/>
            <wp:docPr id="20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۱- درختواره نظریه‌های سالمندی (شاخه زیست‌شناختی، روان‌شناختی و جامعه‌شناختی)</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pPr>
        <w:bidi w:val="1"/>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w:t>
      </w:r>
      <w:r>
        <w:rPr>
          <w:rFonts w:ascii="Times New Roman" w:hAnsi="Times New Roman" w:hint="cs"/>
          <w:lang w:bidi="fa-IR"/>
          <w:rtl/>
        </w:rPr>
        <w:t>در کنار این</w:t>
      </w:r>
      <w:r>
        <w:rPr>
          <w:rFonts w:ascii="Times New Roman" w:hAnsi="Times New Roman" w:hint="cs"/>
          <w:lang w:bidi="fa-IR"/>
          <w:rtl/>
        </w:rPr>
        <w:t xml:space="preserve">،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8" w:name="_Toc238572021"/>
      <w:r>
        <w:rPr>
          <w:rFonts w:ascii="Times New Roman" w:hAnsi="Times New Roman" w:cs="B Titr" w:eastAsia="Times New Roman"/>
          <w:b/>
          <w:bCs/>
          <w:color w:val="000000"/>
          <w:sz w:val="30"/>
          <w:szCs w:val="30"/>
          <w:rtl w:val="1"/>
          <w:cs w:val="1"/>
          <w:lang w:bidi="fa-IR"/>
        </w:rPr>
        <w:t xml:space="preserve">۲-۱-۲-۱-۲- نظریه پیر شدن سلولی</w:t>
      </w:r>
      <w:bookmarkEnd w:id="28"/>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در کنار این</w:t>
      </w:r>
      <w:r>
        <w:rPr>
          <w:rFonts w:ascii="Times New Roman" w:hAnsi="Times New Roman" w:hint="cs"/>
          <w:lang w:bidi="fa-IR"/>
          <w:rtl/>
        </w:rPr>
        <w:t xml:space="preserve">،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در کنار این</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Style w:val="FootnoteReference"/>
          <w:rFonts w:ascii="Times New Roman" w:eastAsia="Times New Roman" w:hAnsi="Times New Roman" w:hint="cs" w:cs="Times New Roman"/>
          <w:lang w:bidi="fa-IR" w:val="en-US"/>
          <w:sz w:val="20"/>
          <w:szCs w:val="20"/>
          <w:vertAlign w:val="superscript"/>
          <w:rtl w:val="0"/>
        </w:rPr>
        <w:footnoteReference w:id="15"/>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Style w:val="FootnoteReference"/>
          <w:rFonts w:ascii="Times New Roman" w:eastAsia="Times New Roman" w:hAnsi="Times New Roman" w:hint="cs" w:cs="Times New Roman"/>
          <w:lang w:bidi="fa-IR" w:val="en-US"/>
          <w:sz w:val="20"/>
          <w:szCs w:val="20"/>
          <w:vertAlign w:val="superscript"/>
          <w:rtl w:val="0"/>
        </w:rPr>
        <w:footnoteReference w:id="19"/>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rPr>
          <w:rFonts w:ascii="Times New Roman" w:hAnsi="Times New Roman" w:eastAsia="Times New Roman" w:cs="B Titr"/>
          <w:rtl w:val="1"/>
          <w:cs w:val="1"/>
          <w:lang w:bidi="fa-IR" w:val="en-US"/>
        </w:rPr>
      </w:pPr>
      <w:bookmarkStart w:id="5002" w:name="_Toc238572200"/>
      <w:r>
        <w:rPr>
          <w:rFonts w:ascii="Times New Roman" w:hAnsi="Times New Roman" w:eastAsia="Times New Roman" w:cs="B Titr"/>
          <w:b/>
          <w:bCs/>
          <w:sz w:val="28"/>
          <w:szCs w:val="28"/>
          <w:rtl w:val="1"/>
          <w:cs w:val="1"/>
          <w:lang w:bidi="fa-IR" w:val="en-US"/>
        </w:rPr>
        <w:t>۲-۱-۲-۲-۴- نظریه انتخاب اجتماعی-هیجانی</w:t>
      </w:r>
      <w:bookmarkEnd w:id="500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w:t>
      </w:r>
      <w:r>
        <w:rPr>
          <w:rFonts w:ascii="Times New Roman" w:hAnsi="Times New Roman" w:eastAsia="Times New Roman" w:cs="B Lotus"/>
          <w:sz w:val="28"/>
          <w:szCs w:val="28"/>
          <w:rtl/>
          <w:cs/>
          <w:lang w:bidi="fa-IR" w:val="en-US"/>
        </w:rPr>
        <w:t>نظیر</w:t>
      </w:r>
      <w:r>
        <w:rPr>
          <w:rFonts w:ascii="Times New Roman" w:hAnsi="Times New Roman" w:eastAsia="Times New Roman" w:cs="B Lotus"/>
          <w:sz w:val="28"/>
          <w:szCs w:val="28"/>
          <w:rtl/>
          <w:cs/>
          <w:lang w:bidi="fa-IR" w:val="en-US"/>
        </w:rPr>
        <w:t xml:space="preserve"> آگاهی از پایان زندگی ــ پیشنهاد نموده‌اند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eastAsia="Times New Roman" w:cs="B Lotus"/>
          <w:sz w:val="28"/>
          <w:szCs w:val="28"/>
          <w:rtl/>
          <w:cs/>
          <w:lang w:bidi="fa-IR" w:val="en-US"/>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eastAsia="Times New Roman" w:cs="B Lotus"/>
          <w:sz w:val="28"/>
          <w:szCs w:val="28"/>
          <w:rtl/>
          <w:cs/>
          <w:lang w:bidi="fa-IR" w:val="en-US"/>
        </w:rPr>
        <w:t>، ۱۹۹۹؛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eastAsia="Times New Roman" w:cs="B Lotus"/>
          <w:sz w:val="28"/>
          <w:szCs w:val="28"/>
          <w:rtl/>
          <w:cs/>
          <w:lang w:bidi="fa-IR" w:val="en-US"/>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eastAsia="Times New Roman" w:cs="B Lotus"/>
          <w:sz w:val="28"/>
          <w:szCs w:val="28"/>
          <w:rtl/>
          <w:cs/>
          <w:lang w:bidi="fa-IR" w:val="en-US"/>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eastAsia="Times New Roman" w:cs="B Lotus"/>
          <w:sz w:val="28"/>
          <w:szCs w:val="28"/>
          <w:rtl/>
          <w:cs/>
          <w:lang w:bidi="fa-IR" w:val="en-US"/>
        </w:rPr>
        <w:t>، ۲۰۱۴؛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jc w:val="center"/>
        <w:bidi w:val="0"/>
      </w:pPr>
      <w:r>
        <w:drawing>
          <wp:inline distT="0" distB="0" distL="0" distR="0">
            <wp:extent cx="5669280" cy="3063240"/>
            <wp:effectExtent l="0" t="0" r="0" b="0"/>
            <wp:docPr id="220"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۲- درختواره اضطراب مرگ (نظریه‌ها، ابعاد، عوامل و پیامدها)</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این یافته‌ها، آزمون‌های جدیدتر نظریه مدیریت وحشت نشان می‌دهند که برجسته شدن فناپذیری ــ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Style w:val="FootnoteReference"/>
          <w:rFonts w:ascii="Times New Roman" w:eastAsia="Times New Roman" w:hAnsi="Times New Roman" w:hint="cs" w:cs="Times New Roman"/>
          <w:lang w:bidi="fa-IR" w:val="en-US"/>
          <w:sz w:val="20"/>
          <w:szCs w:val="20"/>
          <w:vertAlign w:val="superscript"/>
          <w:rtl w:val="0"/>
        </w:rPr>
        <w:footnoteReference w:id="31"/>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Style w:val="FootnoteReference"/>
          <w:rFonts w:ascii="Times New Roman" w:eastAsia="Times New Roman" w:hAnsi="Times New Roman" w:hint="cs" w:cs="Times New Roman"/>
          <w:lang w:bidi="fa-IR" w:val="en-US"/>
          <w:sz w:val="20"/>
          <w:szCs w:val="20"/>
          <w:vertAlign w:val="superscript"/>
          <w:rtl w:val="0"/>
        </w:rPr>
        <w:footnoteReference w:id="80"/>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pPr>
        <w:bidi w:val="1"/>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نظیر</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w:t>
      </w:r>
      <w:r>
        <w:rPr>
          <w:rFonts w:ascii="Times New Roman" w:hAnsi="Times New Roman" w:hint="cs"/>
          <w:lang w:bidi="fa-IR"/>
          <w:rtl/>
        </w:rPr>
        <w:t>افزون بر این</w:t>
      </w:r>
      <w:r>
        <w:rPr>
          <w:rFonts w:ascii="Times New Roman" w:hAnsi="Times New Roman" w:hint="cs"/>
          <w:lang w:bidi="fa-IR"/>
          <w:rtl/>
        </w:rPr>
        <w:t xml:space="preserve">،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w:t>
      </w:r>
      <w:r>
        <w:rPr>
          <w:rFonts w:ascii="Times New Roman" w:hAnsi="Times New Roman" w:hint="cs"/>
          <w:lang w:bidi="fa-IR"/>
          <w:rtl/>
        </w:rPr>
        <w:t>نظیر</w:t>
      </w:r>
      <w:r>
        <w:rPr>
          <w:rFonts w:ascii="Times New Roman" w:hAnsi="Times New Roman" w:hint="cs"/>
          <w:lang w:bidi="fa-IR"/>
          <w:rtl/>
        </w:rPr>
        <w:t>:</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jc w:val="center"/>
        <w:bidi w:val="0"/>
      </w:pPr>
      <w:r>
        <w:drawing>
          <wp:inline distT="0" distB="0" distL="0" distR="0">
            <wp:extent cx="5669280" cy="3246120"/>
            <wp:effectExtent l="0" t="0" r="0" b="0"/>
            <wp:docPr id="240"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۳- درختواره هوش معنوی (مفهوم، فضیلت‌گرایی، عوامل و مدل چهارعاملی کینگ)</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60" w:name="_Toc238572046"/>
      <w:r>
        <w:rPr>
          <w:rFonts w:ascii="Times New Roman" w:hAnsi="Times New Roman" w:cs="B Titr" w:eastAsia="Times New Roman"/>
          <w:b/>
          <w:bCs/>
          <w:color w:val="000000"/>
          <w:kern w:val="32"/>
          <w:sz w:val="30"/>
          <w:szCs w:val="30"/>
          <w:rtl w:val="1"/>
          <w:cs w:val="1"/>
          <w:lang w:bidi="fa-IR"/>
        </w:rPr>
        <w:t xml:space="preserve">۲-۳-۳- عوامل مؤثر بر هوش معنوی</w:t>
      </w:r>
      <w:bookmarkEnd w:id="58"/>
      <w:bookmarkEnd w:id="60"/>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افزون بر این</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r>
        <w:rPr>
          <w:rFonts w:ascii="Times New Roman" w:eastAsia="Times New Roman" w:hAnsi="Times New Roman" w:hint="cs"/>
          <w:lang w:bidi="fa-IR"/>
          <w:rtl/>
        </w:rPr>
        <w:t>.</w:t>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w:t>
      </w:r>
      <w:r>
        <w:rPr>
          <w:rFonts w:ascii="Times New Roman" w:eastAsia="Times New Roman" w:hAnsi="Times New Roman" w:hint="cs"/>
          <w:lang w:bidi="fa-IR"/>
          <w:rtl/>
        </w:rPr>
        <w:t>در نتیجه</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rPr>
          <w:rFonts w:ascii="Times New Roman" w:hAnsi="Times New Roman" w:eastAsia="Times New Roman" w:cs="B Titr"/>
          <w:rtl w:val="1"/>
          <w:cs w:val="1"/>
          <w:lang w:bidi="fa-IR" w:val="en-US"/>
        </w:rPr>
      </w:pPr>
      <w:bookmarkStart w:id="5003" w:name="_Toc238572201"/>
      <w:r>
        <w:rPr>
          <w:rFonts w:ascii="Times New Roman" w:hAnsi="Times New Roman" w:eastAsia="Times New Roman" w:cs="B Titr"/>
          <w:b/>
          <w:bCs/>
          <w:sz w:val="28"/>
          <w:szCs w:val="28"/>
          <w:rtl w:val="1"/>
          <w:cs w:val="1"/>
          <w:lang w:bidi="fa-IR" w:val="en-US"/>
        </w:rPr>
        <w:t>۲-۳-۴- مدل چهارعاملی هوش معنوی کینگ</w:t>
      </w:r>
      <w:bookmarkEnd w:id="5003"/>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و دی‌سیکو</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jc w:val="center"/>
        <w:bidi w:val="0"/>
      </w:pPr>
      <w:r>
        <w:drawing>
          <wp:inline distT="0" distB="0" distL="0" distR="0">
            <wp:extent cx="5669280" cy="3154680"/>
            <wp:effectExtent l="0" t="0" r="0" b="0"/>
            <wp:docPr id="260"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۴- درختواره اضطراب سلامت (مفهوم، مدل‌های نظری، عوامل و مداخلات)</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w:t>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w:t>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Style w:val="FootnoteReference"/>
          <w:rFonts w:ascii="Times New Roman" w:eastAsia="Times New Roman" w:hAnsi="Times New Roman" w:hint="cs" w:cs="Times New Roman"/>
          <w:lang w:bidi="fa-IR" w:val="en-US"/>
          <w:sz w:val="20"/>
          <w:szCs w:val="20"/>
          <w:vertAlign w:val="superscript"/>
          <w:rtl w:val="0"/>
        </w:rPr>
        <w:footnoteReference w:id="105"/>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صورت‌بندی کلاسیک این مدل را سالکوویس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۴- باور به ناکافی‌بودن یا غیرقابل‌اعتماد بودن خدمات پزشکی (سالکوویس و وارویک، ۱۹۹۰؛ تیلور</w:t>
      </w:r>
      <w:r>
        <w:rPr>
          <w:rStyle w:val="FootnoteReference"/>
          <w:rFonts w:ascii="Times New Roman" w:eastAsia="Times New Roman" w:hAnsi="Times New Roman" w:hint="cs" w:cs="Times New Roman"/>
          <w:lang w:bidi="fa-IR" w:val="en-US"/>
          <w:sz w:val="20"/>
          <w:szCs w:val="20"/>
          <w:vertAlign w:val="superscript"/>
          <w:rtl w:val="0"/>
        </w:rPr>
        <w:footnoteReference w:id="54"/>
      </w:r>
      <w:r>
        <w:rPr>
          <w:rFonts w:ascii="Times New Roman" w:hAnsi="Times New Roman" w:eastAsia="Times New Roman" w:cs="B Lotus"/>
          <w:sz w:val="28"/>
          <w:szCs w:val="28"/>
          <w:rtl/>
          <w:cs/>
          <w:lang w:bidi="fa-IR" w:val="en-US"/>
        </w:rPr>
        <w:t xml:space="preserve"> و آسموندسون</w:t>
      </w:r>
      <w:r>
        <w:rPr>
          <w:rStyle w:val="FootnoteReference"/>
          <w:rFonts w:ascii="Times New Roman" w:eastAsia="Times New Roman" w:hAnsi="Times New Roman" w:hint="cs" w:cs="Times New Roman"/>
          <w:lang w:bidi="fa-IR" w:val="en-US"/>
          <w:sz w:val="20"/>
          <w:szCs w:val="20"/>
          <w:vertAlign w:val="superscript"/>
          <w:rtl w:val="0"/>
        </w:rPr>
        <w:footnoteReference w:id="49"/>
      </w:r>
      <w:r>
        <w:rPr>
          <w:rFonts w:ascii="Times New Roman" w:hAnsi="Times New Roman" w:eastAsia="Times New Roman" w:cs="B Lotus"/>
          <w:sz w:val="28"/>
          <w:szCs w:val="28"/>
          <w:rtl/>
          <w:cs/>
          <w:lang w:bidi="fa-IR" w:val="en-US"/>
        </w:rPr>
        <w:t>،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سالکووسکیس</w:t>
      </w:r>
      <w:r>
        <w:rPr>
          <w:rStyle w:val="FootnoteReference"/>
          <w:rFonts w:ascii="Times New Roman" w:eastAsia="Times New Roman" w:hAnsi="Times New Roman" w:hint="cs" w:cs="Times New Roman"/>
          <w:lang w:bidi="fa-IR" w:val="en-US"/>
          <w:sz w:val="20"/>
          <w:szCs w:val="20"/>
          <w:vertAlign w:val="superscript"/>
          <w:rtl w:val="0"/>
        </w:rPr>
        <w:footnoteReference w:id="87"/>
      </w:r>
      <w:r>
        <w:rPr>
          <w:rFonts w:ascii="Times New Roman" w:hAnsi="Times New Roman" w:eastAsia="Times New Roman" w:cs="B Lotus"/>
          <w:sz w:val="28"/>
          <w:szCs w:val="28"/>
          <w:rtl/>
          <w:cs/>
          <w:lang w:bidi="fa-IR" w:val="en-US"/>
        </w:rPr>
        <w:t>، ۲۰۲۳؛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 تیلور و آسموندسون،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 xml:space="preserve">در سالمندی همین چرخه غالباً بر بستر نشانه‌های جسمانی واقعی، بیماری مزمن و مراجعات پزشکی مکرر عمل می‌کند؛ </w:t>
      </w:r>
      <w:r>
        <w:rPr>
          <w:rFonts w:ascii="Times New Roman" w:hAnsi="Times New Roman" w:eastAsia="Times New Roman" w:cs="B Lotus"/>
          <w:sz w:val="28"/>
          <w:szCs w:val="28"/>
          <w:rtl/>
          <w:cs/>
          <w:lang w:bidi="fa-IR" w:val="en-US"/>
        </w:rPr>
        <w:t>از این رو</w:t>
      </w:r>
      <w:r>
        <w:rPr>
          <w:rFonts w:ascii="Times New Roman" w:hAnsi="Times New Roman" w:eastAsia="Times New Roman" w:cs="B Lotus"/>
          <w:sz w:val="28"/>
          <w:szCs w:val="28"/>
          <w:rtl/>
          <w:cs/>
          <w:lang w:bidi="fa-IR" w:val="en-US"/>
        </w:rPr>
        <w:t xml:space="preserve">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در نتیجه</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r>
        <w:rPr>
          <w:rFonts w:ascii="Times New Roman" w:hAnsi="Times New Roman" w:hint="cs"/>
          <w:lang w:bidi="fa-IR"/>
          <w:rtl/>
        </w:rPr>
        <w:t>.</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دلبستگی بالبی</w:t>
      </w:r>
      <w:r>
        <w:rPr>
          <w:rStyle w:val="FootnoteReference"/>
          <w:rFonts w:ascii="Times New Roman" w:eastAsia="Times New Roman" w:hAnsi="Times New Roman" w:hint="cs" w:cs="Times New Roman"/>
          <w:lang w:bidi="fa-IR" w:val="en-US"/>
          <w:sz w:val="20"/>
          <w:szCs w:val="20"/>
          <w:vertAlign w:val="superscript"/>
          <w:rtl w:val="0"/>
        </w:rPr>
        <w:footnoteReference w:id="98"/>
      </w:r>
      <w:r>
        <w:rPr>
          <w:rFonts w:ascii="Times New Roman" w:hAnsi="Times New Roman" w:eastAsia="Times New Roman" w:cs="B Lotus"/>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w:t>
      </w:r>
      <w:r>
        <w:rPr>
          <w:rFonts w:ascii="Times New Roman" w:hAnsi="Times New Roman" w:eastAsia="Times New Roman" w:cs="B Lotus"/>
          <w:sz w:val="28"/>
          <w:szCs w:val="28"/>
          <w:rtl/>
          <w:cs/>
          <w:lang w:bidi="fa-IR" w:val="en-US"/>
        </w:rPr>
        <w:t>به عنوان نمونه</w:t>
      </w:r>
      <w:r>
        <w:rPr>
          <w:rFonts w:ascii="Times New Roman" w:hAnsi="Times New Roman" w:eastAsia="Times New Roman" w:cs="B Lotus"/>
          <w:sz w:val="28"/>
          <w:szCs w:val="28"/>
          <w:rtl/>
          <w:cs/>
          <w:lang w:bidi="fa-IR" w:val="en-US"/>
        </w:rPr>
        <w:t xml:space="preserve">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r>
        <w:rPr>
          <w:rFonts w:ascii="Times New Roman" w:hAnsi="Times New Roman" w:hint="cs"/>
          <w:lang w:bidi="fa-IR"/>
          <w:rtl/>
        </w:rPr>
        <w:t>.</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w:t>
      </w:r>
      <w:r>
        <w:rPr>
          <w:rFonts w:ascii="Times New Roman" w:hAnsi="Times New Roman" w:hint="cs"/>
          <w:lang w:bidi="fa-IR"/>
          <w:rtl/>
        </w:rPr>
        <w:t>افزون بر این</w:t>
      </w:r>
      <w:r>
        <w:rPr>
          <w:rFonts w:ascii="Times New Roman" w:hAnsi="Times New Roman" w:hint="cs"/>
          <w:lang w:bidi="fa-IR"/>
          <w:rtl/>
        </w:rPr>
        <w:t xml:space="preserve">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در نتیجه</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w:t>
      </w:r>
      <w:r>
        <w:rPr>
          <w:rFonts w:ascii="Times New Roman" w:hAnsi="Times New Roman" w:hint="cs"/>
          <w:lang w:bidi="fa-IR"/>
          <w:rtl/>
        </w:rPr>
        <w:t>به عنوان نمونه</w:t>
      </w:r>
      <w:r>
        <w:rPr>
          <w:rFonts w:ascii="Times New Roman" w:hAnsi="Times New Roman" w:hint="cs"/>
          <w:lang w:bidi="fa-IR"/>
          <w:rtl/>
        </w:rPr>
        <w:t xml:space="preserve">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به عنوان نمونه</w:t>
      </w:r>
      <w:r>
        <w:rPr>
          <w:rFonts w:ascii="Times New Roman" w:hAnsi="Times New Roman" w:hint="cs"/>
          <w:lang w:bidi="fa-IR"/>
          <w:rtl/>
        </w:rPr>
        <w:t xml:space="preserve"> مشکلات شایع در این دوره از زندگی هستند. </w:t>
      </w:r>
      <w:r>
        <w:rPr>
          <w:rFonts w:ascii="Times New Roman" w:hAnsi="Times New Roman" w:hint="cs"/>
          <w:lang w:bidi="fa-IR"/>
          <w:rtl/>
        </w:rPr>
        <w:t xml:space="preserve">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w:t>
      </w:r>
      <w:r>
        <w:rPr>
          <w:rFonts w:ascii="Times New Roman" w:hAnsi="Times New Roman" w:hint="cs"/>
          <w:lang w:bidi="fa-IR"/>
          <w:rtl/>
        </w:rPr>
        <w:t xml:space="preserve">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w:t>
      </w:r>
      <w:r>
        <w:rPr>
          <w:rFonts w:ascii="Times New Roman" w:hAnsi="Times New Roman" w:hint="cs"/>
          <w:lang w:bidi="fa-IR"/>
          <w:rtl/>
        </w:rPr>
        <w:t xml:space="preserve">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t>می‌تواند</w:t>
      </w:r>
      <w:r>
        <w:rPr>
          <w:rFonts w:ascii="Times New Roman" w:hAnsi="Times New Roman" w:hint="cs"/>
          <w:lang w:bidi="fa-IR"/>
          <w:rtl/>
        </w:rPr>
        <w:t xml:space="preserve"> احساس امنیت، ارزشمندی و آرامش را در آنان تقویت کند. </w:t>
      </w:r>
      <w:r>
        <w:rPr>
          <w:rFonts w:ascii="Times New Roman" w:hAnsi="Times New Roman" w:hint="cs"/>
          <w:lang w:bidi="fa-IR"/>
          <w:rtl/>
        </w:rPr>
        <w:t xml:space="preserve">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 xml:space="preserve">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w:t>
      </w:r>
      <w:r>
        <w:rPr>
          <w:rFonts w:ascii="Times New Roman" w:eastAsia="Times New Roman" w:hAnsi="Times New Roman" w:hint="cs"/>
          <w:lang w:bidi="fa-IR"/>
          <w:rtl/>
        </w:rPr>
        <w:t xml:space="preserve">ارتباط معناداری بین اجزای هوش معنوی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w:t>
      </w:r>
      <w:r>
        <w:rPr>
          <w:rFonts w:ascii="Times New Roman" w:eastAsia="Times New Roman" w:hAnsi="Times New Roman" w:hint="cs"/>
          <w:lang w:bidi="fa-IR"/>
          <w:rtl/>
        </w:rPr>
        <w:t xml:space="preserve">یافته ها حاکی از این بودند که هوش معنوی به طور مثبتی با سلامت عمومی رابطه دارد.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w:t>
      </w:r>
      <w:r>
        <w:rPr>
          <w:rFonts w:ascii="Times New Roman" w:eastAsia="Times New Roman" w:hAnsi="Times New Roman" w:hint="cs"/>
          <w:lang w:bidi="fa-IR"/>
          <w:rtl/>
        </w:rPr>
        <w:t xml:space="preserve">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pPr>
        <w:bidi w:val="1"/>
        <w:spacing w:after="0" w:line="276" w:lineRule="auto"/>
        <w:ind w:firstLine="397"/>
        <w:jc w:val="both"/>
        <w:rPr>
          <w:color w:val="auto"/>
          <w:lang w:bidi="fa-IR"/>
        </w:rPr>
      </w:pPr>
      <w:r>
        <w:rPr>
          <w:rFonts w:ascii="Times New Roman" w:hAnsi="Times New Roman" w:hint="cs"/>
          <w:lang w:bidi="fa-IR"/>
          <w:rtl/>
        </w:rPr>
        <w:t xml:space="preserve">پژوهش حاضر </w:t>
      </w:r>
      <w:r>
        <w:rPr>
          <w:rFonts w:ascii="Times New Roman" w:hAnsi="Times New Roman" w:hint="cs"/>
          <w:lang w:bidi="fa-IR"/>
          <w:rtl/>
        </w:rPr>
        <w:t>نظر به</w:t>
      </w:r>
      <w:r>
        <w:rPr>
          <w:rFonts w:ascii="Times New Roman" w:hAnsi="Times New Roman" w:hint="cs"/>
          <w:lang w:bidi="fa-IR"/>
          <w:rtl/>
        </w:rPr>
        <w:t xml:space="preserve">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0" w:name="_Toc238572061"/>
      <w:r>
        <w:rPr>
          <w:rFonts w:ascii="Times New Roman" w:hAnsi="Times New Roman" w:cs="B Titr" w:eastAsia="Times New Roman"/>
          <w:b/>
          <w:bCs/>
          <w:color w:val="000000"/>
          <w:sz w:val="30"/>
          <w:szCs w:val="30"/>
          <w:rtl w:val="1"/>
          <w:cs w:val="1"/>
          <w:lang w:bidi="fa-IR"/>
        </w:rPr>
        <w:t xml:space="preserve">۳-۲- جامعه، نمونه و روش نمونه‌گیری</w:t>
      </w:r>
      <w:bookmarkEnd w:id="80"/>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نظر به</w:t>
      </w:r>
      <w:r>
        <w:rPr>
          <w:rFonts w:ascii="Times New Roman" w:eastAsia="Times New Roman" w:hAnsi="Times New Roman" w:hint="cs"/>
          <w:lang w:bidi="fa-IR"/>
          <w:rtl/>
        </w:rPr>
        <w:t xml:space="preserve">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3" w:name="_Toc238572064"/>
      <w:r>
        <w:rPr>
          <w:rFonts w:ascii="Times New Roman" w:hAnsi="Times New Roman" w:cs="B Titr" w:eastAsia="Times New Roman"/>
          <w:b/>
          <w:bCs/>
          <w:color w:val="000000"/>
          <w:sz w:val="30"/>
          <w:szCs w:val="30"/>
          <w:rtl w:val="1"/>
          <w:cs w:val="1"/>
          <w:lang w:bidi="fa-IR"/>
        </w:rPr>
        <w:t xml:space="preserve">۳-۳-۲- پرسشنامه اضطراب مرگ (DAS)</w:t>
      </w:r>
      <w:r>
        <w:rPr>
          <w:rFonts w:ascii="Times New Roman" w:hAnsi="Times New Roman" w:cs="B Titr" w:eastAsia="Times New Roman"/>
          <w:b/>
          <w:bCs/>
          <w:color w:val="000000"/>
          <w:sz w:val="30"/>
          <w:szCs w:val="30"/>
          <w:rtl w:val="1"/>
          <w:cs w:val="1"/>
          <w:lang w:bidi="fa-IR" w:val="en-US"/>
        </w:rPr>
        <w:t xml:space="preserve"/>
      </w:r>
      <w:bookmarkEnd w:id="83"/>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4" w:name="_Toc238572065"/>
      <w:r>
        <w:rPr>
          <w:rFonts w:ascii="Times New Roman" w:hAnsi="Times New Roman" w:cs="B Titr" w:eastAsia="Times New Roman"/>
          <w:b/>
          <w:bCs/>
          <w:color w:val="000000"/>
          <w:sz w:val="30"/>
          <w:szCs w:val="30"/>
          <w:rtl w:val="1"/>
          <w:cs w:val="1"/>
          <w:lang w:bidi="fa-IR"/>
        </w:rPr>
        <w:t xml:space="preserve">۳-۳-۳- پرسشنامه اضطراب سلامتی (HAI)</w:t>
      </w:r>
      <w:r>
        <w:rPr>
          <w:rFonts w:ascii="Times New Roman" w:hAnsi="Times New Roman" w:cs="B Titr" w:eastAsia="Times New Roman"/>
          <w:b/>
          <w:bCs/>
          <w:color w:val="000000"/>
          <w:sz w:val="30"/>
          <w:szCs w:val="30"/>
          <w:rtl w:val="1"/>
          <w:cs w:val="1"/>
          <w:lang w:bidi="fa-IR" w:val="en-US"/>
        </w:rPr>
        <w:t/>
      </w:r>
      <w:bookmarkEnd w:id="84"/>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pPr>
        <w:bidi w:val="1"/>
        <w:spacing w:after="0" w:line="276" w:lineRule="auto"/>
        <w:ind w:firstLine="397"/>
        <w:jc w:val="both"/>
        <w:rPr>
          <w:color w:val="auto"/>
          <w:lang w:bidi="fa-IR"/>
        </w:rPr>
      </w:pPr>
      <w:r>
        <w:rPr>
          <w:rFonts w:ascii="Times New Roman" w:hAnsi="Times New Roman" w:hint="cs"/>
          <w:lang w:bidi="fa-IR"/>
          <w:rtl/>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w:t>
      </w:r>
      <w:r>
        <w:rPr>
          <w:rFonts w:ascii="Times New Roman" w:hAnsi="Times New Roman" w:hint="cs"/>
          <w:lang w:bidi="fa-IR"/>
          <w:rtl/>
        </w:rPr>
        <w:t xml:space="preserve">رضایت برای شرکت در پژوهش، سلامت نسبی روانی و توانایی پاسخگویی به پرسشنامه ها) ۸۰ نفر </w:t>
      </w:r>
      <w:r>
        <w:rPr>
          <w:rFonts w:ascii="Times New Roman" w:hAnsi="Times New Roman" w:hint="cs"/>
          <w:lang w:bidi="fa-IR"/>
          <w:rtl/>
        </w:rPr>
        <w:t>نظر به</w:t>
      </w:r>
      <w:r>
        <w:rPr>
          <w:rFonts w:ascii="Times New Roman" w:hAnsi="Times New Roman" w:hint="cs"/>
          <w:lang w:bidi="fa-IR"/>
          <w:rtl/>
        </w:rPr>
        <w:t xml:space="preserve"> جدول کرجسی و مورگان به عنوان نمونه انتخاب شدند.</w:t>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w:t>
      </w:r>
      <w:r>
        <w:rPr>
          <w:rFonts w:ascii="Times New Roman" w:hAnsi="Times New Roman" w:hint="cs"/>
          <w:lang w:bidi="fa-IR"/>
          <w:rtl/>
        </w:rPr>
        <w:t>با در نظر گرفتن</w:t>
      </w:r>
      <w:r>
        <w:rPr>
          <w:rFonts w:ascii="Times New Roman" w:hAnsi="Times New Roman" w:hint="cs"/>
          <w:lang w:bidi="fa-IR"/>
          <w:rtl/>
        </w:rPr>
        <w:t xml:space="preserve">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90" w:name="_Toc238572069"/>
      <w:r>
        <w:rPr>
          <w:rFonts w:ascii="Times New Roman" w:hAnsi="Times New Roman" w:cs="B Titr" w:eastAsia="Times New Roman"/>
          <w:b/>
          <w:bCs/>
          <w:color w:val="000000"/>
          <w:sz w:val="30"/>
          <w:szCs w:val="30"/>
          <w:rtl w:val="1"/>
          <w:cs w:val="1"/>
          <w:lang w:bidi="fa-IR"/>
        </w:rPr>
        <w:t xml:space="preserve">۴-۱- یافته‌های توصیفی</w:t>
      </w:r>
      <w:bookmarkEnd w:id="90"/>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bookmarkStart w:id="135" w:name="_Toc238572091"/>
      <w:r>
        <w:rPr>
          <w:rFonts w:ascii="Times New Roman" w:hAnsi="Times New Roman" w:cs="B Titr" w:eastAsia="Times New Roman"/>
          <w:b/>
          <w:bCs/>
          <w:color w:val="000000"/>
          <w:sz w:val="30"/>
          <w:szCs w:val="30"/>
          <w:rtl w:val="1"/>
          <w:cs w:val="1"/>
          <w:lang w:bidi="fa-IR"/>
        </w:rPr>
        <w:t xml:space="preserve">۴-۲- یافته‌های استنباطی</w:t>
      </w:r>
      <w:r>
        <w:rPr>
          <w:rFonts w:ascii="Times New Roman" w:hAnsi="Times New Roman" w:cs="B Titr" w:eastAsia="Times New Roman"/>
          <w:b/>
          <w:bCs/>
          <w:color w:val="000000"/>
          <w:sz w:val="30"/>
          <w:szCs w:val="30"/>
          <w:rtl w:val="1"/>
          <w:cs w:val="1"/>
          <w:lang w:bidi="fa-IR"/>
        </w:rPr>
        <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بدین ترتیب</w:t>
      </w:r>
      <w:r>
        <w:rPr>
          <w:rFonts w:ascii="Times New Roman" w:hAnsi="Times New Roman" w:hint="cs"/>
          <w:lang w:bidi="fa-IR"/>
          <w:rtl/>
        </w:rPr>
        <w:t xml:space="preserve">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 xml:space="preserve">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w:t>
      </w:r>
      <w:r>
        <w:rPr>
          <w:rFonts w:ascii="Times New Roman" w:hAnsi="Times New Roman" w:hint="cs"/>
          <w:lang w:bidi="fa-IR"/>
          <w:rtl/>
        </w:rPr>
        <w:t xml:space="preserve">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w:t>
      </w:r>
      <w:r>
        <w:rPr>
          <w:rFonts w:ascii="Times New Roman" w:hAnsi="Times New Roman" w:hint="cs"/>
          <w:lang w:bidi="fa-IR"/>
          <w:rtl/>
        </w:rPr>
        <w:t xml:space="preserve">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با در نظر گرفتن</w:t>
      </w:r>
      <w:r>
        <w:rPr>
          <w:rFonts w:ascii="Times New Roman" w:hAnsi="Times New Roman" w:hint="cs"/>
          <w:lang w:bidi="fa-IR"/>
          <w:rtl/>
        </w:rPr>
        <w:t xml:space="preserve">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xml:space="preserve">. </w:t>
      </w:r>
      <w:r>
        <w:rPr>
          <w:rFonts w:ascii="Times New Roman" w:hAnsi="Times New Roman" w:hint="cs"/>
          <w:lang w:bidi="fa-IR"/>
          <w:rtl/>
        </w:rPr>
        <w:t>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در نظر گرفتن</w:t>
      </w:r>
      <w:r>
        <w:rPr>
          <w:rFonts w:ascii="Times New Roman" w:eastAsia="Times New Roman" w:hAnsi="Times New Roman" w:hint="cs"/>
          <w:lang w:bidi="fa-IR"/>
          <w:rtl/>
        </w:rPr>
        <w:t xml:space="preserve">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w:t>
      </w:r>
      <w:r>
        <w:rPr>
          <w:rFonts w:ascii="Times New Roman" w:hAnsi="Times New Roman" w:hint="cs"/>
          <w:lang w:bidi="fa-IR"/>
          <w:rtl/>
        </w:rPr>
        <w:t xml:space="preserve">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از منظر نظری و </w:t>
      </w:r>
      <w:r>
        <w:rPr>
          <w:rFonts w:ascii="Times New Roman" w:eastAsia="Times New Roman" w:hAnsi="Times New Roman" w:hint="cs"/>
          <w:lang w:bidi="fa-IR"/>
          <w:rtl/>
        </w:rPr>
        <w:t>با عنایت به</w:t>
      </w:r>
      <w:r>
        <w:rPr>
          <w:rFonts w:ascii="Times New Roman" w:eastAsia="Times New Roman" w:hAnsi="Times New Roman" w:hint="cs"/>
          <w:lang w:bidi="fa-IR"/>
          <w:rtl/>
        </w:rPr>
        <w:t xml:space="preserve">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val="1"/>
          <w:cs w:val="1"/>
          <w:lang w:bidi="fa-IR"/>
        </w:rPr>
        <w:t xml:space="preserve">۵-۲- محدودیت‌های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bidi w:val="1"/>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با عنایت به</w:t>
      </w:r>
      <w:r>
        <w:rPr>
          <w:rFonts w:ascii="Times New Roman" w:hAnsi="Times New Roman" w:hint="cs"/>
          <w:lang w:bidi="fa-IR"/>
          <w:rtl/>
        </w:rPr>
        <w:t xml:space="preserve">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https://doi.org/10.1093/ageing/afae122</w:t>
      </w:r>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https://doi.org/10.1007/978-3-030-11899-0</w:t>
      </w:r>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Erikson, J. M., &amp; Kivnick, H. Q. (1986). Vital Involvement in Old Age.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Fergus, T. A., &amp; Valentiner,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 T., Larbi, A., Dupuis, G., et al. (2023). Immunosenescence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 F., Khoshravesh, S., Ayubi, E., Bashirian, S., &amp; Barati, M. (2024). Psychosocial determinants of functional independence among older adults: A systematic review and meta-analysis. Health Promotion Perspectives, 14(1), 32–43. https://doi.org/10.34172/hpp.42354https://doi.org/10.1007/s11920-024-01507-2</w:t>
      </w:r>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 B., &amp; Salkovskis, P. M. (2023). Reassurance and its alternatives: Overview and cognitive behavioural conceptualisation. Journal of Obsessive-Compulsive and Related Disorders, 36, 100783. https://doi.org/10.1016/j.jocrd.2023.100783</w:t>
      </w:r>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https://doi.org/10.1002/ccr3.9316https://doi.org/10.1002/ccr3.9316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Jafari-Koulaee, A., Mohammadi, E., Fox, M. T., Rasekhi, A., &amp; Akha, O. (2024). Predictors of basic and instrumental activities of daily living among older adults with multiple chronic conditions. BMC Geriatrics, 24, 383. https://doi.org/10.1186/s12877-024-04947-whttps://doi.org/10.1186/s12877-024-04947-w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Johnco, C. J., Matovic, D., &amp; Wuthrich, V. M. (2024). Anxiety disorders in later life. Psychiatric Clinics of North America, 47(4), 741–752. https://doi.org/10.1016/j.psc.2024.04.015https://doi.org/10.1016/j.psc.2024.04.015https://doi.org/10.1016/j.jamda.2024.105334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 K., Werner-Seidler, A., Upton, E., &amp; Newby, J. M. (2024). Illness anxiety disorder: A review of the current research and future directions. Current Psychiatry Reports, 26(7), 331–339. https://doi.org/10.1007/s11920-024-01507-2 \t "_new"https://doi.org/10.1007/s11920-024-01507-2</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&amp; DeCicco,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Liu, Y., Zhang, X., Fu, X., Li, W., Wang, Y., &amp; Lu, W. (2025). Successful aging rates of global older adults: A systematic review and meta-analysis. Journal of the American Medical Directors Association, 26(6), 105334. https://doi.org/10.1016/j.jamda.2024.105334https://doi.org/10.1016/j.jamda.2024.105334.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https://pubmed.ncbi.nlm.nih.gov/39900466/ \t "_new"https://pubmed.ncbi.nlm.nih.gov/39900466/</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López-Otín, C., Blasco, M. A., Partridge, L., Serrano, M., &amp; Kroemer, G. (2023). Hallmarks of Aging: An Expanding Universe. Cell. https://doi.org/10.1016/j.cell.2022.11.001</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Mayer, J. D., &amp; Salovey, P. (2020). The Intelligence of Emotional Intelligence.World Health Organization – Ageing and health</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Miri, S., Farhadi, B., Takasi, P., Ghorbani Vajargah, P., &amp; Karkhah, S. (2024). Physical independence and related factors among older adults: A systematic review and meta-analysis. Annals of Medicine &amp; Surgery, 86(6), 3400–3408. https://doi.org/10.1097/MS9.0000000000002100https://doi.org/10.1097/MS9.0000000000002100World Health Organization – Mental health of older adults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 M., Zanjari, N., Delbari, A., Foroughan, M., &amp; Tabesh, H. (2024). Factors associated with subjective successful aging among Iranian older adults: A cross-sectional analysis. Iranian Journal of Nursing and Midwifery Research, 29(5), 583–589. https://doi.org/10.4103/ijnmr.ijnmr_260_23https://doi.org/10.4103/ijnmr.ijnmr_260_23https://doi.org/10.1186/s12877-025-06040-2</w:t>
      </w:r>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 D. N., &amp; Işık, Ü. (2024). Exploring adult attachment and anxiety: The role of intolerance of uncertainty and social support. Current Psychology, 43, 18612–18620. https://doi.org/10.1007/s12144-024-05659-5 \t "_new"https://doi.org/10.1007/s12144-024-05659-5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salience.Noyes, R., Jr., Stuart, S., Longley, S. L., Langbehn, D. R., &amp; Happel, R. L. (2002). Hypochondriasis and fear of death. Journal of Nervous and Mental Disease, 190(8), 503–509. https://doi.org/10.1097/00005053-200208000-00002</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https://doi.org/10.1080/16549716.2024.2362310 \t "_new"https://doi.org/10.1080/16549716.2024.2362310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https://doi.org/10.3389/fpsyg.2024.1293943</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 A., Mohammadi, I., Rajai, S., Jafarabady, K., &amp; Abdollahi, A. (2025). Global prevalence of anxiety symptoms and its associated factors in older adults: A systematic review and meta-analysis. Journal of General and Family Medicine, 26(2), 116–127. https://doi.org/10.1002/jgf2.750https://doi.org/10.1002/jgf2.750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 P., &amp; Menon, P. (2023). Psychospiritual basis of altruism: A review. Journal of Humanistic Psychology, 63(3), 344–363. https://doi.org/10.1177/0022167819830517</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van Bruggen, V., Vos, J., Bohlmeijer,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S., Lin, J., Kuang, L., Yang, X., Yu, B., &amp; Cui, Y. (2024). Risk factors for social isolation in older adults: A systematic review and meta-analysis. Public Health Nursing, 41(2), 200–208. https://doi.org/10.1111/phn.13266</w:t>
      </w:r>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Younes, R. S., Rahme, E., Rajha, F., &amp; Mzawak, M. A. (2024). Exploring death anxiety among older adults: An integrative review of associated factors and interventions. OMEGA—Journal of Death and Dying. Advance online publication. https://doi.org/10.1177/00302228241272578</w:t>
      </w:r>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UN</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WHO</w:t>
      </w:r>
      <w:r>
        <w:rPr>
          <w:rFonts w:ascii="Times New Roman" w:hAnsi="Times New Roman" w:eastAsia="Times New Roman" w:cs="Times New Roman"/>
          <w:sz w:val="18"/>
          <w:szCs w:val="20"/>
          <w:rtl w:val="0"/>
          <w:lang w:val="en-US"/>
        </w:rPr>
        <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Immunological Theory</w:t>
      </w:r>
      <w:r>
        <w:rPr>
          <w:rFonts w:ascii="Times New Roman" w:hAnsi="Times New Roman" w:eastAsia="Times New Roman" w:cs="Times New Roman"/>
          <w:sz w:val="18"/>
          <w:szCs w:val="20"/>
          <w:rtl w:val="0"/>
          <w:lang w:val="en-US"/>
        </w:rPr>
        <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Greenberg et al.</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APA</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WHO</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APA</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NIA</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APA</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DSM-5</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Inflammaging</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Franceschi</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Westerhof</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Bohlmeijer</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McAdams</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Rowe</w:t>
      </w:r>
    </w:p>
  </w:footnote>
  <w:footnote w:id="12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Kahn</w:t>
      </w:r>
    </w:p>
  </w:footnote>
  <w:footnote w:id="12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Pyszczynski, Lockett, Greenberg &amp; Solomon</w:t>
      </w:r>
    </w:p>
  </w:footnote>
  <w:footnote w:id="12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Iverach</w:t>
      </w:r>
    </w:p>
  </w:footnote>
  <w:footnote w:id="12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Menzies</w:t>
      </w:r>
    </w:p>
  </w:footnote>
  <w:footnote w:id="12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Meaning Management Theory</w:t>
      </w:r>
    </w:p>
  </w:footnote>
  <w:footnote w:id="12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Wong</w:t>
      </w:r>
    </w:p>
  </w:footnote>
  <w:footnote w:id="12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 w:id="12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2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2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Braddock</w:t>
      </w:r>
    </w:p>
  </w:footnote>
  <w:footnote w:id="13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Haigh</w:t>
      </w:r>
    </w:p>
  </w:footnote>
  <w:footnote w:id="13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3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3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SST99" Type="http://schemas.openxmlformats.org/officeDocument/2006/relationships/hyperlink" Target="https://doi.org/10.1037/0003-066X.54.3.165" TargetMode="External"/><Relationship Id="rIdDoiReed14" Type="http://schemas.openxmlformats.org/officeDocument/2006/relationships/hyperlink" Target="https://doi.org/10.1037/a0035194"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Hav61" Type="http://schemas.openxmlformats.org/officeDocument/2006/relationships/hyperlink" Target="https://doi.org/10.1093/geront/1.1.8" TargetMode="External"/><Relationship Id="rIdDoiAtchley89" Type="http://schemas.openxmlformats.org/officeDocument/2006/relationships/hyperlink" Target="https://doi.org/10.1093/geront/29.2.183"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