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bidi w:val="1"/>
        <w:spacing w:after="120" w:line="276" w:lineRule="auto"/>
        <w:jc w:val="right"/>
      </w:pPr>
      <w:r>
        <w:rPr>
          <w:rFonts w:ascii="Times New Roman" w:hAnsi="Times New Roman" w:eastAsia="Times New Roman" w:cs="B Lotus"/>
          <w:b/>
          <w:bCs/>
          <w:sz w:val="28"/>
          <w:szCs w:val="28"/>
          <w:rtl/>
          <w:cs/>
          <w:lang w:bidi="fa-IR" w:val="en-US"/>
        </w:rPr>
        <w:t>نظریه‌های سالمندی</w:t>
      </w:r>
    </w:p>
    <w:p>
      <w:pPr>
        <w:jc w:val="center"/>
        <w:bidi w:val="0"/>
      </w:pPr>
      <w:r>
        <w:drawing>
          <wp:inline distT="0" distB="0" distL="0" distR="0">
            <wp:extent cx="5669280" cy="4297680"/>
            <wp:effectExtent l="0" t="0" r="0" b="0"/>
            <wp:docPr id="20" name="WordTree"/>
            <wp:cNvGraphicFramePr/>
            <ns2:graphic xmlns:ns2="http://schemas.openxmlformats.org/drawingml/2006/main">
              <ns2:graphicData uri="http://schemas.microsoft.com/office/word/2010/wordprocessingGroup">
                <wpg:wgp>
                  <wpg:cNvGrpSpPr/>
                  <wpg:grpSpPr>
                    <ns2:xfrm>
                      <ns2:off x="0" y="0"/>
                      <ns2:ext cx="5669280" cy="4297680"/>
                      <ns2:chOff x="0" y="0"/>
                      <ns2:chExt cx="5669280" cy="4297680"/>
                    </ns2:xfrm>
                  </wpg:grpSpPr>
                  <wps:wsp>
                    <wps:cNvSpPr txBox="1"/>
                    <wps:spPr>
                      <ns2:xfrm>
                        <ns2:off x="1691640" y="73152"/>
                        <ns2:ext cx="2286000" cy="438912"/>
                      </ns2:xfrm>
                      <ns2:prstGeom prst="roundRect">
                        <ns2:avLst>
                          <ns2:gd name="adj" fmla="val 16667"/>
                        </ns2:avLst>
                      </ns2:prstGeom>
                      <ns2:solidFill>
                        <ns2:srgbClr val="1F4E5F"/>
                      </ns2:solidFill>
                      <ns2:ln w="6350">
                        <ns2:solidFill>
                          <ns2:srgbClr val="8AA38A"/>
                        </ns2:solidFill>
                      </ns2:ln>
                    </wps:spPr>
                    <wps:txbx>
                      <w:txbxContent>
                        <w:p>
                          <w:pPr>
                            <w:jc w:val="center"/>
                            <w:bidi/>
                          </w:pPr>
                          <w:r>
                            <w:rPr>
                              <w:rFonts w:ascii="Times New Roman" w:cs="B Lotus" w:hAnsi="Times New Roman"/>
                              <w:sz w:val="22"/>
                              <w:szCs w:val="22"/>
                              <w:color w:val="FFFFFF"/>
                              <w:rtl/>
                              <w:cs/>
                            </w:rPr>
                            <w:t>نظریه‌های سالمندی</w:t>
                          </w:r>
                        </w:p>
                      </w:txbxContent>
                    </wps:txbx>
                    <wps:bodyPr anchor="ctr" lIns="36000" rIns="36000" tIns="18000" bIns="18000"/>
                  </wps:wsp>
                  <wps:wsp>
                    <wps:cNvSpPr txBox="1"/>
                    <wps:spPr>
                      <ns2:xfrm>
                        <ns2:off x="388620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زیست‌شناختی</w:t>
                          </w:r>
                        </w:p>
                      </w:txbxContent>
                    </wps:txbx>
                    <wps:bodyPr anchor="ctr" lIns="36000" rIns="36000" tIns="18000" bIns="18000"/>
                  </wps:wsp>
                  <wps:wsp>
                    <wps:cNvSpPr txBox="1"/>
                    <wps:spPr>
                      <ns2:xfrm>
                        <ns2:off x="2029968"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روان‌شناختی</w:t>
                          </w:r>
                        </w:p>
                      </w:txbxContent>
                    </wps:txbx>
                    <wps:bodyPr anchor="ctr" lIns="36000" rIns="36000" tIns="18000" bIns="18000"/>
                  </wps:wsp>
                  <wps:wsp>
                    <wps:cNvSpPr txBox="1"/>
                    <wps:spPr>
                      <ns2:xfrm>
                        <ns2:off x="18288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جامعه‌شناختی</w:t>
                          </w:r>
                        </w:p>
                      </w:txbxContent>
                    </wps:txbx>
                    <wps:bodyPr anchor="ctr" lIns="36000" rIns="36000" tIns="18000" bIns="18000"/>
                  </wps:wsp>
                  <wps:wsp>
                    <wps:cNvSpPr txBox="1"/>
                    <wps:spPr>
                      <ns2:xfrm>
                        <ns2:off x="388620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ایمنی</w:t>
                          </w:r>
                        </w:p>
                      </w:txbxContent>
                    </wps:txbx>
                    <wps:bodyPr anchor="ctr" lIns="36000" rIns="36000" tIns="18000" bIns="18000"/>
                  </wps:wsp>
                  <wps:wsp>
                    <wps:cNvSpPr txBox="1"/>
                    <wps:spPr>
                      <ns2:xfrm>
                        <ns2:off x="388620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پیر شدن سلولی</w:t>
                          </w:r>
                        </w:p>
                      </w:txbxContent>
                    </wps:txbx>
                    <wps:bodyPr anchor="ctr" lIns="36000" rIns="36000" tIns="18000" bIns="18000"/>
                  </wps:wsp>
                  <wps:wsp>
                    <wps:cNvSpPr txBox="1"/>
                    <wps:spPr>
                      <ns2:xfrm>
                        <ns2:off x="388620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رادیکال آزاد</w:t>
                          </w:r>
                        </w:p>
                      </w:txbxContent>
                    </wps:txbx>
                    <wps:bodyPr anchor="ctr" lIns="36000" rIns="36000" tIns="18000" bIns="18000"/>
                  </wps:wsp>
                  <wps:wsp>
                    <wps:cNvSpPr txBox="1"/>
                    <wps:spPr>
                      <ns2:xfrm>
                        <ns2:off x="2029968"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گولد</w:t>
                          </w:r>
                        </w:p>
                      </w:txbxContent>
                    </wps:txbx>
                    <wps:bodyPr anchor="ctr" lIns="36000" rIns="36000" tIns="18000" bIns="18000"/>
                  </wps:wsp>
                  <wps:wsp>
                    <wps:cNvSpPr txBox="1"/>
                    <wps:spPr>
                      <ns2:xfrm>
                        <ns2:off x="2029968"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لوینسون و شی</w:t>
                          </w:r>
                        </w:p>
                      </w:txbxContent>
                    </wps:txbx>
                    <wps:bodyPr anchor="ctr" lIns="36000" rIns="36000" tIns="18000" bIns="18000"/>
                  </wps:wsp>
                  <wps:wsp>
                    <wps:cNvSpPr txBox="1"/>
                    <wps:spPr>
                      <ns2:xfrm>
                        <ns2:off x="2029968"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اریکسون</w:t>
                          </w:r>
                        </w:p>
                      </w:txbxContent>
                    </wps:txbx>
                    <wps:bodyPr anchor="ctr" lIns="36000" rIns="36000" tIns="18000" bIns="18000"/>
                  </wps:wsp>
                  <wps:wsp>
                    <wps:cNvSpPr txBox="1"/>
                    <wps:spPr>
                      <ns2:xfrm>
                        <ns2:off x="2029968" y="2642615"/>
                        <ns2:ext cx="1600200" cy="384048"/>
                      </ns2:xfrm>
                      <ns2:prstGeom prst="roundRect">
                        <ns2:avLst>
                          <ns2:gd name="adj" fmla="val 16667"/>
                        </ns2:avLst>
                      </ns2:prstGeom>
                      <ns2:solidFill>
                        <ns2:srgbClr val="F7F4EC"/>
                      </ns2:solidFill>
                      <ns2:ln w="19050">
                        <ns2:solidFill>
                          <ns2:srgbClr val="C4A35A"/>
                        </ns2:solidFill>
                      </ns2:ln>
                    </wps:spPr>
                    <wps:txbx>
                      <w:txbxContent>
                        <w:p>
                          <w:pPr>
                            <w:jc w:val="center"/>
                            <w:bidi/>
                          </w:pPr>
                          <w:r>
                            <w:rPr>
                              <w:rFonts w:ascii="Times New Roman" w:cs="B Lotus" w:hAnsi="Times New Roman"/>
                              <w:sz w:val="14"/>
                              <w:szCs w:val="14"/>
                              <w:color w:val="1F4E5F"/>
                              <w:rtl/>
                              <w:cs/>
                            </w:rPr>
                            <w:t>نظریه انتخاب اجتماعی-هیجانی</w:t>
                          </w:r>
                        </w:p>
                      </w:txbxContent>
                    </wps:txbx>
                    <wps:bodyPr anchor="ctr" lIns="36000" rIns="36000" tIns="18000" bIns="18000"/>
                  </wps:wsp>
                  <wps:wsp>
                    <wps:cNvSpPr txBox="1"/>
                    <wps:spPr>
                      <ns2:xfrm>
                        <ns2:off x="18288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عدم تعهد</w:t>
                          </w:r>
                        </w:p>
                      </w:txbxContent>
                    </wps:txbx>
                    <wps:bodyPr anchor="ctr" lIns="36000" rIns="36000" tIns="18000" bIns="18000"/>
                  </wps:wsp>
                  <wps:wsp>
                    <wps:cNvSpPr txBox="1"/>
                    <wps:spPr>
                      <ns2:xfrm>
                        <ns2:off x="18288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فعالیت</w:t>
                          </w:r>
                        </w:p>
                      </w:txbxContent>
                    </wps:txbx>
                    <wps:bodyPr anchor="ctr" lIns="36000" rIns="36000" tIns="18000" bIns="18000"/>
                  </wps:wsp>
                  <wps:wsp>
                    <wps:cNvSpPr txBox="1"/>
                    <wps:spPr>
                      <ns2:xfrm>
                        <ns2:off x="18288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مبادله یا تعامل</w:t>
                          </w:r>
                        </w:p>
                      </w:txbxContent>
                    </wps:txbx>
                    <wps:bodyPr anchor="ctr" lIns="36000" rIns="36000" tIns="18000" bIns="18000"/>
                  </wps:wsp>
                  <wps:wsp>
                    <wps:cNvSpPr txBox="1"/>
                    <wps:spPr>
                      <ns2:xfrm>
                        <ns2:off x="182880" y="2642615"/>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استمرار</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۱- درختواره نظریه‌های سالمندی (شاخه زیست‌شناختی، روان‌شناختی و جامعه‌شناختی)</w:t>
      </w:r>
    </w:p>
    <w:p>
      <w:pPr>
        <w:pStyle w:val="Heading2"/>
        <w:bidi w:val="1"/>
        <w:spacing w:after="120" w:line="276" w:lineRule="auto"/>
        <w:jc w:val="right"/>
      </w:pPr>
      <w:r>
        <w:rPr>
          <w:rFonts w:ascii="Times New Roman" w:hAnsi="Times New Roman" w:eastAsia="Times New Roman" w:cs="B Lotus"/>
          <w:b/>
          <w:bCs/>
          <w:sz w:val="28"/>
          <w:szCs w:val="28"/>
          <w:rtl/>
          <w:cs/>
          <w:lang w:bidi="fa-IR" w:val="en-US"/>
        </w:rPr>
        <w:t>فهرست مطالب</w:t>
      </w:r>
    </w:p>
    <w:p>
      <w:pPr>
        <w:pStyle w:val="TOC1"/>
        <w:bidi w:val="1"/>
        <w:spacing w:after="120" w:line="276" w:lineRule="auto"/>
        <w:jc w:val="right"/>
      </w:pPr>
      <w:r>
        <w:rPr>
          <w:rFonts w:ascii="Times New Roman" w:hAnsi="Times New Roman" w:eastAsia="Times New Roman" w:cs="B Lotus"/>
          <w:sz w:val="28"/>
          <w:szCs w:val="28"/>
          <w:rtl/>
          <w:cs/>
          <w:lang w:bidi="fa-IR" w:val="en-US"/>
        </w:rPr>
        <w:t>نظریه‌های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۲-۱-۲- نظریه‌های سالمندی</w:t>
      </w:r>
    </w:p>
    <w:p>
      <w:pPr>
        <w:pStyle w:val="TOC4"/>
        <w:bidi w:val="1"/>
        <w:spacing w:after="120" w:line="276" w:lineRule="auto"/>
        <w:jc w:val="right"/>
      </w:pPr>
      <w:r>
        <w:rPr>
          <w:rFonts w:ascii="Times New Roman" w:hAnsi="Times New Roman" w:eastAsia="Times New Roman" w:cs="B Lotus"/>
          <w:sz w:val="28"/>
          <w:szCs w:val="28"/>
          <w:rtl/>
          <w:cs/>
          <w:lang w:bidi="fa-IR" w:val="en-US"/>
        </w:rPr>
        <w:t>۲-۱-۲-۱- نظریه‌های زیست‌شناختی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۲-۱-۲-۱-۱- نظریه ایمنی</w:t>
      </w:r>
    </w:p>
    <w:p>
      <w:pPr>
        <w:pStyle w:val="TOC5"/>
        <w:bidi w:val="1"/>
        <w:spacing w:after="120" w:line="276" w:lineRule="auto"/>
        <w:jc w:val="right"/>
      </w:pPr>
      <w:r>
        <w:rPr>
          <w:rFonts w:ascii="Times New Roman" w:hAnsi="Times New Roman" w:eastAsia="Times New Roman" w:cs="B Lotus"/>
          <w:sz w:val="28"/>
          <w:szCs w:val="28"/>
          <w:rtl/>
          <w:cs/>
          <w:lang w:bidi="fa-IR" w:val="en-US"/>
        </w:rPr>
        <w:t>۲-۱-۲-۱-۲- نظریه پیر شدن سلولی</w:t>
      </w:r>
    </w:p>
    <w:p>
      <w:pPr>
        <w:pStyle w:val="TOC5"/>
        <w:bidi w:val="1"/>
        <w:spacing w:after="120" w:line="276" w:lineRule="auto"/>
        <w:jc w:val="right"/>
      </w:pPr>
      <w:r>
        <w:rPr>
          <w:rFonts w:ascii="Times New Roman" w:hAnsi="Times New Roman" w:eastAsia="Times New Roman" w:cs="B Lotus"/>
          <w:sz w:val="28"/>
          <w:szCs w:val="28"/>
          <w:rtl/>
          <w:cs/>
          <w:lang w:bidi="fa-IR" w:val="en-US"/>
        </w:rPr>
        <w:t>۲-۱-۲-۱-۳- نظریه رادیکال آزاد</w:t>
      </w:r>
    </w:p>
    <w:p>
      <w:pPr>
        <w:pStyle w:val="TOC4"/>
        <w:bidi w:val="1"/>
        <w:spacing w:after="120" w:line="276" w:lineRule="auto"/>
        <w:jc w:val="right"/>
      </w:pPr>
      <w:r>
        <w:rPr>
          <w:rFonts w:ascii="Times New Roman" w:hAnsi="Times New Roman" w:eastAsia="Times New Roman" w:cs="B Lotus"/>
          <w:sz w:val="28"/>
          <w:szCs w:val="28"/>
          <w:rtl/>
          <w:cs/>
          <w:lang w:bidi="fa-IR" w:val="en-US"/>
        </w:rPr>
        <w:t>۲-۱-۲-۲- نظریه‌های روان‌شناختی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۲-۱-۲-۲-۱- نظریه گولد</w:t>
      </w:r>
    </w:p>
    <w:p>
      <w:pPr>
        <w:pStyle w:val="TOC5"/>
        <w:bidi w:val="1"/>
        <w:spacing w:after="120" w:line="276" w:lineRule="auto"/>
        <w:jc w:val="right"/>
      </w:pPr>
      <w:r>
        <w:rPr>
          <w:rFonts w:ascii="Times New Roman" w:hAnsi="Times New Roman" w:eastAsia="Times New Roman" w:cs="B Lotus"/>
          <w:sz w:val="28"/>
          <w:szCs w:val="28"/>
          <w:rtl/>
          <w:cs/>
          <w:lang w:bidi="fa-IR" w:val="en-US"/>
        </w:rPr>
        <w:t>۲-۱-۲-۲-۲- نظریه لوینسون و شی</w:t>
      </w:r>
    </w:p>
    <w:p>
      <w:pPr>
        <w:pStyle w:val="TOC5"/>
        <w:bidi w:val="1"/>
        <w:spacing w:after="120" w:line="276" w:lineRule="auto"/>
        <w:jc w:val="right"/>
      </w:pPr>
      <w:r>
        <w:rPr>
          <w:rFonts w:ascii="Times New Roman" w:hAnsi="Times New Roman" w:eastAsia="Times New Roman" w:cs="B Lotus"/>
          <w:sz w:val="28"/>
          <w:szCs w:val="28"/>
          <w:rtl/>
          <w:cs/>
          <w:lang w:bidi="fa-IR" w:val="en-US"/>
        </w:rPr>
        <w:t>۲-۱-۲-۲-۳- نظریه اریکسون</w:t>
      </w:r>
    </w:p>
    <w:p>
      <w:pPr>
        <w:pStyle w:val="TOC5"/>
        <w:bidi w:val="1"/>
        <w:spacing w:after="120" w:line="276" w:lineRule="auto"/>
        <w:jc w:val="right"/>
      </w:pPr>
      <w:r>
        <w:rPr>
          <w:rFonts w:ascii="Times New Roman" w:hAnsi="Times New Roman" w:eastAsia="Times New Roman" w:cs="B Lotus"/>
          <w:color w:val="1B7A3D"/>
          <w:sz w:val="28"/>
          <w:szCs w:val="28"/>
          <w:rtl/>
          <w:cs/>
          <w:lang w:bidi="fa-IR" w:val="en-US"/>
        </w:rPr>
        <w:t>۲-۱-۲-۲-۴- نظریه انتخاب اجتماعی-هیجانی</w:t>
      </w:r>
    </w:p>
    <w:p>
      <w:pPr>
        <w:pStyle w:val="TOC4"/>
        <w:bidi w:val="1"/>
        <w:spacing w:after="120" w:line="276" w:lineRule="auto"/>
        <w:jc w:val="right"/>
      </w:pPr>
      <w:r>
        <w:rPr>
          <w:rFonts w:ascii="Times New Roman" w:hAnsi="Times New Roman" w:eastAsia="Times New Roman" w:cs="B Lotus"/>
          <w:sz w:val="28"/>
          <w:szCs w:val="28"/>
          <w:rtl/>
          <w:cs/>
          <w:lang w:bidi="fa-IR" w:val="en-US"/>
        </w:rPr>
        <w:t>۲-۱-۲-۳- نظریه‌های جامعه‌شناختی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۲-۱-۲-۳-۱- نظریه عدم تعهد</w:t>
      </w:r>
    </w:p>
    <w:p>
      <w:pPr>
        <w:pStyle w:val="TOC5"/>
        <w:bidi w:val="1"/>
        <w:spacing w:after="120" w:line="276" w:lineRule="auto"/>
        <w:jc w:val="right"/>
      </w:pPr>
      <w:r>
        <w:rPr>
          <w:rFonts w:ascii="Times New Roman" w:hAnsi="Times New Roman" w:eastAsia="Times New Roman" w:cs="B Lotus"/>
          <w:sz w:val="28"/>
          <w:szCs w:val="28"/>
          <w:rtl/>
          <w:cs/>
          <w:lang w:bidi="fa-IR" w:val="en-US"/>
        </w:rPr>
        <w:t>۲-۱-۲-۳-۲- نظریه فعالیت</w:t>
      </w:r>
    </w:p>
    <w:p>
      <w:pPr>
        <w:pStyle w:val="TOC5"/>
        <w:bidi w:val="1"/>
        <w:spacing w:after="120" w:line="276" w:lineRule="auto"/>
        <w:jc w:val="right"/>
      </w:pPr>
      <w:r>
        <w:rPr>
          <w:rFonts w:ascii="Times New Roman" w:hAnsi="Times New Roman" w:eastAsia="Times New Roman" w:cs="B Lotus"/>
          <w:sz w:val="28"/>
          <w:szCs w:val="28"/>
          <w:rtl/>
          <w:cs/>
          <w:lang w:bidi="fa-IR" w:val="en-US"/>
        </w:rPr>
        <w:t>۲-۱-۲-۳-۳- نظریه مبادله یا تعامل</w:t>
      </w:r>
    </w:p>
    <w:p>
      <w:pPr>
        <w:pStyle w:val="TOC5"/>
        <w:bidi w:val="1"/>
        <w:spacing w:after="120" w:line="276" w:lineRule="auto"/>
        <w:jc w:val="right"/>
      </w:pPr>
      <w:r>
        <w:rPr>
          <w:rFonts w:ascii="Times New Roman" w:hAnsi="Times New Roman" w:eastAsia="Times New Roman" w:cs="B Lotus"/>
          <w:sz w:val="28"/>
          <w:szCs w:val="28"/>
          <w:rtl/>
          <w:cs/>
          <w:lang w:bidi="fa-IR" w:val="en-US"/>
        </w:rPr>
        <w:t>۲-۱-۲-۳-۴- نظریه استمرار</w:t>
      </w:r>
    </w:p>
    <w:p>
      <w:pPr>
        <w:pStyle w:val="TOC2"/>
        <w:bidi w:val="1"/>
        <w:spacing w:after="120" w:line="276" w:lineRule="auto"/>
        <w:jc w:val="right"/>
      </w:pPr>
      <w:r>
        <w:rPr>
          <w:rFonts w:ascii="Times New Roman" w:hAnsi="Times New Roman" w:eastAsia="Times New Roman" w:cs="B Lotus"/>
          <w:sz w:val="28"/>
          <w:szCs w:val="28"/>
          <w:rtl/>
          <w:cs/>
          <w:lang w:bidi="fa-IR" w:val="en-US"/>
        </w:rPr>
        <w:t>۲-۱- گستره نخست: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۲-۱-۱- مفهوم سالمندی</w:t>
      </w:r>
    </w:p>
    <w:p>
      <w:pPr>
        <w:pStyle w:val="TOC2"/>
        <w:bidi w:val="1"/>
        <w:spacing w:after="120" w:line="276" w:lineRule="auto"/>
        <w:jc w:val="right"/>
      </w:pPr>
      <w:r>
        <w:rPr>
          <w:rFonts w:ascii="Times New Roman" w:hAnsi="Times New Roman" w:eastAsia="Times New Roman" w:cs="B Lotus"/>
          <w:sz w:val="28"/>
          <w:szCs w:val="28"/>
          <w:rtl/>
          <w:cs/>
          <w:lang w:bidi="fa-IR" w:val="en-US"/>
        </w:rPr>
        <w:t>۲-۲- گستره دوم: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۲-۲-۱- مفهوم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۲-۲-۲- نظریه‌های مرتبط با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۲-۲-۳- ابعاد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۲-۲-۴- عوامل مؤثر بر اضطراب مرگ در سالمندان</w:t>
      </w:r>
    </w:p>
    <w:p>
      <w:pPr>
        <w:pStyle w:val="TOC3"/>
        <w:bidi w:val="1"/>
        <w:spacing w:after="120" w:line="276" w:lineRule="auto"/>
        <w:jc w:val="right"/>
      </w:pPr>
      <w:r>
        <w:rPr>
          <w:rFonts w:ascii="Times New Roman" w:hAnsi="Times New Roman" w:eastAsia="Times New Roman" w:cs="B Lotus"/>
          <w:sz w:val="28"/>
          <w:szCs w:val="28"/>
          <w:rtl/>
          <w:cs/>
          <w:lang w:bidi="fa-IR" w:val="en-US"/>
        </w:rPr>
        <w:t>۲-۲-۵- اضطراب مرگ و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۲-۲-۶- پیامدهای اضطراب مرگ</w:t>
      </w:r>
    </w:p>
    <w:p>
      <w:pPr>
        <w:pStyle w:val="TOC2"/>
        <w:bidi w:val="1"/>
        <w:spacing w:after="120" w:line="276" w:lineRule="auto"/>
        <w:jc w:val="right"/>
      </w:pPr>
      <w:r>
        <w:rPr>
          <w:rFonts w:ascii="Times New Roman" w:hAnsi="Times New Roman" w:eastAsia="Times New Roman" w:cs="B Lotus"/>
          <w:sz w:val="28"/>
          <w:szCs w:val="28"/>
          <w:rtl/>
          <w:cs/>
          <w:lang w:bidi="fa-IR" w:val="en-US"/>
        </w:rPr>
        <w:t>۲-۳- گستره سوم: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۲-۳-۱- مفهوم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۲-۳-۲- دیدگاه فضیلت‌گرایانه به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۲-۳-۳- عوامل موثر بر هوش معنوی</w:t>
      </w:r>
    </w:p>
    <w:p>
      <w:pPr>
        <w:pStyle w:val="TOC3"/>
        <w:bidi w:val="1"/>
        <w:spacing w:after="120" w:line="276" w:lineRule="auto"/>
        <w:jc w:val="right"/>
      </w:pPr>
      <w:r>
        <w:rPr>
          <w:rFonts w:ascii="Times New Roman" w:hAnsi="Times New Roman" w:eastAsia="Times New Roman" w:cs="B Lotus"/>
          <w:color w:val="1B7A3D"/>
          <w:sz w:val="28"/>
          <w:szCs w:val="28"/>
          <w:rtl/>
          <w:cs/>
          <w:lang w:bidi="fa-IR" w:val="en-US"/>
        </w:rPr>
        <w:t>۲-۳-۴- مدل چهارعاملی هوش معنوی کینگ</w:t>
      </w:r>
    </w:p>
    <w:p>
      <w:pPr>
        <w:pStyle w:val="TOC2"/>
        <w:bidi w:val="1"/>
        <w:spacing w:after="120" w:line="276" w:lineRule="auto"/>
        <w:jc w:val="right"/>
      </w:pPr>
      <w:r>
        <w:rPr>
          <w:rFonts w:ascii="Times New Roman" w:hAnsi="Times New Roman" w:eastAsia="Times New Roman" w:cs="B Lotus"/>
          <w:sz w:val="28"/>
          <w:szCs w:val="28"/>
          <w:rtl/>
          <w:cs/>
          <w:lang w:bidi="fa-IR" w:val="en-US"/>
        </w:rPr>
        <w:t>۲-۴- گستره چهارم: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۲-۴-۱- مفهوم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۲-۴-۲- مدل‌های نظری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۲-۴-۳- سالمندی و اضطراب سلامت</w:t>
      </w:r>
    </w:p>
    <w:p>
      <w:pPr>
        <w:pStyle w:val="TOC3"/>
        <w:bidi w:val="1"/>
        <w:spacing w:after="120" w:line="276" w:lineRule="auto"/>
        <w:jc w:val="right"/>
      </w:pPr>
      <w:r>
        <w:rPr>
          <w:rFonts w:ascii="Times New Roman" w:hAnsi="Times New Roman" w:eastAsia="Times New Roman" w:cs="B Lotus"/>
          <w:sz w:val="28"/>
          <w:szCs w:val="28"/>
          <w:rtl/>
          <w:cs/>
          <w:lang w:bidi="fa-IR" w:val="en-US"/>
        </w:rPr>
        <w:t>۲-۴-۴- عوامل زمینه‌ساز اضطراب</w:t>
      </w:r>
    </w:p>
    <w:p>
      <w:pPr>
        <w:pStyle w:val="TOC3"/>
        <w:bidi w:val="1"/>
        <w:spacing w:after="120" w:line="276" w:lineRule="auto"/>
        <w:jc w:val="right"/>
      </w:pPr>
      <w:r>
        <w:rPr>
          <w:rFonts w:ascii="Times New Roman" w:hAnsi="Times New Roman" w:eastAsia="Times New Roman" w:cs="B Lotus"/>
          <w:sz w:val="28"/>
          <w:szCs w:val="28"/>
          <w:rtl/>
          <w:cs/>
          <w:lang w:bidi="fa-IR" w:val="en-US"/>
        </w:rPr>
        <w:t>۲-۴-۵- مداخلات معطوف به کاهش اضطراب سلامت سالمندان</w:t>
      </w:r>
    </w:p>
    <w:p>
      <w:pPr>
        <w:pStyle w:val="TOC2"/>
        <w:bidi w:val="1"/>
        <w:spacing w:after="120" w:line="276" w:lineRule="auto"/>
        <w:jc w:val="right"/>
      </w:pPr>
      <w:r>
        <w:rPr>
          <w:rFonts w:ascii="Times New Roman" w:hAnsi="Times New Roman" w:eastAsia="Times New Roman" w:cs="B Lotus"/>
          <w:sz w:val="28"/>
          <w:szCs w:val="28"/>
          <w:rtl/>
          <w:cs/>
          <w:lang w:bidi="fa-IR" w:val="en-US"/>
        </w:rPr>
        <w:t>۲-۵- پیشینه پژوهش</w:t>
      </w:r>
    </w:p>
    <w:p>
      <w:pPr>
        <w:pStyle w:val="TOC3"/>
        <w:bidi w:val="1"/>
        <w:spacing w:after="120" w:line="276" w:lineRule="auto"/>
        <w:jc w:val="right"/>
      </w:pPr>
      <w:r>
        <w:rPr>
          <w:rFonts w:ascii="Times New Roman" w:hAnsi="Times New Roman" w:eastAsia="Times New Roman" w:cs="B Lotus"/>
          <w:sz w:val="28"/>
          <w:szCs w:val="28"/>
          <w:rtl/>
          <w:cs/>
          <w:lang w:bidi="fa-IR" w:val="en-US"/>
        </w:rPr>
        <w:t>۲-۵-۱- پیشینه داخلی</w:t>
      </w:r>
    </w:p>
    <w:p>
      <w:pPr>
        <w:pStyle w:val="TOC3"/>
        <w:bidi w:val="1"/>
        <w:spacing w:after="120" w:line="276" w:lineRule="auto"/>
        <w:jc w:val="right"/>
      </w:pPr>
      <w:r>
        <w:rPr>
          <w:rFonts w:ascii="Times New Roman" w:hAnsi="Times New Roman" w:eastAsia="Times New Roman" w:cs="B Lotus"/>
          <w:sz w:val="28"/>
          <w:szCs w:val="28"/>
          <w:rtl/>
          <w:cs/>
          <w:lang w:bidi="fa-IR" w:val="en-US"/>
        </w:rPr>
        <w:t>۲-۵-۲- پیشینه خارجی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فارسی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لاتین</w:t>
      </w:r>
    </w:p>
    <w:p w14:paraId="05FA92BD"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2" w:name="_Toc238572016"/>
      <w:r>
        <w:rPr>
          <w:rFonts w:ascii="Times New Roman" w:hAnsi="Times New Roman" w:cs="B Titr" w:eastAsia="Times New Roman"/>
          <w:b/>
          <w:bCs/>
          <w:color w:val="000000"/>
          <w:sz w:val="30"/>
          <w:szCs w:val="30"/>
          <w:rtl/>
          <w:cs/>
          <w:lang w:bidi="fa-IR"/>
        </w:rPr>
        <w:lastRenderedPageBreak/>
        <w:t>۲-۱- گستره نخست: سالمندی</w:t>
      </w:r>
      <w:bookmarkEnd w:id="22"/>
    </w:p>
    <w:p w14:paraId="78DC0B1D"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3" w:name="_Toc238572017"/>
      <w:r>
        <w:rPr>
          <w:rFonts w:ascii="Times New Roman" w:hAnsi="Times New Roman" w:cs="B Titr" w:eastAsia="Times New Roman"/>
          <w:b/>
          <w:bCs/>
          <w:color w:val="000000"/>
          <w:sz w:val="30"/>
          <w:szCs w:val="30"/>
          <w:rtl/>
          <w:cs/>
          <w:lang w:bidi="fa-IR"/>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در سال‌های اخیر، سازمان جهانی بهداشت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w:t>
      </w:r>
      <w:r>
        <w:rPr>
          <w:rFonts w:ascii="Times New Roman" w:hAnsi="Times New Roman" w:eastAsia="Times New Roman" w:cs="B Lotus"/>
          <w:color w:val="1B7A3D"/>
          <w:sz w:val="28"/>
          <w:szCs w:val="28"/>
          <w:rtl/>
          <w:cs/>
          <w:lang w:bidi="fa-IR" w:val="en-US"/>
        </w:rPr>
        <w:t>۲۰۲۰؛ سازمان جهانی بهداشت، ۲۰۲۳).</w:t>
      </w:r>
    </w:p>
    <w:p>
      <w:pPr>
        <w:pStyle w:val="Heading3"/>
        <w:bidi w:val="1"/>
        <w:spacing w:after="120" w:line="276" w:lineRule="auto"/>
        <w:jc w:val="right"/>
        <w:pageBreakBefore/>
      </w:pPr>
      <w:r>
        <w:rPr>
          <w:rFonts w:ascii="Times New Roman" w:hAnsi="Times New Roman" w:eastAsia="Times New Roman" w:cs="B Lotus"/>
          <w:b/>
          <w:bCs/>
          <w:sz w:val="28"/>
          <w:szCs w:val="28"/>
          <w:rtl/>
          <w:cs/>
          <w:lang w:bidi="fa-IR" w:val="en-US"/>
        </w:rPr>
        <w:t>۲-۱-۲- نظریه‌های سالمندی</w:t>
      </w:r>
    </w:p>
    <w:p>
      <w:pPr>
        <w:pStyle w:val="Normal"/>
        <w:bidi w:val="1"/>
        <w:spacing w:after="120" w:line="276" w:lineRule="auto"/>
        <w:jc w:val="right"/>
      </w:pPr>
      <w:r>
        <w:rPr>
          <w:rFonts w:ascii="Times New Roman" w:hAnsi="Times New Roman" w:eastAsia="Times New Roman" w:cs="B Lotus"/>
          <w:sz w:val="28"/>
          <w:szCs w:val="28"/>
          <w:rtl/>
          <w:cs/>
          <w:lang w:bidi="fa-IR" w:val="en-US"/>
        </w:rPr>
        <w:t>ژرونتولوژی</w:t>
      </w:r>
      <w:r>
        <w:rPr>
          <w:rFonts w:ascii="Times New Roman" w:hAnsi="Times New Roman" w:eastAsia="Times New Roman" w:cs="Times New Roman"/>
          <w:rStyle w:val="FootnoteReference"/>
          <w:sz w:val="20"/>
          <w:szCs w:val="20"/>
          <w:vertAlign w:val="superscript"/>
          <w:rtl w:val="0"/>
          <w:cs w:val="0"/>
          <w:lang w:val="en-US"/>
        </w:rPr>
        <w:footnoteReference w:id="1"/>
      </w:r>
      <w:r>
        <w:rPr>
          <w:rFonts w:ascii="Times New Roman" w:hAnsi="Times New Roman" w:eastAsia="Times New Roman" w:cs="B Lotus"/>
          <w:sz w:val="28"/>
          <w:szCs w:val="28"/>
          <w:rtl/>
          <w:cs/>
          <w:lang w:bidi="fa-IR" w:val="en-US"/>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همچنین،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eastAsia="Times New Roman" w:cs="B Lotus"/>
          <w:sz w:val="28"/>
          <w:szCs w:val="28"/>
          <w:rtl/>
          <w:cs/>
          <w:lang w:bidi="fa-IR" w:val="en-US"/>
        </w:rPr>
        <w:t>، ۲۰۲۳؛ سازمان جهانی بهداشت، ۲۰۲۰).</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 را نیز در میان نظریه‌های روان‌شناختی جای داده است.</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۲-۱-۲-۱- نظریه‌های زیست‌شناختی</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نظریه‌های زیست‌شناختی به سه دسته تقسیم می‌شوند:</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۲-۱-۲-۱-۱- نظریه ایمنی</w:t>
      </w:r>
    </w:p>
    <w:p>
      <w:pPr>
        <w:pStyle w:val="Normal"/>
        <w:bidi w:val="1"/>
        <w:spacing w:after="120" w:line="276" w:lineRule="auto"/>
        <w:jc w:val="right"/>
      </w:pPr>
      <w:r>
        <w:rPr>
          <w:rFonts w:ascii="Times New Roman" w:hAnsi="Times New Roman" w:eastAsia="Times New Roman" w:cs="B Lotus"/>
          <w:sz w:val="28"/>
          <w:szCs w:val="28"/>
          <w:rtl/>
          <w:cs/>
          <w:lang w:bidi="fa-IR" w:val="en-US"/>
        </w:rPr>
        <w:t>بر اساس نظریه ایمنی</w:t>
      </w:r>
      <w:r>
        <w:rPr>
          <w:rFonts w:ascii="Times New Roman" w:hAnsi="Times New Roman" w:eastAsia="Times New Roman" w:cs="Times New Roman"/>
          <w:rStyle w:val="FootnoteReference"/>
          <w:sz w:val="20"/>
          <w:szCs w:val="20"/>
          <w:vertAlign w:val="superscript"/>
          <w:rtl w:val="0"/>
          <w:cs w:val="0"/>
          <w:lang w:val="en-US"/>
        </w:rPr>
        <w:footnoteReference w:id="3"/>
      </w:r>
      <w:r>
        <w:rPr>
          <w:rFonts w:ascii="Times New Roman" w:hAnsi="Times New Roman" w:eastAsia="Times New Roman" w:cs="B Lotus"/>
          <w:sz w:val="28"/>
          <w:szCs w:val="28"/>
          <w:rtl/>
          <w:cs/>
          <w:lang w:bidi="fa-IR" w:val="en-US"/>
        </w:rPr>
        <w:t xml:space="preserve"> پیری تا حدی نتیجه تغییرات تدریجی در عملکرد سیستم ایمنی بدن است. سیستم ایمنی وظیفه شناسایی و حذف عوامل بیماری‌زا مانند ویروس‌ها، باکتری‌ها، قارچ‌ها و همچنین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علاوه بر این، در سالمندی احتمال بروز پاسخ‌های خودایمنی و التهاب مزمن نیز افزایش می‌یابد که می‌تواند به آسیب بافت‌های سالم بدن منجر شود. اگرچه نظریه ایمنی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 و همکاران</w:t>
      </w:r>
      <w:r>
        <w:rPr>
          <w:rFonts w:ascii="Times New Roman" w:hAnsi="Times New Roman" w:eastAsia="Times New Roman" w:cs="Times New Roman"/>
          <w:rStyle w:val="FootnoteReference"/>
          <w:sz w:val="20"/>
          <w:szCs w:val="20"/>
          <w:vertAlign w:val="superscript"/>
          <w:rtl w:val="0"/>
          <w:cs w:val="0"/>
          <w:lang w:val="en-US"/>
        </w:rPr>
        <w:footnoteReference w:id="4"/>
      </w:r>
      <w:r>
        <w:rPr>
          <w:rFonts w:ascii="Times New Roman" w:hAnsi="Times New Roman" w:eastAsia="Times New Roman" w:cs="B Lotus"/>
          <w:sz w:val="28"/>
          <w:szCs w:val="28"/>
          <w:rtl/>
          <w:cs/>
          <w:lang w:bidi="fa-IR" w:val="en-US"/>
        </w:rPr>
        <w:t>، ۲۰۲۳؛ فولپ و همکاران</w:t>
      </w:r>
      <w:r>
        <w:rPr>
          <w:rFonts w:ascii="Times New Roman" w:hAnsi="Times New Roman" w:eastAsia="Times New Roman" w:cs="Times New Roman"/>
          <w:rStyle w:val="FootnoteReference"/>
          <w:sz w:val="20"/>
          <w:szCs w:val="20"/>
          <w:vertAlign w:val="superscript"/>
          <w:rtl w:val="0"/>
          <w:cs w:val="0"/>
          <w:lang w:val="en-US"/>
        </w:rPr>
        <w:footnoteReference w:id="5"/>
      </w:r>
      <w:r>
        <w:rPr>
          <w:rFonts w:ascii="Times New Roman" w:hAnsi="Times New Roman" w:eastAsia="Times New Roman" w:cs="B Lotus"/>
          <w:sz w:val="28"/>
          <w:szCs w:val="28"/>
          <w:rtl/>
          <w:cs/>
          <w:lang w:bidi="fa-IR" w:val="en-US"/>
        </w:rPr>
        <w:t>، ۲۰۲۳).</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در پژوهش‌های سال‌های اخیر، مفهوم «التهاب پیری» یا اینفلامجینگ</w:t>
      </w:r>
      <w:r>
        <w:rPr>
          <w:rFonts w:ascii="Times New Roman" w:hAnsi="Times New Roman" w:eastAsia="Times New Roman" w:cs="Times New Roman"/>
          <w:rStyle w:val="FootnoteReference"/>
          <w:color w:val="1B7A3D"/>
          <w:sz w:val="20"/>
          <w:szCs w:val="20"/>
          <w:vertAlign w:val="superscript"/>
          <w:rtl w:val="0"/>
          <w:cs w:val="0"/>
          <w:lang w:val="en-US"/>
        </w:rPr>
        <w:footnoteReference w:id="6"/>
      </w:r>
      <w:r>
        <w:rPr>
          <w:rFonts w:ascii="Times New Roman" w:hAnsi="Times New Roman" w:eastAsia="Times New Roman" w:cs="B Lotus"/>
          <w:color w:val="1B7A3D"/>
          <w:sz w:val="28"/>
          <w:szCs w:val="28"/>
          <w:rtl/>
          <w:cs/>
          <w:lang w:bidi="fa-IR" w:val="en-US"/>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 و همکاران</w:t>
      </w:r>
      <w:r>
        <w:rPr>
          <w:rFonts w:ascii="Times New Roman" w:hAnsi="Times New Roman" w:eastAsia="Times New Roman" w:cs="Times New Roman"/>
          <w:rStyle w:val="FootnoteReference"/>
          <w:color w:val="1B7A3D"/>
          <w:sz w:val="20"/>
          <w:szCs w:val="20"/>
          <w:vertAlign w:val="superscript"/>
          <w:rtl w:val="0"/>
          <w:cs w:val="0"/>
          <w:lang w:val="en-US"/>
        </w:rPr>
        <w:footnoteReference w:id="7"/>
      </w:r>
      <w:r>
        <w:rPr>
          <w:rFonts w:ascii="Times New Roman" w:hAnsi="Times New Roman" w:eastAsia="Times New Roman" w:cs="B Lotus"/>
          <w:color w:val="1B7A3D"/>
          <w:sz w:val="28"/>
          <w:szCs w:val="28"/>
          <w:rtl/>
          <w:cs/>
          <w:lang w:bidi="fa-IR" w:val="en-US"/>
        </w:rPr>
        <w:t>، ۲۰۱۸؛ فولپ و همکاران،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۲-۱-۲-۱-۲- نظریه پیر شدن سلولی</w:t>
      </w:r>
    </w:p>
    <w:p>
      <w:pPr>
        <w:pStyle w:val="Normal"/>
        <w:bidi w:val="1"/>
        <w:spacing w:after="120" w:line="276" w:lineRule="auto"/>
        <w:jc w:val="right"/>
      </w:pPr>
      <w:r>
        <w:rPr>
          <w:rFonts w:ascii="Times New Roman" w:hAnsi="Times New Roman" w:eastAsia="Times New Roman" w:cs="B Lotus"/>
          <w:sz w:val="28"/>
          <w:szCs w:val="28"/>
          <w:rtl/>
          <w:cs/>
          <w:lang w:bidi="fa-IR" w:val="en-US"/>
        </w:rPr>
        <w:t>بر اساس نظریه پیری سلولی، سالمندی نتیجه تجمع تدریجی آسیب‌های مولکولی و سلولی، به‌ویژه در ماده ژنتیکی سلول‌ها (DNA)، است. در طول زندگی، عوامل درونی و محیطی موجب بروز آسیب در DNA و سایر اجزای سلول می‌شوند و با کاهش توانایی سیستم‌های ترمیم DNA، این آسیب‌ها به‌تدریج انباشته می‌شوند. در نتیجه، عملکرد طبیعی سلول‌ها مختل شده و ظرفیت تکثیر و بازسازی آن‌ها کاهش می‌یابد. علاوه بر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 و همکاران</w:t>
      </w:r>
      <w:r>
        <w:rPr>
          <w:rFonts w:ascii="Times New Roman" w:hAnsi="Times New Roman" w:eastAsia="Times New Roman" w:cs="Times New Roman"/>
          <w:rStyle w:val="FootnoteReference"/>
          <w:sz w:val="20"/>
          <w:szCs w:val="20"/>
          <w:vertAlign w:val="superscript"/>
          <w:rtl w:val="0"/>
          <w:cs w:val="0"/>
          <w:lang w:val="en-US"/>
        </w:rPr>
        <w:footnoteReference w:id="8"/>
      </w:r>
      <w:r>
        <w:rPr>
          <w:rFonts w:ascii="Times New Roman" w:hAnsi="Times New Roman" w:eastAsia="Times New Roman" w:cs="B Lotus"/>
          <w:sz w:val="28"/>
          <w:szCs w:val="28"/>
          <w:rtl/>
          <w:cs/>
          <w:lang w:bidi="fa-IR" w:val="en-US"/>
        </w:rPr>
        <w:t>، ۲۰۲۳؛ کامپیزی</w:t>
      </w:r>
      <w:r>
        <w:rPr>
          <w:rFonts w:ascii="Times New Roman" w:hAnsi="Times New Roman" w:eastAsia="Times New Roman" w:cs="Times New Roman"/>
          <w:rStyle w:val="FootnoteReference"/>
          <w:sz w:val="20"/>
          <w:szCs w:val="20"/>
          <w:vertAlign w:val="superscript"/>
          <w:rtl w:val="0"/>
          <w:cs w:val="0"/>
          <w:lang w:val="en-US"/>
        </w:rPr>
        <w:footnoteReference w:id="9"/>
      </w:r>
      <w:r>
        <w:rPr>
          <w:rFonts w:ascii="Times New Roman" w:hAnsi="Times New Roman" w:eastAsia="Times New Roman" w:cs="B Lotus"/>
          <w:sz w:val="28"/>
          <w:szCs w:val="28"/>
          <w:rtl/>
          <w:cs/>
          <w:lang w:bidi="fa-IR" w:val="en-US"/>
        </w:rPr>
        <w:t>، ۲۰۲۴).</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w:t>
      </w:r>
      <w:r>
        <w:rPr>
          <w:rFonts w:ascii="Times New Roman" w:hAnsi="Times New Roman" w:eastAsia="Times New Roman" w:cs="Times New Roman"/>
          <w:rStyle w:val="FootnoteReference"/>
          <w:color w:val="1B7A3D"/>
          <w:sz w:val="20"/>
          <w:szCs w:val="20"/>
          <w:vertAlign w:val="superscript"/>
          <w:rtl w:val="0"/>
          <w:cs w:val="0"/>
          <w:lang w:val="en-US"/>
        </w:rPr>
        <w:footnoteReference w:id="8"/>
      </w:r>
      <w:r>
        <w:rPr>
          <w:rFonts w:ascii="Times New Roman" w:hAnsi="Times New Roman" w:eastAsia="Times New Roman" w:cs="B Lotus"/>
          <w:color w:val="1B7A3D"/>
          <w:sz w:val="28"/>
          <w:szCs w:val="28"/>
          <w:rtl/>
          <w:cs/>
          <w:lang w:bidi="fa-IR" w:val="en-US"/>
        </w:rPr>
        <w:t>،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۲-۱-۲-۱-۳- نظریه رادیکال آزاد</w:t>
      </w:r>
    </w:p>
    <w:p>
      <w:pPr>
        <w:pStyle w:val="Normal"/>
        <w:bidi w:val="1"/>
        <w:spacing w:after="120" w:line="276" w:lineRule="auto"/>
        <w:jc w:val="right"/>
      </w:pPr>
      <w:r>
        <w:rPr>
          <w:rFonts w:ascii="Times New Roman" w:hAnsi="Times New Roman" w:eastAsia="Times New Roman" w:cs="B Lotus"/>
          <w:sz w:val="28"/>
          <w:szCs w:val="28"/>
          <w:rtl/>
          <w:cs/>
          <w:lang w:bidi="fa-IR" w:val="en-US"/>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DNA، پروتئین‌ها، لیپیدهای غشایی و سایر اجزای سلولی آسیب برساند و به اختلال عملکرد سلول‌ها و بافت‌ها منجر شود. همچنین،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 و همکاران، </w:t>
      </w:r>
      <w:r>
        <w:rPr>
          <w:rFonts w:ascii="Times New Roman" w:hAnsi="Times New Roman" w:eastAsia="Times New Roman" w:cs="B Lotus"/>
          <w:sz w:val="28"/>
          <w:szCs w:val="28"/>
          <w:rtl/>
          <w:cs/>
          <w:lang w:bidi="fa-IR" w:val="en-US"/>
        </w:rPr>
        <w:t>۲۰۲۳؛ گلادیشف</w:t>
      </w:r>
      <w:r>
        <w:rPr>
          <w:rFonts w:ascii="Times New Roman" w:hAnsi="Times New Roman" w:eastAsia="Times New Roman" w:cs="Times New Roman"/>
          <w:rStyle w:val="FootnoteReference"/>
          <w:sz w:val="20"/>
          <w:szCs w:val="20"/>
          <w:vertAlign w:val="superscript"/>
          <w:rtl w:val="0"/>
          <w:cs w:val="0"/>
          <w:lang w:val="en-US"/>
        </w:rPr>
        <w:footnoteReference w:id="10"/>
      </w:r>
      <w:r>
        <w:rPr>
          <w:rFonts w:ascii="Times New Roman" w:hAnsi="Times New Roman" w:eastAsia="Times New Roman" w:cs="B Lotus"/>
          <w:sz w:val="28"/>
          <w:szCs w:val="28"/>
          <w:rtl/>
          <w:cs/>
          <w:lang w:bidi="fa-IR" w:val="en-US"/>
        </w:rPr>
        <w:t>، ۲۰۲۴).</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w:t>
      </w:r>
      <w:r>
        <w:rPr>
          <w:rFonts w:ascii="Times New Roman" w:hAnsi="Times New Roman" w:eastAsia="Times New Roman" w:cs="B Lotus"/>
          <w:color w:val="1B7A3D"/>
          <w:sz w:val="28"/>
          <w:szCs w:val="28"/>
          <w:rtl/>
          <w:cs/>
          <w:lang w:bidi="fa-IR" w:val="en-US"/>
        </w:rPr>
        <w:t>۲۰۲۳؛ گلادیشف، ۲۰۲۴).</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۲-۱-۲-۲- نظریه‌های روان‌شناختی</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در کنار نظریه‌های کلاسیک مراحل زندگی، نظریه انتخاب اجتماعی-هیجانی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۲-۱-۲-۲-۱- نظریه گولد</w:t>
      </w:r>
    </w:p>
    <w:p>
      <w:pPr>
        <w:pStyle w:val="Normal"/>
        <w:bidi w:val="1"/>
        <w:spacing w:after="120" w:line="276" w:lineRule="auto"/>
        <w:jc w:val="right"/>
      </w:pPr>
      <w:r>
        <w:rPr>
          <w:rFonts w:ascii="Times New Roman" w:hAnsi="Times New Roman" w:eastAsia="Times New Roman" w:cs="B Lotus"/>
          <w:sz w:val="28"/>
          <w:szCs w:val="28"/>
          <w:rtl/>
          <w:cs/>
          <w:lang w:bidi="fa-IR" w:val="en-US"/>
        </w:rPr>
        <w:t>راجر گولد</w:t>
      </w:r>
      <w:r>
        <w:rPr>
          <w:rFonts w:ascii="Times New Roman" w:hAnsi="Times New Roman" w:eastAsia="Times New Roman" w:cs="Times New Roman"/>
          <w:rStyle w:val="FootnoteReference"/>
          <w:sz w:val="20"/>
          <w:szCs w:val="20"/>
          <w:vertAlign w:val="superscript"/>
          <w:rtl w:val="0"/>
          <w:cs w:val="0"/>
          <w:lang w:val="en-US"/>
        </w:rPr>
        <w:footnoteReference w:id="11"/>
      </w:r>
      <w:r>
        <w:rPr>
          <w:rFonts w:ascii="Times New Roman" w:hAnsi="Times New Roman" w:eastAsia="Times New Roman" w:cs="B Lotus"/>
          <w:sz w:val="28"/>
          <w:szCs w:val="28"/>
          <w:rtl/>
          <w:cs/>
          <w:lang w:bidi="fa-IR" w:val="en-US"/>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فروغیان، ۱۳۹۲).</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اگرچه صورت‌بندی گولد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 </w:t>
      </w:r>
      <w:r>
        <w:rPr>
          <w:rFonts w:ascii="Times New Roman" w:hAnsi="Times New Roman" w:eastAsia="Times New Roman" w:cs="B Lotus"/>
          <w:color w:val="1B7A3D"/>
          <w:sz w:val="28"/>
          <w:szCs w:val="28"/>
          <w:rtl/>
          <w:cs/>
          <w:lang w:bidi="fa-IR" w:val="en-US"/>
        </w:rPr>
        <w:t>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۲-۱-۲-۲-۲- نظریه لوینسون و شی</w:t>
      </w:r>
    </w:p>
    <w:p>
      <w:pPr>
        <w:pStyle w:val="Normal"/>
        <w:bidi w:val="1"/>
        <w:spacing w:after="120" w:line="276" w:lineRule="auto"/>
        <w:jc w:val="right"/>
      </w:pPr>
      <w:r>
        <w:rPr>
          <w:rFonts w:ascii="Times New Roman" w:hAnsi="Times New Roman" w:eastAsia="Times New Roman" w:cs="B Lotus"/>
          <w:sz w:val="28"/>
          <w:szCs w:val="28"/>
          <w:rtl/>
          <w:cs/>
          <w:lang w:bidi="fa-IR" w:val="en-US"/>
        </w:rPr>
        <w:t>دانیل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hAnsi="Times New Roman" w:eastAsia="Times New Roman" w:cs="B Lotus"/>
          <w:sz w:val="28"/>
          <w:szCs w:val="28"/>
          <w:rtl/>
          <w:cs/>
          <w:lang w:bidi="fa-IR" w:val="en-US"/>
        </w:rPr>
        <w:t xml:space="preserve"> (۱۹۷۸؛ به نقل از رایس، ۲۰۰۱، ترجمه فروغان، ۱۳۹۲) </w:t>
      </w:r>
      <w:r>
        <w:rPr>
          <w:rFonts w:ascii="Times New Roman" w:hAnsi="Times New Roman" w:eastAsia="Times New Roman" w:cs="B Lotus"/>
          <w:sz w:val="28"/>
          <w:szCs w:val="28"/>
          <w:rtl/>
          <w:cs/>
          <w:lang w:bidi="fa-IR" w:val="en-US"/>
        </w:rPr>
        <w:t>سالمندی را مواجهه با خود و زندگی و نیاز به برقراری صلح جهانی می‌داند. شی</w:t>
      </w:r>
      <w:r>
        <w:rPr>
          <w:rFonts w:ascii="Times New Roman" w:hAnsi="Times New Roman" w:eastAsia="Times New Roman" w:cs="Times New Roman"/>
          <w:rStyle w:val="FootnoteReference"/>
          <w:sz w:val="20"/>
          <w:szCs w:val="20"/>
          <w:vertAlign w:val="superscript"/>
          <w:rtl w:val="0"/>
          <w:cs w:val="0"/>
          <w:lang w:val="en-US"/>
        </w:rPr>
        <w:footnoteReference w:id="13"/>
      </w:r>
      <w:r>
        <w:rPr>
          <w:rFonts w:ascii="Times New Roman" w:hAnsi="Times New Roman" w:eastAsia="Times New Roman" w:cs="B Lotus"/>
          <w:sz w:val="28"/>
          <w:szCs w:val="28"/>
          <w:rtl/>
          <w:cs/>
          <w:lang w:bidi="fa-IR" w:val="en-US"/>
        </w:rPr>
        <w:t xml:space="preserve"> (۱۹۷۹؛ به نقل از منصور، ۱۳۸۶) </w:t>
      </w:r>
      <w:r>
        <w:rPr>
          <w:rFonts w:ascii="Times New Roman" w:hAnsi="Times New Roman" w:eastAsia="Times New Roman" w:cs="B Lotus"/>
          <w:sz w:val="28"/>
          <w:szCs w:val="28"/>
          <w:rtl/>
          <w:cs/>
          <w:lang w:bidi="fa-IR" w:val="en-US"/>
        </w:rPr>
        <w:t>سالمندی را مرحله ایجاد وحدت و تمامیت می‌داند و فرد بیشتر بر هدف‌ها و اعمال خویش متمرکز است و از بسیاری از فعالیت‌ها انصراف حاصل می‌کند.</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صورت‌بندی مرحله‌ای لوینسون و شی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 </w:t>
      </w:r>
      <w:r>
        <w:rPr>
          <w:rFonts w:ascii="Times New Roman" w:hAnsi="Times New Roman" w:eastAsia="Times New Roman" w:cs="B Lotus"/>
          <w:color w:val="1B7A3D"/>
          <w:sz w:val="28"/>
          <w:szCs w:val="28"/>
          <w:rtl/>
          <w:cs/>
          <w:lang w:bidi="fa-IR" w:val="en-US"/>
        </w:rPr>
        <w:t>۲۰۰۶).</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۲-۱-۲-۲-۳- نظریه اریکسون</w:t>
      </w:r>
    </w:p>
    <w:p>
      <w:pPr>
        <w:pStyle w:val="Normal"/>
        <w:bidi w:val="1"/>
        <w:spacing w:after="120" w:line="276" w:lineRule="auto"/>
        <w:jc w:val="right"/>
      </w:pPr>
      <w:r>
        <w:rPr>
          <w:rFonts w:ascii="Times New Roman" w:hAnsi="Times New Roman" w:eastAsia="Times New Roman" w:cs="B Lotus"/>
          <w:sz w:val="28"/>
          <w:szCs w:val="28"/>
          <w:rtl/>
          <w:cs/>
          <w:lang w:bidi="fa-IR" w:val="en-US"/>
        </w:rPr>
        <w:t>از دیدگاه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w:t>
      </w:r>
      <w:r>
        <w:rPr>
          <w:rFonts w:ascii="Times New Roman" w:hAnsi="Times New Roman" w:eastAsia="Times New Roman" w:cs="B Lotus"/>
          <w:sz w:val="28"/>
          <w:szCs w:val="28"/>
          <w:rtl/>
          <w:cs/>
          <w:lang w:bidi="fa-IR" w:val="en-US"/>
        </w:rPr>
        <w:t>۱۹۸۲؛ اریکسون و کیونیو</w:t>
      </w:r>
      <w:r>
        <w:rPr>
          <w:rFonts w:ascii="Times New Roman" w:hAnsi="Times New Roman" w:eastAsia="Times New Roman" w:cs="Times New Roman"/>
          <w:rStyle w:val="FootnoteReference"/>
          <w:sz w:val="20"/>
          <w:szCs w:val="20"/>
          <w:vertAlign w:val="superscript"/>
          <w:rtl w:val="0"/>
          <w:cs w:val="0"/>
          <w:lang w:val="en-US"/>
        </w:rPr>
        <w:footnoteReference w:id="15"/>
      </w:r>
      <w:r>
        <w:rPr>
          <w:rFonts w:ascii="Times New Roman" w:hAnsi="Times New Roman" w:eastAsia="Times New Roman" w:cs="B Lotus"/>
          <w:sz w:val="28"/>
          <w:szCs w:val="28"/>
          <w:rtl/>
          <w:cs/>
          <w:lang w:bidi="fa-IR" w:val="en-US"/>
        </w:rPr>
        <w:t>، ۱۹۸۶).</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 بولمایر و مک‌آدامز</w:t>
      </w:r>
      <w:r>
        <w:rPr>
          <w:rFonts w:ascii="Times New Roman" w:hAnsi="Times New Roman" w:eastAsia="Times New Roman" w:cs="Times New Roman"/>
          <w:rStyle w:val="FootnoteReference"/>
          <w:color w:val="1B7A3D"/>
          <w:sz w:val="20"/>
          <w:szCs w:val="20"/>
          <w:vertAlign w:val="superscript"/>
          <w:rtl w:val="0"/>
          <w:cs w:val="0"/>
          <w:lang w:val="en-US"/>
        </w:rPr>
        <w:footnoteReference w:id="16"/>
      </w:r>
      <w:r>
        <w:rPr>
          <w:rFonts w:ascii="Times New Roman" w:hAnsi="Times New Roman" w:eastAsia="Times New Roman" w:cs="B Lotus"/>
          <w:color w:val="1B7A3D"/>
          <w:sz w:val="28"/>
          <w:szCs w:val="28"/>
          <w:rtl/>
          <w:cs/>
          <w:lang w:bidi="fa-IR" w:val="en-US"/>
        </w:rPr>
        <w:t>، ۲۰۱۷).</w:t>
      </w:r>
    </w:p>
    <w:p>
      <w:pPr>
        <w:pStyle w:val="Heading5"/>
        <w:bidi w:val="1"/>
        <w:spacing w:after="120" w:line="276" w:lineRule="auto"/>
        <w:jc w:val="right"/>
      </w:pPr>
      <w:r>
        <w:rPr>
          <w:rFonts w:ascii="Times New Roman" w:hAnsi="Times New Roman" w:eastAsia="Times New Roman" w:cs="B Lotus"/>
          <w:b/>
          <w:bCs/>
          <w:color w:val="1B7A3D"/>
          <w:sz w:val="28"/>
          <w:szCs w:val="28"/>
          <w:rtl/>
          <w:cs/>
          <w:lang w:bidi="fa-IR" w:val="en-US"/>
        </w:rPr>
        <w:t>۲-۱-۲-۲-۴- نظریه انتخاب اجتماعی-هیجانی</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نظریه انتخاب اجتماعی-هیجانی</w:t>
      </w:r>
      <w:r>
        <w:rPr>
          <w:rFonts w:ascii="Times New Roman" w:hAnsi="Times New Roman" w:eastAsia="Times New Roman" w:cs="Times New Roman"/>
          <w:rStyle w:val="FootnoteReference"/>
          <w:color w:val="1B7A3D"/>
          <w:sz w:val="20"/>
          <w:szCs w:val="20"/>
          <w:vertAlign w:val="superscript"/>
          <w:rtl w:val="0"/>
          <w:cs w:val="0"/>
          <w:lang w:val="en-US"/>
        </w:rPr>
        <w:footnoteReference w:id="17"/>
      </w:r>
      <w:r>
        <w:rPr>
          <w:rFonts w:ascii="Times New Roman" w:hAnsi="Times New Roman" w:eastAsia="Times New Roman" w:cs="B Lotus"/>
          <w:color w:val="1B7A3D"/>
          <w:sz w:val="28"/>
          <w:szCs w:val="28"/>
          <w:rtl/>
          <w:cs/>
          <w:lang w:bidi="fa-IR" w:val="en-US"/>
        </w:rPr>
        <w:t xml:space="preserve"> که توسط لورا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color w:val="1B7A3D"/>
          <w:sz w:val="20"/>
          <w:szCs w:val="20"/>
          <w:vertAlign w:val="superscript"/>
          <w:rtl w:val="0"/>
          <w:cs w:val="0"/>
          <w:lang w:val="en-US"/>
        </w:rPr>
        <w:footnoteReference w:id="21"/>
      </w:r>
      <w:r>
        <w:rPr>
          <w:rFonts w:ascii="Times New Roman" w:hAnsi="Times New Roman" w:eastAsia="Times New Roman" w:cs="B Lotus"/>
          <w:color w:val="1B7A3D"/>
          <w:sz w:val="28"/>
          <w:szCs w:val="28"/>
          <w:rtl/>
          <w:cs/>
          <w:lang w:bidi="fa-IR" w:val="en-US"/>
        </w:rPr>
        <w:t xml:space="preserve"> در توجه و حافظه سالمندان همراه دانسته شده است؛ یعنی سوگیری به اطلاعات مثبت در مقایسه با اطلاعات منفی. شواهد تجربی، از جمله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از جمله آگاهی از پایان زندگی ــ پیشنهاد نموده‌اند (کارستنسن، آیزاکوویتز</w:t>
      </w:r>
      <w:r>
        <w:rPr>
          <w:rFonts w:ascii="Times New Roman" w:hAnsi="Times New Roman" w:eastAsia="Times New Roman" w:cs="Times New Roman"/>
          <w:rStyle w:val="FootnoteReference"/>
          <w:color w:val="1B7A3D"/>
          <w:sz w:val="20"/>
          <w:szCs w:val="20"/>
          <w:vertAlign w:val="superscript"/>
          <w:rtl w:val="0"/>
          <w:cs w:val="0"/>
          <w:lang w:val="en-US"/>
        </w:rPr>
        <w:footnoteReference w:id="19"/>
      </w:r>
      <w:r>
        <w:rPr>
          <w:rFonts w:ascii="Times New Roman" w:hAnsi="Times New Roman" w:eastAsia="Times New Roman" w:cs="B Lotus"/>
          <w:color w:val="1B7A3D"/>
          <w:sz w:val="28"/>
          <w:szCs w:val="28"/>
          <w:rtl/>
          <w:cs/>
          <w:lang w:bidi="fa-IR" w:val="en-US"/>
        </w:rPr>
        <w:t xml:space="preserve"> و چارلز</w:t>
      </w:r>
      <w:r>
        <w:rPr>
          <w:rFonts w:ascii="Times New Roman" w:hAnsi="Times New Roman" w:eastAsia="Times New Roman" w:cs="Times New Roman"/>
          <w:rStyle w:val="FootnoteReference"/>
          <w:color w:val="1B7A3D"/>
          <w:sz w:val="20"/>
          <w:szCs w:val="20"/>
          <w:vertAlign w:val="superscript"/>
          <w:rtl w:val="0"/>
          <w:cs w:val="0"/>
          <w:lang w:val="en-US"/>
        </w:rPr>
        <w:footnoteReference w:id="20"/>
      </w:r>
      <w:r>
        <w:rPr>
          <w:rFonts w:ascii="Times New Roman" w:hAnsi="Times New Roman" w:eastAsia="Times New Roman" w:cs="B Lotus"/>
          <w:color w:val="1B7A3D"/>
          <w:sz w:val="28"/>
          <w:szCs w:val="28"/>
          <w:rtl/>
          <w:cs/>
          <w:lang w:bidi="fa-IR" w:val="en-US"/>
        </w:rPr>
        <w:t>، ۱۹۹۹؛ کارستنسن، ۲۰۰۶؛ رید، چان و مایکلز</w:t>
      </w:r>
      <w:r>
        <w:rPr>
          <w:rFonts w:ascii="Times New Roman" w:hAnsi="Times New Roman" w:eastAsia="Times New Roman" w:cs="Times New Roman"/>
          <w:rStyle w:val="FootnoteReference"/>
          <w:color w:val="1B7A3D"/>
          <w:sz w:val="20"/>
          <w:szCs w:val="20"/>
          <w:vertAlign w:val="superscript"/>
          <w:rtl w:val="0"/>
          <w:cs w:val="0"/>
          <w:lang w:val="en-US"/>
        </w:rPr>
        <w:footnoteReference w:id="22"/>
      </w:r>
      <w:r>
        <w:rPr>
          <w:rFonts w:ascii="Times New Roman" w:hAnsi="Times New Roman" w:eastAsia="Times New Roman" w:cs="B Lotus"/>
          <w:color w:val="1B7A3D"/>
          <w:sz w:val="28"/>
          <w:szCs w:val="28"/>
          <w:rtl/>
          <w:cs/>
          <w:lang w:bidi="fa-IR" w:val="en-US"/>
        </w:rPr>
        <w:t>، ۲۰۱۴؛ کارستنسن، ۲۰۲۱).</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۲-۱-۲-۳- نظریه‌های جامعه‌شناختی</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۲-۱-۲-۳-۱- نظریه عدم تعهد</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عدم تعهد</w:t>
      </w:r>
      <w:r>
        <w:rPr>
          <w:rFonts w:ascii="Times New Roman" w:hAnsi="Times New Roman" w:eastAsia="Times New Roman" w:cs="Times New Roman"/>
          <w:rStyle w:val="FootnoteReference"/>
          <w:sz w:val="20"/>
          <w:szCs w:val="20"/>
          <w:vertAlign w:val="superscript"/>
          <w:rtl w:val="0"/>
          <w:cs w:val="0"/>
          <w:lang w:val="en-US"/>
        </w:rPr>
        <w:footnoteReference w:id="23"/>
      </w:r>
      <w:r>
        <w:rPr>
          <w:rFonts w:ascii="Times New Roman" w:hAnsi="Times New Roman" w:eastAsia="Times New Roman" w:cs="B Lotus"/>
          <w:sz w:val="28"/>
          <w:szCs w:val="28"/>
          <w:rtl/>
          <w:cs/>
          <w:lang w:bidi="fa-IR" w:val="en-US"/>
        </w:rPr>
        <w:t xml:space="preserve"> که توسط کامینگ و هنری</w:t>
      </w:r>
      <w:r>
        <w:rPr>
          <w:rFonts w:ascii="Times New Roman" w:hAnsi="Times New Roman" w:eastAsia="Times New Roman" w:cs="Times New Roman"/>
          <w:rStyle w:val="FootnoteReference"/>
          <w:sz w:val="20"/>
          <w:szCs w:val="20"/>
          <w:vertAlign w:val="superscript"/>
          <w:rtl w:val="0"/>
          <w:cs w:val="0"/>
          <w:lang w:val="en-US"/>
        </w:rPr>
        <w:footnoteReference w:id="24"/>
      </w:r>
      <w:r>
        <w:rPr>
          <w:rFonts w:ascii="Times New Roman" w:hAnsi="Times New Roman" w:eastAsia="Times New Roman" w:cs="B Lotus"/>
          <w:sz w:val="28"/>
          <w:szCs w:val="28"/>
          <w:rtl/>
          <w:cs/>
          <w:lang w:bidi="fa-IR" w:val="en-US"/>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w:t>
      </w:r>
      <w:r>
        <w:rPr>
          <w:rFonts w:ascii="Times New Roman" w:hAnsi="Times New Roman" w:eastAsia="Times New Roman" w:cs="B Lotus"/>
          <w:sz w:val="28"/>
          <w:szCs w:val="28"/>
          <w:rtl/>
          <w:cs/>
          <w:lang w:bidi="fa-IR" w:val="en-US"/>
        </w:rPr>
        <w:t>۱۹۶۱؛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۲۰۱۶).</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 </w:t>
      </w:r>
      <w:r>
        <w:rPr>
          <w:rFonts w:ascii="Times New Roman" w:hAnsi="Times New Roman" w:eastAsia="Times New Roman" w:cs="B Lotus"/>
          <w:color w:val="1B7A3D"/>
          <w:sz w:val="28"/>
          <w:szCs w:val="28"/>
          <w:rtl/>
          <w:cs/>
          <w:lang w:bidi="fa-IR" w:val="en-US"/>
        </w:rPr>
        <w:t>۲۰۲۰؛ سازمان جهانی بهداشت،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۲-۱-۲-۳-۲- نظریه فعالیت</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فعالیت</w:t>
      </w:r>
      <w:r>
        <w:rPr>
          <w:rFonts w:ascii="Times New Roman" w:hAnsi="Times New Roman" w:eastAsia="Times New Roman" w:cs="Times New Roman"/>
          <w:rStyle w:val="FootnoteReference"/>
          <w:sz w:val="20"/>
          <w:szCs w:val="20"/>
          <w:vertAlign w:val="superscript"/>
          <w:rtl w:val="0"/>
          <w:cs w:val="0"/>
          <w:lang w:val="en-US"/>
        </w:rPr>
        <w:footnoteReference w:id="26"/>
      </w:r>
      <w:r>
        <w:rPr>
          <w:rFonts w:ascii="Times New Roman" w:hAnsi="Times New Roman" w:eastAsia="Times New Roman" w:cs="B Lotus"/>
          <w:sz w:val="28"/>
          <w:szCs w:val="28"/>
          <w:rtl/>
          <w:cs/>
          <w:lang w:bidi="fa-IR" w:val="en-US"/>
        </w:rPr>
        <w:t xml:space="preserve"> که توسط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xml:space="preserve">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w:t>
      </w:r>
      <w:r>
        <w:rPr>
          <w:rFonts w:ascii="Times New Roman" w:hAnsi="Times New Roman" w:eastAsia="Times New Roman" w:cs="B Lotus"/>
          <w:sz w:val="28"/>
          <w:szCs w:val="28"/>
          <w:rtl/>
          <w:cs/>
          <w:lang w:bidi="fa-IR" w:val="en-US"/>
        </w:rPr>
        <w:t>۱۹۶۱؛ هاویگهرست، نیوگارتن و توبین</w:t>
      </w:r>
      <w:r>
        <w:rPr>
          <w:rFonts w:ascii="Times New Roman" w:hAnsi="Times New Roman" w:eastAsia="Times New Roman" w:cs="Times New Roman"/>
          <w:rStyle w:val="FootnoteReference"/>
          <w:sz w:val="20"/>
          <w:szCs w:val="20"/>
          <w:vertAlign w:val="superscript"/>
          <w:rtl w:val="0"/>
          <w:cs w:val="0"/>
          <w:lang w:val="en-US"/>
        </w:rPr>
        <w:footnoteReference w:id="28"/>
      </w:r>
      <w:r>
        <w:rPr>
          <w:rFonts w:ascii="Times New Roman" w:hAnsi="Times New Roman" w:eastAsia="Times New Roman" w:cs="B Lotus"/>
          <w:sz w:val="28"/>
          <w:szCs w:val="28"/>
          <w:rtl/>
          <w:cs/>
          <w:lang w:bidi="fa-IR" w:val="en-US"/>
        </w:rPr>
        <w:t>، ۱۹۶۸).</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 و کان</w:t>
      </w:r>
      <w:r>
        <w:rPr>
          <w:rFonts w:ascii="Times New Roman" w:hAnsi="Times New Roman" w:eastAsia="Times New Roman" w:cs="Times New Roman"/>
          <w:rStyle w:val="FootnoteReference"/>
          <w:color w:val="1B7A3D"/>
          <w:sz w:val="20"/>
          <w:szCs w:val="20"/>
          <w:vertAlign w:val="superscript"/>
          <w:rtl w:val="0"/>
          <w:cs w:val="0"/>
          <w:lang w:val="en-US"/>
        </w:rPr>
        <w:footnoteReference w:id="29"/>
      </w:r>
      <w:r>
        <w:rPr>
          <w:rFonts w:ascii="Times New Roman" w:hAnsi="Times New Roman" w:eastAsia="Times New Roman" w:cs="B Lotus"/>
          <w:color w:val="1B7A3D"/>
          <w:sz w:val="28"/>
          <w:szCs w:val="28"/>
          <w:rtl/>
          <w:cs/>
          <w:lang w:bidi="fa-IR" w:val="en-US"/>
        </w:rPr>
        <w:t>، ۲۰۱۵).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۲-۱-۲-۳-۳- نظریه مبادله یا تعامل</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مبادله اجتماعی، که توسط داود</w:t>
      </w:r>
      <w:r>
        <w:rPr>
          <w:rFonts w:ascii="Times New Roman" w:hAnsi="Times New Roman" w:eastAsia="Times New Roman" w:cs="Times New Roman"/>
          <w:rStyle w:val="FootnoteReference"/>
          <w:sz w:val="20"/>
          <w:szCs w:val="20"/>
          <w:vertAlign w:val="superscript"/>
          <w:rtl w:val="0"/>
          <w:cs w:val="0"/>
          <w:lang w:val="en-US"/>
        </w:rPr>
        <w:footnoteReference w:id="30"/>
      </w:r>
      <w:r>
        <w:rPr>
          <w:rFonts w:ascii="Times New Roman" w:hAnsi="Times New Roman" w:eastAsia="Times New Roman" w:cs="B Lotus"/>
          <w:sz w:val="28"/>
          <w:szCs w:val="28"/>
          <w:rtl/>
          <w:cs/>
          <w:lang w:bidi="fa-IR" w:val="en-US"/>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w:t>
      </w:r>
      <w:r>
        <w:rPr>
          <w:rFonts w:ascii="Times New Roman" w:hAnsi="Times New Roman" w:eastAsia="Times New Roman" w:cs="B Lotus"/>
          <w:sz w:val="28"/>
          <w:szCs w:val="28"/>
          <w:rtl/>
          <w:cs/>
          <w:lang w:bidi="fa-IR" w:val="en-US"/>
        </w:rPr>
        <w:t>۱۹۷۵).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۲-۱-۲-۳-۴- نظریه استمرار</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تداوم یا استمرار</w:t>
      </w:r>
      <w:r>
        <w:rPr>
          <w:rFonts w:ascii="Times New Roman" w:hAnsi="Times New Roman" w:eastAsia="Times New Roman" w:cs="Times New Roman"/>
          <w:rStyle w:val="FootnoteReference"/>
          <w:sz w:val="20"/>
          <w:szCs w:val="20"/>
          <w:vertAlign w:val="superscript"/>
          <w:rtl w:val="0"/>
          <w:cs w:val="0"/>
          <w:lang w:val="en-US"/>
        </w:rPr>
        <w:footnoteReference w:id="31"/>
      </w:r>
      <w:r>
        <w:rPr>
          <w:rFonts w:ascii="Times New Roman" w:hAnsi="Times New Roman" w:eastAsia="Times New Roman" w:cs="B Lotus"/>
          <w:sz w:val="28"/>
          <w:szCs w:val="28"/>
          <w:rtl/>
          <w:cs/>
          <w:lang w:bidi="fa-IR" w:val="en-US"/>
        </w:rPr>
        <w:t xml:space="preserve"> که توسط رابرت آچلی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w:t>
      </w:r>
      <w:r>
        <w:rPr>
          <w:rFonts w:ascii="Times New Roman" w:hAnsi="Times New Roman" w:eastAsia="Times New Roman" w:cs="B Lotus"/>
          <w:sz w:val="28"/>
          <w:szCs w:val="28"/>
          <w:rtl/>
          <w:cs/>
          <w:lang w:bidi="fa-IR" w:val="en-US"/>
        </w:rPr>
        <w:t>۱۹۸۹؛ آچلی، ۲۰۱۶).</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w:t>
      </w:r>
      <w:r>
        <w:rPr>
          <w:rFonts w:ascii="Times New Roman" w:hAnsi="Times New Roman" w:eastAsia="Times New Roman" w:cs="B Lotus"/>
          <w:color w:val="1B7A3D"/>
          <w:sz w:val="28"/>
          <w:szCs w:val="28"/>
          <w:rtl/>
          <w:cs/>
          <w:lang w:bidi="fa-IR" w:val="en-US"/>
        </w:rPr>
        <w:t>۲۰۱۶).</w:t>
      </w:r>
    </w:p>
    <w:p w14:paraId="7110E0CE"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0" w:name="_Toc238572032"/>
      <w:r>
        <w:rPr>
          <w:rFonts w:ascii="Times New Roman" w:hAnsi="Times New Roman" w:cs="B Titr" w:eastAsia="Times New Roman"/>
          <w:b/>
          <w:bCs/>
          <w:color w:val="000000"/>
          <w:sz w:val="30"/>
          <w:szCs w:val="30"/>
          <w:rtl/>
          <w:cs/>
          <w:lang w:bidi="fa-IR"/>
        </w:rPr>
        <w:t>۲-۲- گستره دوم: اضطراب مرگ</w:t>
      </w:r>
      <w:bookmarkEnd w:id="40"/>
    </w:p>
    <w:p>
      <w:pPr>
        <w:jc w:val="center"/>
        <w:bidi w:val="0"/>
      </w:pPr>
      <w:r>
        <w:drawing>
          <wp:inline distT="0" distB="0" distL="0" distR="0">
            <wp:extent cx="5669280" cy="3063240"/>
            <wp:effectExtent l="0" t="0" r="0" b="0"/>
            <wp:docPr id="21" name="DeathAnxietyTree"/>
            <wp:cNvGraphicFramePr/>
            <ns2:graphic xmlns:ns2="http://schemas.openxmlformats.org/drawingml/2006/main">
              <ns2:graphicData uri="http://schemas.microsoft.com/office/word/2010/wordprocessingGroup">
                <wpg:wgp>
                  <wpg:cNvGrpSpPr/>
                  <wpg:grpSpPr>
                    <ns2:xfrm>
                      <ns2:off x="0" y="0"/>
                      <ns2:ext cx="5669280" cy="3063240"/>
                      <ns2:chOff x="0" y="0"/>
                      <ns2:chExt cx="5669280" cy="306324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مرگ</w:t>
                          </w:r>
                        </w:p>
                      </w:txbxContent>
                    </wps:txbx>
                    <wps:bodyPr anchor="ctr" lIns="36000" rIns="36000" tIns="18000" bIns="18000"/>
                  </wps:wsp>
                  <wps:wsp>
                    <wps:cNvSpPr txBox="1"/>
                    <wps:spPr>
                      <ns2:xfrm>
                        <ns2:off x="42245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فروید</w:t>
                          </w:r>
                        </w:p>
                        <w:p>
                          <w:pPr>
                            <w:jc w:val="center"/>
                            <w:bidi/>
                            <w:spacing w:after="0" w:before="0" w:line="240" w:lineRule="auto"/>
                          </w:pPr>
                          <w:r>
                            <w:rPr>
                              <w:rFonts w:ascii="Times New Roman" w:cs="B Lotus" w:hAnsi="Times New Roman"/>
                              <w:sz w:val="14"/>
                              <w:szCs w:val="14"/>
                              <w:color w:val="FFFFFF"/>
                              <w:rtl/>
                              <w:cs/>
                            </w:rPr>
                            <w:t>روان‌تحلیل‌گری</w:t>
                          </w:r>
                        </w:p>
                      </w:txbxContent>
                    </wps:txbx>
                    <wps:bodyPr anchor="ctr" lIns="36000" rIns="36000" tIns="18000" bIns="18000"/>
                  </wps:wsp>
                  <wps:wsp>
                    <wps:cNvSpPr txBox="1"/>
                    <wps:spPr>
                      <ns2:xfrm>
                        <ns2:off x="28529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یالوم</w:t>
                          </w:r>
                        </w:p>
                        <w:p>
                          <w:pPr>
                            <w:jc w:val="center"/>
                            <w:bidi/>
                            <w:spacing w:after="0" w:before="0" w:line="240" w:lineRule="auto"/>
                          </w:pPr>
                          <w:r>
                            <w:rPr>
                              <w:rFonts w:ascii="Times New Roman" w:cs="B Lotus" w:hAnsi="Times New Roman"/>
                              <w:sz w:val="14"/>
                              <w:szCs w:val="14"/>
                              <w:color w:val="FFFFFF"/>
                              <w:rtl/>
                              <w:cs/>
                            </w:rPr>
                            <w:t>وجودگرایی</w:t>
                          </w:r>
                        </w:p>
                      </w:txbxContent>
                    </wps:txbx>
                    <wps:bodyPr anchor="ctr" lIns="36000" rIns="36000" tIns="18000" bIns="18000"/>
                  </wps:wsp>
                  <wps:wsp>
                    <wps:cNvSpPr txBox="1"/>
                    <wps:spPr>
                      <ns2:xfrm>
                        <ns2:off x="14813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مدیریت وحشت</w:t>
                          </w:r>
                        </w:p>
                        <w:p>
                          <w:pPr>
                            <w:jc w:val="center"/>
                            <w:bidi/>
                            <w:spacing w:after="0" w:before="0" w:line="240" w:lineRule="auto"/>
                          </w:pPr>
                          <w:r>
                            <w:rPr>
                              <w:rFonts w:ascii="Times New Roman" w:cs="B Lotus" w:hAnsi="Times New Roman"/>
                              <w:sz w:val="14"/>
                              <w:szCs w:val="14"/>
                              <w:color w:val="FFFFFF"/>
                              <w:rtl/>
                              <w:cs/>
                            </w:rPr>
                            <w:t>TMT</w:t>
                          </w:r>
                        </w:p>
                      </w:txbxContent>
                    </wps:txbx>
                    <wps:bodyPr anchor="ctr" lIns="36000" rIns="36000" tIns="18000" bIns="18000"/>
                  </wps:wsp>
                  <wps:wsp>
                    <wps:cNvSpPr txBox="1"/>
                    <wps:spPr>
                      <ns2:xfrm>
                        <ns2:off x="1097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دلبستگی</w:t>
                          </w:r>
                        </w:p>
                        <w:p>
                          <w:pPr>
                            <w:jc w:val="center"/>
                            <w:bidi/>
                            <w:spacing w:after="0" w:before="0" w:line="240" w:lineRule="auto"/>
                          </w:pPr>
                          <w:r>
                            <w:rPr>
                              <w:rFonts w:ascii="Times New Roman" w:cs="B Lotus" w:hAnsi="Times New Roman"/>
                              <w:sz w:val="14"/>
                              <w:szCs w:val="14"/>
                              <w:color w:val="FFFFFF"/>
                              <w:rtl/>
                              <w:cs/>
                            </w:rPr>
                            <w:t>بالبی</w:t>
                          </w:r>
                        </w:p>
                      </w:txbxContent>
                    </wps:txbx>
                    <wps:bodyPr anchor="ctr" lIns="36000" rIns="36000" tIns="18000" bIns="18000"/>
                  </wps:wsp>
                  <wps:wsp>
                    <wps:cNvSpPr txBox="1"/>
                    <wps:spPr>
                      <ns2:xfrm>
                        <ns2:off x="391363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ابعاد</w:t>
                          </w:r>
                        </w:p>
                      </w:txbxContent>
                    </wps:txbx>
                    <wps:bodyPr anchor="ctr" lIns="36000" rIns="36000" tIns="18000" bIns="18000"/>
                  </wps:wsp>
                  <wps:wsp>
                    <wps:cNvSpPr txBox="1"/>
                    <wps:spPr>
                      <ns2:xfrm>
                        <ns2:off x="217627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عوامل مؤثر</w:t>
                          </w:r>
                        </w:p>
                      </w:txbxContent>
                    </wps:txbx>
                    <wps:bodyPr anchor="ctr" lIns="36000" rIns="36000" tIns="18000" bIns="18000"/>
                  </wps:wsp>
                  <wps:wsp>
                    <wps:cNvSpPr txBox="1"/>
                    <wps:spPr>
                      <ns2:xfrm>
                        <ns2:off x="43891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پیامدها</w:t>
                          </w:r>
                        </w:p>
                      </w:txbxContent>
                    </wps:txbx>
                    <wps:bodyPr anchor="ctr" lIns="36000" rIns="36000" tIns="18000" bIns="18000"/>
                  </wps:wsp>
                  <wps:wsp>
                    <wps:cNvSpPr txBox="1"/>
                    <wps:spPr>
                      <ns2:xfrm>
                        <ns2:off x="1920240" y="2029968"/>
                        <ns2:ext cx="1828800" cy="38404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مفهوم اضطراب مرگ</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۲- درختواره اضطراب مرگ (نظریه‌ها، ابعاد، عوامل و پیامدها)</w:t>
      </w:r>
    </w:p>
    <w:p w14:paraId="2F8D22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1" w:name="_Toc238572033"/>
      <w:r>
        <w:rPr>
          <w:rFonts w:ascii="Times New Roman" w:hAnsi="Times New Roman" w:cs="B Titr" w:eastAsia="Times New Roman"/>
          <w:b/>
          <w:bCs/>
          <w:color w:val="000000"/>
          <w:sz w:val="30"/>
          <w:szCs w:val="30"/>
          <w:rtl/>
          <w:cs/>
          <w:lang w:bidi="fa-IR"/>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eastAsia="Times New Roman" w:cs="Times New Roman"/>
          <w:lang w:bidi="fa-IR" w:val="en-US"/>
          <w:sz w:val="20"/>
          <w:szCs w:val="20"/>
          <w:vertAlign w:val="superscript"/>
          <w:rtl w:val="0"/>
        </w:rPr>
        <w:footnoteReference w:id="40"/>
      </w:r>
      <w:r>
        <w:rPr>
          <w:rFonts w:ascii="Times New Roman" w:hAnsi="Times New Roman" w:hint="cs"/>
          <w:lang w:bidi="fa-IR"/>
          <w:rtl/>
        </w:rPr>
        <w:t xml:space="preserve"> و همکاران، ۲۰۲۲؛ مارتین</w:t>
      </w:r>
      <w:r>
        <w:rPr>
          <w:rStyle w:val="FootnoteReference"/>
          <w:rFonts w:ascii="Times New Roman" w:hAnsi="Times New Roman" w:hint="cs" w:eastAsia="Times New Roman" w:cs="Times New Roman"/>
          <w:lang w:bidi="fa-IR" w:val="en-US"/>
          <w:sz w:val="20"/>
          <w:szCs w:val="20"/>
          <w:vertAlign w:val="superscript"/>
          <w:rtl w:val="0"/>
        </w:rPr>
        <w:footnoteReference w:id="41"/>
      </w:r>
      <w:r>
        <w:rPr>
          <w:rFonts w:ascii="Times New Roman" w:hAnsi="Times New Roman" w:hint="cs"/>
          <w:lang w:bidi="fa-IR"/>
          <w:rtl/>
        </w:rPr>
        <w:t xml:space="preserve"> و همکاران، ۲۰۲۳).</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همسو با این یافته‌ها، آزمون‌های جدیدتر نظریه مدیریت وحشت نشان می‌دهند که برجسته شدن فناپذیری ــ از جمله در شرایط تهدید جمعی مانند همه‌گیری ــ می‌تواند هم دفاع‌های روان‌شناختی را فعال کند و هم اضطراب مرگ را در گروه‌های سنی مختلف افزایش دهد (پیشزچینسکی و همکاران</w:t>
      </w:r>
      <w:r>
        <w:rPr>
          <w:rFonts w:ascii="Times New Roman" w:hAnsi="Times New Roman" w:eastAsia="Times New Roman" w:cs="Times New Roman"/>
          <w:rStyle w:val="FootnoteReference"/>
          <w:color w:val="1B7A3D"/>
          <w:sz w:val="20"/>
          <w:szCs w:val="20"/>
          <w:vertAlign w:val="superscript"/>
          <w:rtl w:val="0"/>
          <w:cs w:val="0"/>
          <w:lang w:val="en-US"/>
        </w:rPr>
        <w:footnoteReference w:id="32"/>
      </w:r>
      <w:r>
        <w:rPr>
          <w:rFonts w:ascii="Times New Roman" w:hAnsi="Times New Roman" w:eastAsia="Times New Roman" w:cs="B Lotus"/>
          <w:color w:val="1B7A3D"/>
          <w:sz w:val="28"/>
          <w:szCs w:val="28"/>
          <w:rtl/>
          <w:cs/>
          <w:lang w:bidi="fa-IR" w:val="en-US"/>
        </w:rPr>
        <w:t>، ۲۰۲۱).</w:t>
      </w:r>
    </w:p>
    <w:p w14:paraId="7D391F2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3" w:name="_Toc238572034"/>
      <w:r>
        <w:rPr>
          <w:rFonts w:ascii="Times New Roman" w:hAnsi="Times New Roman" w:cs="B Titr" w:eastAsia="Times New Roman"/>
          <w:b/>
          <w:bCs/>
          <w:color w:val="000000"/>
          <w:sz w:val="30"/>
          <w:szCs w:val="30"/>
          <w:rtl/>
          <w:cs/>
          <w:lang w:bidi="fa-IR"/>
        </w:rPr>
        <w:lastRenderedPageBreak/>
        <w:t xml:space="preserve">۲-۲-۲- </w:t>
      </w:r>
      <w:r>
        <w:rPr>
          <w:rFonts w:ascii="Times New Roman" w:hAnsi="Times New Roman" w:cs="B Titr" w:eastAsia="Times New Roman"/>
          <w:b/>
          <w:bCs/>
          <w:color w:val="000000"/>
          <w:sz w:val="30"/>
          <w:szCs w:val="30"/>
          <w:rtl/>
          <w:cs/>
          <w:lang w:bidi="fa-IR"/>
        </w:rPr>
        <w:t>نظریه‌های</w:t>
      </w:r>
      <w:r>
        <w:rPr>
          <w:rFonts w:ascii="Times New Roman" w:hAnsi="Times New Roman" w:cs="B Titr" w:eastAsia="Times New Roman"/>
          <w:b/>
          <w:bCs/>
          <w:color w:val="000000"/>
          <w:sz w:val="30"/>
          <w:szCs w:val="30"/>
          <w:rtl/>
          <w:cs/>
          <w:lang w:bidi="fa-IR"/>
        </w:rPr>
        <w:t xml:space="preserve"> مرتبط با اضطراب مرگ</w:t>
      </w:r>
      <w:bookmarkEnd w:id="43"/>
    </w:p>
    <w:p w14:paraId="136CA3A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4" w:name="_Toc238572035"/>
      <w:r>
        <w:rPr>
          <w:rFonts w:ascii="Times New Roman" w:hAnsi="Times New Roman" w:cs="B Titr" w:eastAsia="Times New Roman"/>
          <w:b/>
          <w:bCs/>
          <w:color w:val="000000"/>
          <w:sz w:val="30"/>
          <w:szCs w:val="30"/>
          <w:rtl/>
          <w:cs/>
          <w:lang w:bidi="fa-IR"/>
        </w:rPr>
        <w:t>۲-۲-۲-۱- نظریه فروید (</w:t>
      </w:r>
      <w:r>
        <w:rPr>
          <w:rFonts w:ascii="Times New Roman" w:hAnsi="Times New Roman" w:cs="B Titr" w:eastAsia="Times New Roman"/>
          <w:b/>
          <w:bCs/>
          <w:color w:val="000000"/>
          <w:sz w:val="30"/>
          <w:szCs w:val="30"/>
          <w:rtl/>
          <w:cs/>
          <w:lang w:bidi="fa-IR"/>
        </w:rPr>
        <w:t>روان‌تحلیل‌گری</w:t>
      </w:r>
      <w:r>
        <w:rPr>
          <w:rFonts w:ascii="Times New Roman" w:hAnsi="Times New Roman" w:cs="B Titr" w:eastAsia="Times New Roman"/>
          <w:b/>
          <w:bCs/>
          <w:color w:val="000000"/>
          <w:sz w:val="30"/>
          <w:szCs w:val="30"/>
          <w:rtl/>
          <w:cs/>
          <w:lang w:bidi="fa-IR"/>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eastAsia="Times New Roman" w:cs="Times New Roman"/>
          <w:lang w:bidi="fa-IR" w:val="en-US"/>
          <w:sz w:val="20"/>
          <w:szCs w:val="20"/>
          <w:vertAlign w:val="superscript"/>
          <w:rtl w:val="0"/>
        </w:rPr>
        <w:footnoteReference w:id="42"/>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 ۱۹۲۰).</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 منزیس و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۲۰۱۴).</w:t>
      </w:r>
    </w:p>
    <w:p w14:paraId="0F0F100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6" w:name="_Toc238572036"/>
      <w:r>
        <w:rPr>
          <w:rFonts w:ascii="Times New Roman" w:hAnsi="Times New Roman" w:cs="B Titr" w:eastAsia="Times New Roman"/>
          <w:b/>
          <w:bCs/>
          <w:color w:val="000000"/>
          <w:sz w:val="30"/>
          <w:szCs w:val="30"/>
          <w:rtl/>
          <w:cs/>
          <w:lang w:bidi="fa-IR"/>
        </w:rPr>
        <w:t xml:space="preserve">۲-۲-۲-۲- نظریه </w:t>
      </w:r>
      <w:r>
        <w:rPr>
          <w:rFonts w:ascii="Times New Roman" w:hAnsi="Times New Roman" w:cs="B Titr" w:eastAsia="Times New Roman"/>
          <w:b/>
          <w:bCs/>
          <w:color w:val="000000"/>
          <w:sz w:val="30"/>
          <w:szCs w:val="30"/>
          <w:rtl/>
          <w:cs/>
          <w:lang w:bidi="fa-IR"/>
        </w:rPr>
        <w:t>یالوم</w:t>
      </w:r>
      <w:r>
        <w:rPr>
          <w:rFonts w:ascii="Times New Roman" w:hAnsi="Times New Roman" w:cs="B Titr" w:eastAsia="Times New Roman"/>
          <w:b/>
          <w:bCs/>
          <w:color w:val="000000"/>
          <w:sz w:val="30"/>
          <w:szCs w:val="30"/>
          <w:rtl/>
          <w:cs/>
          <w:lang w:bidi="fa-IR"/>
        </w:rPr>
        <w:t xml:space="preserve"> (</w:t>
      </w:r>
      <w:r>
        <w:rPr>
          <w:rFonts w:ascii="Times New Roman" w:hAnsi="Times New Roman" w:cs="B Titr" w:eastAsia="Times New Roman"/>
          <w:b/>
          <w:bCs/>
          <w:color w:val="000000"/>
          <w:sz w:val="30"/>
          <w:szCs w:val="30"/>
          <w:rtl/>
          <w:cs/>
          <w:lang w:bidi="fa-IR"/>
        </w:rPr>
        <w:t>وجودگرایی</w:t>
      </w:r>
      <w:r>
        <w:rPr>
          <w:rFonts w:ascii="Times New Roman" w:hAnsi="Times New Roman" w:cs="B Titr" w:eastAsia="Times New Roman"/>
          <w:b/>
          <w:bCs/>
          <w:color w:val="000000"/>
          <w:sz w:val="30"/>
          <w:szCs w:val="30"/>
          <w:rtl/>
          <w:cs/>
          <w:lang w:bidi="fa-IR"/>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eastAsia="Times New Roman" w:cs="Times New Roman"/>
          <w:lang w:bidi="fa-IR" w:val="en-US"/>
          <w:sz w:val="20"/>
          <w:szCs w:val="20"/>
          <w:vertAlign w:val="superscript"/>
          <w:rtl w:val="0"/>
        </w:rPr>
        <w:footnoteReference w:id="43"/>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hint="cs"/>
          <w:lang w:bidi="fa-IR"/>
          <w:rtl/>
        </w:rPr>
        <w:t xml:space="preserve"> ۱۹۸۰).</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رویکردهای وجودی معاصر همچنان بر چهار دغدغه یالوم تأکید دارند؛ در کنار آن، نظریه مدیریت معنا</w:t>
      </w:r>
      <w:r>
        <w:rPr>
          <w:rFonts w:ascii="Times New Roman" w:hAnsi="Times New Roman" w:eastAsia="Times New Roman" w:cs="Times New Roman"/>
          <w:rStyle w:val="FootnoteReference"/>
          <w:color w:val="1B7A3D"/>
          <w:sz w:val="20"/>
          <w:szCs w:val="20"/>
          <w:vertAlign w:val="superscript"/>
          <w:rtl w:val="0"/>
          <w:cs w:val="0"/>
          <w:lang w:val="en-US"/>
        </w:rPr>
        <w:footnoteReference w:id="35"/>
      </w:r>
      <w:r>
        <w:rPr>
          <w:rFonts w:ascii="Times New Roman" w:hAnsi="Times New Roman" w:eastAsia="Times New Roman" w:cs="B Lotus"/>
          <w:color w:val="1B7A3D"/>
          <w:sz w:val="28"/>
          <w:szCs w:val="28"/>
          <w:rtl/>
          <w:cs/>
          <w:lang w:bidi="fa-IR" w:val="en-US"/>
        </w:rPr>
        <w:t xml:space="preserve"> بیان می‌کند که معناجویی و پذیرش مرگ، مسیر سازگاری سالم‌تر در مواجهه با فناپذیری است (وانگ</w:t>
      </w:r>
      <w:r>
        <w:rPr>
          <w:rFonts w:ascii="Times New Roman" w:hAnsi="Times New Roman" w:eastAsia="Times New Roman" w:cs="Times New Roman"/>
          <w:rStyle w:val="FootnoteReference"/>
          <w:color w:val="1B7A3D"/>
          <w:sz w:val="20"/>
          <w:szCs w:val="20"/>
          <w:vertAlign w:val="superscript"/>
          <w:rtl w:val="0"/>
          <w:cs w:val="0"/>
          <w:lang w:val="en-US"/>
        </w:rPr>
        <w:footnoteReference w:id="34"/>
      </w:r>
      <w:r>
        <w:rPr>
          <w:rFonts w:ascii="Times New Roman" w:hAnsi="Times New Roman" w:eastAsia="Times New Roman" w:cs="B Lotus"/>
          <w:color w:val="1B7A3D"/>
          <w:sz w:val="28"/>
          <w:szCs w:val="28"/>
          <w:rtl/>
          <w:cs/>
          <w:lang w:bidi="fa-IR" w:val="en-US"/>
        </w:rPr>
        <w:t>، ۲۰۰۸).</w:t>
      </w:r>
    </w:p>
    <w:p w14:paraId="0916D0C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8" w:name="_Toc238572037"/>
      <w:r>
        <w:rPr>
          <w:rFonts w:ascii="Times New Roman" w:hAnsi="Times New Roman" w:cs="B Titr" w:eastAsia="Times New Roman"/>
          <w:b/>
          <w:bCs/>
          <w:color w:val="000000"/>
          <w:sz w:val="30"/>
          <w:szCs w:val="30"/>
          <w:rtl/>
          <w:cs/>
          <w:lang w:bidi="fa-IR"/>
        </w:rPr>
        <w:t>۲-۲-۲-۳- نظریه مدیریت وحشت (</w:t>
      </w:r>
      <w:r>
        <w:rPr>
          <w:rFonts w:ascii="Times New Roman" w:hAnsi="Times New Roman" w:cs="B Titr" w:eastAsia="Times New Roman"/>
          <w:b/>
          <w:bCs/>
          <w:color w:val="000000"/>
          <w:sz w:val="30"/>
          <w:szCs w:val="30"/>
          <w:rtl/>
          <w:cs/>
          <w:lang w:bidi="fa-IR" w:val="en-US"/>
        </w:rPr>
        <w:t>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val="en-US"/>
          <w:sz w:val="20"/>
          <w:szCs w:val="20"/>
          <w:vertAlign w:val="superscript"/>
          <w:rtl w:val="0"/>
        </w:rPr>
        <w:footnoteReference w:id="44"/>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eastAsia="Times New Roman" w:cs="Times New Roman"/>
          <w:lang w:bidi="fa-IR" w:val="en-US"/>
          <w:sz w:val="20"/>
          <w:szCs w:val="20"/>
          <w:vertAlign w:val="superscript"/>
          <w:rtl w:val="0"/>
        </w:rPr>
        <w:footnoteReference w:id="45"/>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 و همکاران، ۱۹۸۶).</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شواهد جدیدتر نظریه مدیریت وحشت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 و همکاران، </w:t>
      </w:r>
      <w:r>
        <w:rPr>
          <w:rFonts w:ascii="Times New Roman" w:hAnsi="Times New Roman" w:eastAsia="Times New Roman" w:cs="B Lotus"/>
          <w:color w:val="1B7A3D"/>
          <w:sz w:val="28"/>
          <w:szCs w:val="28"/>
          <w:rtl/>
          <w:cs/>
          <w:lang w:bidi="fa-IR" w:val="en-US"/>
        </w:rPr>
        <w:t>۲۰۲۱).</w:t>
      </w:r>
    </w:p>
    <w:p w14:paraId="20F1B09C"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9" w:name="_Toc238572038"/>
      <w:r>
        <w:rPr>
          <w:rFonts w:ascii="Times New Roman" w:hAnsi="Times New Roman" w:cs="B Titr" w:eastAsia="Times New Roman"/>
          <w:b/>
          <w:bCs/>
          <w:color w:val="000000"/>
          <w:sz w:val="30"/>
          <w:szCs w:val="30"/>
          <w:rtl/>
          <w:cs/>
          <w:lang w:bidi="fa-IR"/>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eastAsia="Times New Roman" w:cs="Times New Roman"/>
          <w:lang w:bidi="fa-IR" w:val="en-US"/>
          <w:sz w:val="20"/>
          <w:szCs w:val="20"/>
          <w:vertAlign w:val="superscript"/>
          <w:rtl w:val="0"/>
        </w:rPr>
        <w:footnoteReference w:id="46"/>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val="en-US"/>
          <w:sz w:val="20"/>
          <w:szCs w:val="20"/>
          <w:vertAlign w:val="superscript"/>
          <w:rtl w:val="0"/>
        </w:rPr>
        <w:footnoteReference w:id="47"/>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0" w:name="_Toc238572039"/>
      <w:r>
        <w:rPr>
          <w:rFonts w:ascii="Times New Roman" w:hAnsi="Times New Roman" w:cs="B Titr" w:eastAsia="Times New Roman"/>
          <w:b/>
          <w:bCs/>
          <w:color w:val="000000"/>
          <w:sz w:val="30"/>
          <w:szCs w:val="30"/>
          <w:rtl/>
          <w:cs/>
          <w:lang w:bidi="fa-IR"/>
        </w:rPr>
        <w:lastRenderedPageBreak/>
        <w:t>۲-۲-۳- ابعاد اضطراب مرگ</w:t>
      </w:r>
      <w:bookmarkEnd w:id="50"/>
    </w:p>
    <w:p w14:paraId="1050A04F" w14:textId="77777777">
      <w:pPr>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از جمله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 و همکاران، </w:t>
      </w:r>
      <w:r>
        <w:rPr>
          <w:rFonts w:ascii="Times New Roman" w:hAnsi="Times New Roman" w:eastAsia="Times New Roman" w:cs="B Lotus"/>
          <w:color w:val="1B7A3D"/>
          <w:sz w:val="28"/>
          <w:szCs w:val="28"/>
          <w:rtl/>
          <w:cs/>
          <w:lang w:bidi="fa-IR" w:val="en-US"/>
        </w:rPr>
        <w:t>۲۰۱۴).</w:t>
      </w:r>
    </w:p>
    <w:p w14:paraId="17E055B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1" w:name="_Toc238572040"/>
      <w:r>
        <w:rPr>
          <w:rFonts w:ascii="Times New Roman" w:hAnsi="Times New Roman" w:cs="B Titr" w:eastAsia="Times New Roman"/>
          <w:b/>
          <w:bCs/>
          <w:color w:val="000000"/>
          <w:sz w:val="30"/>
          <w:szCs w:val="30"/>
          <w:rtl/>
          <w:cs/>
          <w:lang w:bidi="fa-IR"/>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2" w:name="_Toc238572041"/>
      <w:r>
        <w:rPr>
          <w:rFonts w:ascii="Times New Roman" w:hAnsi="Times New Roman" w:cs="B Titr" w:eastAsia="Times New Roman"/>
          <w:b/>
          <w:bCs/>
          <w:color w:val="000000"/>
          <w:sz w:val="30"/>
          <w:szCs w:val="30"/>
          <w:rtl/>
          <w:cs/>
          <w:lang w:bidi="fa-IR"/>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eastAsia="Times New Roman" w:cs="Times New Roman"/>
          <w:lang w:bidi="fa-IR" w:val="en-US"/>
          <w:sz w:val="20"/>
          <w:szCs w:val="20"/>
          <w:vertAlign w:val="superscript"/>
          <w:rtl w:val="0"/>
        </w:rPr>
        <w:footnoteReference w:id="48"/>
      </w:r>
      <w:r>
        <w:rPr>
          <w:rFonts w:ascii="Times New Roman" w:hAnsi="Times New Roman" w:hint="cs"/>
          <w:lang w:bidi="fa-IR"/>
          <w:rtl/>
        </w:rPr>
        <w:t>، ۱۹۹۴).</w:t>
      </w:r>
    </w:p>
    <w:p w14:paraId="08467578"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eastAsia="Times New Roman" w:cs="Times New Roman"/>
          <w:lang w:bidi="fa-IR" w:val="en-US"/>
          <w:sz w:val="20"/>
          <w:szCs w:val="20"/>
          <w:vertAlign w:val="superscript"/>
          <w:rtl w:val="0"/>
        </w:rPr>
        <w:footnoteReference w:id="49"/>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eastAsia="Times New Roman" w:cs="Times New Roman"/>
          <w:lang w:bidi="fa-IR" w:val="en-US"/>
          <w:sz w:val="20"/>
          <w:szCs w:val="20"/>
          <w:vertAlign w:val="superscript"/>
          <w:rtl w:val="0"/>
        </w:rPr>
        <w:footnoteReference w:id="50"/>
      </w:r>
      <w:r>
        <w:rPr>
          <w:rFonts w:ascii="Times New Roman" w:hAnsi="Times New Roman" w:hint="cs"/>
          <w:lang w:bidi="fa-IR"/>
          <w:rtl/>
        </w:rPr>
        <w:t xml:space="preserve"> و همکاران، ۲۰۲۳).</w:t>
      </w:r>
    </w:p>
    <w:p w14:paraId="121543E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3" w:name="_Toc238572042"/>
      <w:r>
        <w:rPr>
          <w:rFonts w:ascii="Times New Roman" w:hAnsi="Times New Roman" w:cs="B Titr" w:eastAsia="Times New Roman"/>
          <w:b/>
          <w:bCs/>
          <w:color w:val="000000"/>
          <w:sz w:val="30"/>
          <w:szCs w:val="30"/>
          <w:rtl/>
          <w:cs/>
          <w:lang w:bidi="fa-IR"/>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 و همکاران، </w:t>
      </w:r>
      <w:r>
        <w:rPr>
          <w:rFonts w:ascii="Times New Roman" w:hAnsi="Times New Roman" w:eastAsia="Times New Roman" w:cs="B Lotus"/>
          <w:color w:val="1B7A3D"/>
          <w:sz w:val="28"/>
          <w:szCs w:val="28"/>
          <w:rtl/>
          <w:cs/>
          <w:lang w:bidi="fa-IR" w:val="en-US"/>
        </w:rPr>
        <w:t>۲۰۱۴؛ منزیس و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37"/>
      </w:r>
      <w:r>
        <w:rPr>
          <w:rFonts w:ascii="Times New Roman" w:hAnsi="Times New Roman" w:eastAsia="Times New Roman" w:cs="B Lotus"/>
          <w:color w:val="1B7A3D"/>
          <w:sz w:val="28"/>
          <w:szCs w:val="28"/>
          <w:rtl/>
          <w:cs/>
          <w:lang w:bidi="fa-IR" w:val="en-US"/>
        </w:rPr>
        <w:t>، ۲۰۲۰).</w:t>
      </w:r>
    </w:p>
    <w:p w14:paraId="143F23F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5" w:name="_Toc238572043"/>
      <w:r>
        <w:rPr>
          <w:rFonts w:ascii="Times New Roman" w:hAnsi="Times New Roman" w:cs="B Titr" w:eastAsia="Times New Roman"/>
          <w:b/>
          <w:bCs/>
          <w:color w:val="000000"/>
          <w:sz w:val="30"/>
          <w:szCs w:val="30"/>
          <w:rtl/>
          <w:cs/>
          <w:lang w:bidi="fa-IR"/>
        </w:rPr>
        <w:lastRenderedPageBreak/>
        <w:t>۲-۳- گستره سوم: هوش معنوی</w:t>
      </w:r>
      <w:bookmarkEnd w:id="55"/>
    </w:p>
    <w:p>
      <w:pPr>
        <w:jc w:val="center"/>
        <w:bidi w:val="0"/>
      </w:pPr>
      <w:r>
        <w:drawing>
          <wp:inline distT="0" distB="0" distL="0" distR="0">
            <wp:extent cx="5669280" cy="3246120"/>
            <wp:effectExtent l="0" t="0" r="0" b="0"/>
            <wp:docPr id="22" name="SpiritualIntelligenceTree"/>
            <wp:cNvGraphicFramePr/>
            <ns2:graphic xmlns:ns2="http://schemas.openxmlformats.org/drawingml/2006/main">
              <ns2:graphicData uri="http://schemas.microsoft.com/office/word/2010/wordprocessingGroup">
                <wpg:wgp>
                  <wpg:cNvGrpSpPr/>
                  <wpg:grpSpPr>
                    <ns2:xfrm>
                      <ns2:off x="0" y="0"/>
                      <ns2:ext cx="5669280" cy="3246120"/>
                      <ns2:chOff x="0" y="0"/>
                      <ns2:chExt cx="5669280" cy="324612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هوش معنوی</w:t>
                          </w:r>
                        </w:p>
                      </w:txbxContent>
                    </wps:txbx>
                    <wps:bodyPr anchor="ctr" lIns="36000" rIns="36000" tIns="18000" bIns="18000"/>
                  </wps:wsp>
                  <wps:wsp>
                    <wps:cNvSpPr txBox="1"/>
                    <wps:spPr>
                      <ns2:xfrm>
                        <ns2:off x="391363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دیدگاه</w:t>
                          </w:r>
                        </w:p>
                        <w:p>
                          <w:pPr>
                            <w:jc w:val="center"/>
                            <w:bidi/>
                            <w:spacing w:after="0" w:before="0" w:line="240" w:lineRule="auto"/>
                          </w:pPr>
                          <w:r>
                            <w:rPr>
                              <w:rFonts w:ascii="Times New Roman" w:cs="B Lotus" w:hAnsi="Times New Roman"/>
                              <w:sz w:val="14"/>
                              <w:szCs w:val="14"/>
                              <w:color w:val="FFFFFF"/>
                              <w:rtl/>
                              <w:cs/>
                            </w:rPr>
                            <w:t>فضیلت‌گرایانه</w:t>
                          </w:r>
                        </w:p>
                      </w:txbxContent>
                    </wps:txbx>
                    <wps:bodyPr anchor="ctr" lIns="36000" rIns="36000" tIns="18000" bIns="18000"/>
                  </wps:wsp>
                  <wps:wsp>
                    <wps:cNvSpPr txBox="1"/>
                    <wps:spPr>
                      <ns2:xfrm>
                        <ns2:off x="16459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عوامل مؤثر</w:t>
                          </w:r>
                        </w:p>
                      </w:txbxContent>
                    </wps:txbx>
                    <wps:bodyPr anchor="ctr" lIns="36000" rIns="36000" tIns="18000" bIns="18000"/>
                  </wps:wsp>
                  <wps:wsp>
                    <wps:cNvSpPr txBox="1"/>
                    <wps:spPr>
                      <ns2:xfrm>
                        <ns2:off x="1417320" y="1261872"/>
                        <ns2:ext cx="2834640" cy="438912"/>
                      </ns2:xfrm>
                      <ns2:prstGeom prst="roundRect">
                        <ns2:avLst>
                          <ns2:gd name="adj" fmla="val 16667"/>
                        </ns2:avLst>
                      </ns2:prstGeom>
                      <ns2:solidFill>
                        <ns2:srgbClr val="3D5C4A"/>
                      </ns2:solidFill>
                      <ns2:ln w="19050">
                        <ns2:solidFill>
                          <ns2:srgbClr val="C4A35A"/>
                        </ns2:solidFill>
                      </ns2:ln>
                    </wps:spPr>
                    <wps:txbx>
                      <w:txbxContent>
                        <w:p>
                          <w:pPr>
                            <w:jc w:val="center"/>
                            <w:bidi/>
                            <w:spacing w:after="0" w:before="0" w:line="240" w:lineRule="auto"/>
                          </w:pPr>
                          <w:r>
                            <w:rPr>
                              <w:rFonts w:ascii="Times New Roman" w:cs="B Lotus" w:hAnsi="Times New Roman"/>
                              <w:sz w:val="16"/>
                              <w:szCs w:val="16"/>
                              <w:color w:val="FFFFFF"/>
                              <w:rtl/>
                              <w:cs/>
                            </w:rPr>
                            <w:t>مدل چهارعاملی کینگ</w:t>
                          </w:r>
                        </w:p>
                      </w:txbxContent>
                    </wps:txbx>
                    <wps:bodyPr anchor="ctr" lIns="36000" rIns="36000" tIns="18000" bIns="18000"/>
                  </wps:wsp>
                  <wps:wsp>
                    <wps:cNvSpPr txBox="1"/>
                    <wps:spPr>
                      <ns2:xfrm>
                        <ns2:off x="42245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تفکر وجودی</w:t>
                          </w:r>
                        </w:p>
                        <w:p>
                          <w:pPr>
                            <w:jc w:val="center"/>
                            <w:bidi/>
                            <w:spacing w:after="0" w:before="0" w:line="240" w:lineRule="auto"/>
                          </w:pPr>
                          <w:r>
                            <w:rPr>
                              <w:rFonts w:ascii="Times New Roman" w:cs="B Lotus" w:hAnsi="Times New Roman"/>
                              <w:sz w:val="13"/>
                              <w:szCs w:val="13"/>
                              <w:color w:val="1F4E5F"/>
                              <w:rtl/>
                              <w:cs/>
                            </w:rPr>
                            <w:t>انتقادی</w:t>
                          </w:r>
                        </w:p>
                      </w:txbxContent>
                    </wps:txbx>
                    <wps:bodyPr anchor="ctr" lIns="36000" rIns="36000" tIns="18000" bIns="18000"/>
                  </wps:wsp>
                  <wps:wsp>
                    <wps:cNvSpPr txBox="1"/>
                    <wps:spPr>
                      <ns2:xfrm>
                        <ns2:off x="28529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تولید معنای</w:t>
                          </w:r>
                        </w:p>
                        <w:p>
                          <w:pPr>
                            <w:jc w:val="center"/>
                            <w:bidi/>
                            <w:spacing w:after="0" w:before="0" w:line="240" w:lineRule="auto"/>
                          </w:pPr>
                          <w:r>
                            <w:rPr>
                              <w:rFonts w:ascii="Times New Roman" w:cs="B Lotus" w:hAnsi="Times New Roman"/>
                              <w:sz w:val="13"/>
                              <w:szCs w:val="13"/>
                              <w:color w:val="1F4E5F"/>
                              <w:rtl/>
                              <w:cs/>
                            </w:rPr>
                            <w:t>شخصی</w:t>
                          </w:r>
                        </w:p>
                      </w:txbxContent>
                    </wps:txbx>
                    <wps:bodyPr anchor="ctr" lIns="36000" rIns="36000" tIns="18000" bIns="18000"/>
                  </wps:wsp>
                  <wps:wsp>
                    <wps:cNvSpPr txBox="1"/>
                    <wps:spPr>
                      <ns2:xfrm>
                        <ns2:off x="14813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آگاهی</w:t>
                          </w:r>
                        </w:p>
                        <w:p>
                          <w:pPr>
                            <w:jc w:val="center"/>
                            <w:bidi/>
                            <w:spacing w:after="0" w:before="0" w:line="240" w:lineRule="auto"/>
                          </w:pPr>
                          <w:r>
                            <w:rPr>
                              <w:rFonts w:ascii="Times New Roman" w:cs="B Lotus" w:hAnsi="Times New Roman"/>
                              <w:sz w:val="13"/>
                              <w:szCs w:val="13"/>
                              <w:color w:val="1F4E5F"/>
                              <w:rtl/>
                              <w:cs/>
                            </w:rPr>
                            <w:t>متعالی</w:t>
                          </w:r>
                        </w:p>
                      </w:txbxContent>
                    </wps:txbx>
                    <wps:bodyPr anchor="ctr" lIns="36000" rIns="36000" tIns="18000" bIns="18000"/>
                  </wps:wsp>
                  <wps:wsp>
                    <wps:cNvSpPr txBox="1"/>
                    <wps:spPr>
                      <ns2:xfrm>
                        <ns2:off x="1097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گسترش هشیارانه</w:t>
                          </w:r>
                        </w:p>
                        <w:p>
                          <w:pPr>
                            <w:jc w:val="center"/>
                            <w:bidi/>
                            <w:spacing w:after="0" w:before="0" w:line="240" w:lineRule="auto"/>
                          </w:pPr>
                          <w:r>
                            <w:rPr>
                              <w:rFonts w:ascii="Times New Roman" w:cs="B Lotus" w:hAnsi="Times New Roman"/>
                              <w:sz w:val="13"/>
                              <w:szCs w:val="13"/>
                              <w:color w:val="1F4E5F"/>
                              <w:rtl/>
                              <w:cs/>
                            </w:rPr>
                            <w:t>حالت آگاهی</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۳- درختواره هوش معنوی (مفهوم، فضیلت‌گرایی، عوامل و مدل چهارعاملی کینگ)</w:t>
      </w:r>
    </w:p>
    <w:p w14:paraId="555348F7"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7" w:name="_Toc238572044"/>
      <w:r>
        <w:rPr>
          <w:rFonts w:ascii="Times New Roman" w:hAnsi="Times New Roman" w:cs="B Titr" w:eastAsia="Times New Roman"/>
          <w:b/>
          <w:bCs/>
          <w:color w:val="000000"/>
          <w:sz w:val="30"/>
          <w:szCs w:val="30"/>
          <w:rtl/>
          <w:cs/>
          <w:lang w:bidi="fa-IR"/>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cs="Times New Roman"/>
          <w:lang w:bidi="fa-IR" w:val="en-US"/>
          <w:sz w:val="20"/>
          <w:szCs w:val="20"/>
          <w:vertAlign w:val="superscript"/>
          <w:rtl w:val="0"/>
        </w:rPr>
        <w:footnoteReference w:id="51"/>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cs="Times New Roman"/>
          <w:lang w:bidi="fa-IR" w:val="en-US"/>
          <w:sz w:val="20"/>
          <w:szCs w:val="20"/>
          <w:vertAlign w:val="superscript"/>
          <w:rtl w:val="0"/>
        </w:rPr>
        <w:footnoteReference w:id="52"/>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eastAsia="Times New Roman" w:hAnsi="Times New Roman" w:hint="cs"/>
          <w:lang w:bidi="fa-IR"/>
          <w:rtl/>
        </w:rPr>
        <w:t>، ۲۰۲۰).</w:t>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53"/>
      </w:r>
      <w:r>
        <w:rPr>
          <w:rFonts w:ascii="Times New Roman" w:eastAsia="Times New Roman" w:hAnsi="Times New Roman" w:hint="cs"/>
          <w:lang w:bidi="fa-IR"/>
          <w:rtl/>
        </w:rPr>
        <w:t xml:space="preserve"> و همکاران، ۲۰۲۴).</w:t>
      </w:r>
    </w:p>
    <w:p w14:paraId="196F15DD"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سئوال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lastRenderedPageBreak/>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hAnsi="Times New Roman" w:eastAsia="Times New Roman" w:cs="Times New Roman"/>
          <w:rStyle w:val="FootnoteReference"/>
          <w:lang w:bidi="fa-IR" w:val="en-US"/>
          <w:sz w:val="20"/>
          <w:szCs w:val="20"/>
          <w:vertAlign w:val="superscript"/>
          <w:rtl w:val="0"/>
        </w:rPr>
        <w:footnoteReference w:id="54"/>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val="en-US"/>
          <w:sz w:val="20"/>
          <w:szCs w:val="20"/>
          <w:vertAlign w:val="superscript"/>
          <w:rtl w:val="0"/>
        </w:rPr>
        <w:footnoteReference w:id="55"/>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val="en-US"/>
          <w:sz w:val="20"/>
          <w:szCs w:val="20"/>
          <w:vertAlign w:val="superscript"/>
          <w:rtl w:val="0"/>
        </w:rPr>
        <w:footnoteReference w:id="56"/>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val="en-US"/>
          <w:sz w:val="20"/>
          <w:szCs w:val="20"/>
          <w:vertAlign w:val="superscript"/>
          <w:rtl w:val="0"/>
        </w:rPr>
        <w:footnoteReference w:id="57"/>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hAnsi="Times New Roman" w:eastAsia="Times New Roman" w:cs="Times New Roman"/>
          <w:rStyle w:val="FootnoteReference"/>
          <w:lang w:bidi="fa-IR" w:val="en-US"/>
          <w:sz w:val="20"/>
          <w:szCs w:val="20"/>
          <w:vertAlign w:val="superscript"/>
          <w:rtl w:val="0"/>
        </w:rPr>
        <w:footnoteReference w:id="58"/>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hAnsi="Times New Roman" w:eastAsia="Times New Roman" w:cs="Times New Roman"/>
          <w:rStyle w:val="FootnoteReference"/>
          <w:lang w:bidi="fa-IR" w:val="en-US"/>
          <w:sz w:val="20"/>
          <w:szCs w:val="20"/>
          <w:vertAlign w:val="superscript"/>
          <w:rtl w:val="0"/>
        </w:rPr>
        <w:footnoteReference w:id="59"/>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lastRenderedPageBreak/>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 بنابراین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(فرانک، ۲۰۱۸).</w:t>
      </w:r>
    </w:p>
    <w:p w14:paraId="55A67C93"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58" w:name="_Toc113114059"/>
      <w:bookmarkStart w:id="59" w:name="_Toc238572045"/>
      <w:r>
        <w:rPr>
          <w:rFonts w:ascii="Times New Roman" w:hAnsi="Times New Roman" w:cs="B Titr" w:eastAsia="Times New Roman"/>
          <w:b/>
          <w:bCs/>
          <w:color w:val="000000"/>
          <w:kern w:val="32"/>
          <w:sz w:val="30"/>
          <w:szCs w:val="30"/>
          <w:rtl/>
          <w:cs/>
          <w:lang w:bidi="fa-IR"/>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60"/>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val="en-US"/>
          <w:sz w:val="20"/>
          <w:szCs w:val="20"/>
          <w:vertAlign w:val="superscript"/>
          <w:rtl w:val="0"/>
        </w:rPr>
        <w:footnoteReference w:id="61"/>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val="en-US"/>
          <w:sz w:val="20"/>
          <w:szCs w:val="20"/>
          <w:vertAlign w:val="superscript"/>
          <w:rtl w:val="0"/>
        </w:rPr>
        <w:footnoteReference w:id="62"/>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val="en-US"/>
          <w:sz w:val="20"/>
          <w:szCs w:val="20"/>
          <w:vertAlign w:val="superscript"/>
          <w:rtl w:val="0"/>
        </w:rPr>
        <w:footnoteReference w:id="63"/>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۲۰۲۴).</w:t>
      </w:r>
    </w:p>
    <w:p w14:paraId="2BC3FAB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نقطه مقابل هوش است.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همواره آرزوی بشر بوده و هست. در ابتدا رفاه و طول عمر بیشتر، معنی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بهتر را داشت. اما امروزه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مفهومی پویا و وسیعتر از سلامتی است بر طبق مدل سلامتی،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از لحاظ تاریخی فلاسفه در تئوری های اخلاق به خصوص رویکردهای </w:t>
      </w:r>
      <w:r>
        <w:rPr>
          <w:rFonts w:ascii="Times New Roman" w:eastAsia="Times New Roman" w:hAnsi="Times New Roman" w:hint="cs"/>
          <w:lang w:bidi="fa-IR"/>
          <w:rtl/>
        </w:rPr>
        <w:lastRenderedPageBreak/>
        <w:t xml:space="preserve">لذت گرایانه </w:t>
      </w:r>
      <w:r>
        <w:rPr>
          <w:rFonts w:ascii="Times New Roman" w:eastAsia="Times New Roman" w:hAnsi="Times New Roman" w:hint="cs"/>
          <w:lang w:bidi="fa-IR"/>
          <w:rtl/>
        </w:rPr>
        <w:t>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برای اولین </w:t>
      </w:r>
      <w:r>
        <w:rPr>
          <w:rFonts w:ascii="Times New Roman" w:eastAsia="Times New Roman" w:hAnsi="Times New Roman" w:hint="cs"/>
          <w:lang w:bidi="fa-IR"/>
          <w:rtl/>
        </w:rPr>
        <w:t>باردر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hAnsi="Times New Roman" w:eastAsia="Times New Roman" w:cs="Times New Roman"/>
          <w:rStyle w:val="FootnoteReference"/>
          <w:lang w:bidi="fa-IR" w:val="en-US"/>
          <w:sz w:val="20"/>
          <w:szCs w:val="20"/>
          <w:vertAlign w:val="superscript"/>
          <w:rtl w:val="0"/>
        </w:rPr>
        <w:footnoteReference w:id="64"/>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tl/>
        </w:rPr>
        <w:t>تمایزبر</w:t>
      </w:r>
      <w:r>
        <w:rPr>
          <w:rFonts w:ascii="Times New Roman" w:eastAsia="Times New Roman" w:hAnsi="Times New Roman" w:hint="cs"/>
          <w:lang w:bidi="fa-IR"/>
          <w:rtl/>
        </w:rPr>
        <w:t xml:space="preserve"> اساس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استقلال </w:t>
      </w:r>
      <w:r>
        <w:rPr>
          <w:rFonts w:ascii="Times New Roman" w:eastAsia="Times New Roman" w:hAnsi="Times New Roman" w:hint="cs"/>
          <w:lang w:bidi="fa-IR"/>
          <w:rtl/>
        </w:rPr>
        <w:t>استقلال</w:t>
      </w:r>
      <w:r>
        <w:rPr>
          <w:rFonts w:ascii="Times New Roman" w:eastAsia="Times New Roman" w:hAnsi="Times New Roman" w:hint="cs"/>
          <w:lang w:bidi="fa-IR"/>
          <w:rtl/>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مطالعهی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rPr>
        <w:t>تآکید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eastAsia="Times New Roman" w:hAnsi="Times New Roman" w:hint="cs"/>
          <w:lang w:bidi="fa-IR"/>
          <w:rtl/>
        </w:rPr>
        <w:t>، ۲۰۲۴).</w:t>
      </w:r>
    </w:p>
    <w:p w14:paraId="2F9FAF0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از جمله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14:paraId="1C09A9AF"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60" w:name="_Toc238572046"/>
      <w:r>
        <w:rPr>
          <w:rFonts w:ascii="Times New Roman" w:hAnsi="Times New Roman" w:cs="B Titr" w:eastAsia="Times New Roman"/>
          <w:b/>
          <w:bCs/>
          <w:color w:val="000000"/>
          <w:kern w:val="32"/>
          <w:sz w:val="30"/>
          <w:szCs w:val="30"/>
          <w:rtl/>
          <w:cs/>
          <w:lang w:bidi="fa-IR"/>
        </w:rPr>
        <w:t>۲-۳-۳- عوامل موثر بر هوش معنوی</w:t>
      </w:r>
      <w:bookmarkEnd w:id="58"/>
      <w:bookmarkEnd w:id="60"/>
    </w:p>
    <w:p w14:paraId="39BF5CC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همچنین، </w:t>
      </w:r>
      <w:r>
        <w:rPr>
          <w:rFonts w:ascii="Times New Roman" w:eastAsia="Times New Roman" w:hAnsi="Times New Roman" w:hint="cs"/>
          <w:lang w:bidi="fa-IR"/>
          <w:rtl/>
        </w:rPr>
        <w:lastRenderedPageBreak/>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cs="Times New Roman"/>
          <w:lang w:bidi="fa-IR" w:val="en-US"/>
          <w:sz w:val="20"/>
          <w:szCs w:val="20"/>
          <w:vertAlign w:val="superscript"/>
          <w:rtl w:val="0"/>
        </w:rPr>
        <w:footnoteReference w:id="65"/>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cs="Times New Roman"/>
          <w:lang w:bidi="fa-IR" w:val="en-US"/>
          <w:sz w:val="20"/>
          <w:szCs w:val="20"/>
          <w:vertAlign w:val="superscript"/>
          <w:rtl w:val="0"/>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eastAsia="Times New Roman" w:hAnsi="Times New Roman" w:hint="cs"/>
          <w:lang w:bidi="fa-IR"/>
          <w:rtl/>
        </w:rPr>
        <w:t>، ۲۰۰۹؛ کینگ،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val="en-US"/>
          <w:sz w:val="20"/>
          <w:szCs w:val="20"/>
          <w:vertAlign w:val="superscript"/>
          <w:rtl w:val="0"/>
        </w:rPr>
        <w:footnoteReference w:id="67"/>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eastAsia="Times New Roman" w:hAnsi="Times New Roman" w:hint="cs"/>
          <w:lang w:bidi="fa-IR"/>
          <w:rtl/>
        </w:rPr>
        <w:t>، ۲۰۲۴؛ سازمان جهانی بهداشت، ۲۰۲۲).</w:t>
      </w:r>
    </w:p>
    <w:p w14:paraId="035BCAD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از جمله 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pPr>
        <w:pStyle w:val="Heading3"/>
        <w:bidi w:val="1"/>
        <w:spacing w:after="120" w:line="276" w:lineRule="auto"/>
        <w:jc w:val="right"/>
      </w:pPr>
      <w:r>
        <w:rPr>
          <w:rFonts w:ascii="Times New Roman" w:hAnsi="Times New Roman" w:eastAsia="Times New Roman" w:cs="B Lotus"/>
          <w:b/>
          <w:bCs/>
          <w:color w:val="1B7A3D"/>
          <w:sz w:val="28"/>
          <w:szCs w:val="28"/>
          <w:rtl/>
          <w:cs/>
          <w:lang w:bidi="fa-IR" w:val="en-US"/>
        </w:rPr>
        <w:t>۲-۳-۴- مدل چهارعاملی هوش معنوی کینگ</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Fonts w:ascii="Times New Roman" w:hAnsi="Times New Roman" w:eastAsia="Times New Roman" w:cs="Times New Roman"/>
          <w:rStyle w:val="FootnoteReference"/>
          <w:color w:val="1B7A3D"/>
          <w:sz w:val="20"/>
          <w:szCs w:val="20"/>
          <w:vertAlign w:val="superscript"/>
          <w:rtl w:val="0"/>
          <w:cs w:val="0"/>
          <w:lang w:val="en-US"/>
        </w:rPr>
        <w:footnoteReference w:id="38"/>
      </w:r>
      <w:r>
        <w:rPr>
          <w:rFonts w:ascii="Times New Roman" w:hAnsi="Times New Roman" w:eastAsia="Times New Roman" w:cs="B Lotus"/>
          <w:color w:val="1B7A3D"/>
          <w:sz w:val="28"/>
          <w:szCs w:val="28"/>
          <w:rtl/>
          <w:cs/>
          <w:lang w:bidi="fa-IR" w:val="en-US"/>
        </w:rPr>
        <w:t>، ۲۰۰۹).</w:t>
      </w:r>
    </w:p>
    <w:p w14:paraId="7381D42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1" w:name="_Toc238572047"/>
      <w:r>
        <w:rPr>
          <w:rFonts w:ascii="Times New Roman" w:hAnsi="Times New Roman" w:cs="B Titr" w:eastAsia="Times New Roman"/>
          <w:b/>
          <w:bCs/>
          <w:color w:val="000000"/>
          <w:sz w:val="30"/>
          <w:szCs w:val="30"/>
          <w:rtl/>
          <w:cs/>
          <w:lang w:bidi="fa-IR"/>
        </w:rPr>
        <w:t>۲-۴- گستره چهارم: اضطراب سلامتی</w:t>
      </w:r>
      <w:bookmarkEnd w:id="61"/>
    </w:p>
    <w:p w14:paraId="56B4B688"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2" w:name="_Toc238572048"/>
      <w:r>
        <w:rPr>
          <w:rFonts w:ascii="Times New Roman" w:hAnsi="Times New Roman" w:cs="B Titr" w:eastAsia="Times New Roman"/>
          <w:b/>
          <w:bCs/>
          <w:color w:val="000000"/>
          <w:sz w:val="30"/>
          <w:szCs w:val="30"/>
          <w:rtl/>
          <w:cs/>
          <w:lang w:bidi="fa-IR"/>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hint="cs"/>
          <w:lang w:bidi="fa-IR"/>
          <w:rtl/>
        </w:rPr>
        <w:t xml:space="preserve"> و همکاران، ۲۰۲۴).</w:t>
      </w:r>
      <w:r>
        <w:rPr>
          <w:rStyle w:val="FootnoteReference"/>
          <w:rFonts w:ascii="Times New Roman" w:hAnsi="Times New Roman" w:hint="cs" w:eastAsia="Times New Roman" w:cs="Times New Roman"/>
          <w:lang w:bidi="fa-IR" w:val="en-US"/>
          <w:sz w:val="20"/>
          <w:szCs w:val="20"/>
          <w:vertAlign w:val="superscript"/>
          <w:rtl w:val="0"/>
        </w:rPr>
        <w:footnoteReference w:id="68"/>
      </w:r>
      <w:r>
        <w:rPr>
          <w:rStyle w:val="FootnoteReference"/>
          <w:rFonts w:ascii="Times New Roman" w:hAnsi="Times New Roman" w:hint="cs" w:eastAsia="Times New Roman" w:cs="Times New Roman"/>
          <w:lang w:bidi="fa-IR" w:val="en-US"/>
          <w:sz w:val="20"/>
          <w:szCs w:val="20"/>
          <w:vertAlign w:val="superscript"/>
          <w:rtl w:val="0"/>
        </w:rPr>
        <w:footnoteReference w:id="69"/>
      </w:r>
    </w:p>
    <w:p w14:paraId="2D87936C" w14:textId="77777777">
      <w:pPr>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eastAsia="Times New Roman" w:cs="Times New Roman"/>
          <w:lang w:bidi="fa-IR" w:val="en-US"/>
          <w:sz w:val="20"/>
          <w:szCs w:val="20"/>
          <w:vertAlign w:val="superscript"/>
          <w:rtl w:val="0"/>
        </w:rPr>
        <w:footnoteReference w:id="70"/>
      </w:r>
    </w:p>
    <w:p w14:paraId="452F5EFD"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val="en-US"/>
          <w:sz w:val="20"/>
          <w:szCs w:val="20"/>
          <w:vertAlign w:val="superscript"/>
          <w:rtl w:val="0"/>
        </w:rPr>
        <w:footnoteReference w:id="71"/>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744843B8"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بعد هیجانی شامل ترس، نگرانی و اضطراب ناشی از احتمال بیماری است؛ و 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hint="cs"/>
          <w:lang w:bidi="fa-IR"/>
          <w:rtl/>
        </w:rPr>
        <w:t>، ۲۰۲۳).</w:t>
      </w:r>
    </w:p>
    <w:p w14:paraId="135AD5BE"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65" w:name="_Toc238572049"/>
      <w:r>
        <w:rPr>
          <w:rFonts w:ascii="Times New Roman" w:hAnsi="Times New Roman" w:cs="B Titr" w:eastAsia="Times New Roman"/>
          <w:b/>
          <w:bCs/>
          <w:color w:val="000000"/>
          <w:sz w:val="30"/>
          <w:szCs w:val="30"/>
          <w:rtl/>
          <w:cs/>
          <w:lang w:bidi="fa-IR"/>
        </w:rPr>
        <w:lastRenderedPageBreak/>
        <w:t xml:space="preserve">۲-۴-۲- </w:t>
      </w:r>
      <w:r>
        <w:rPr>
          <w:rFonts w:ascii="Times New Roman" w:hAnsi="Times New Roman" w:cs="B Titr" w:eastAsia="Times New Roman"/>
          <w:b/>
          <w:bCs/>
          <w:color w:val="000000"/>
          <w:sz w:val="30"/>
          <w:szCs w:val="30"/>
          <w:rtl/>
          <w:cs/>
          <w:lang w:bidi="fa-IR"/>
        </w:rPr>
        <w:t>مدل‌های</w:t>
      </w:r>
      <w:r>
        <w:rPr>
          <w:rFonts w:ascii="Times New Roman" w:hAnsi="Times New Roman" w:cs="B Titr" w:eastAsia="Times New Roman"/>
          <w:b/>
          <w:bCs/>
          <w:color w:val="000000"/>
          <w:sz w:val="30"/>
          <w:szCs w:val="30"/>
          <w:rtl/>
          <w:cs/>
          <w:lang w:bidi="fa-IR"/>
        </w:rPr>
        <w:t xml:space="preserve"> نظری اضطراب سلامتی</w:t>
      </w:r>
      <w:bookmarkEnd w:id="65"/>
    </w:p>
    <w:p w14:paraId="1EC6A315"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7" w:name="_Toc238572050"/>
      <w:r>
        <w:rPr>
          <w:rFonts w:ascii="Times New Roman" w:hAnsi="Times New Roman" w:cs="B Titr" w:eastAsia="Times New Roman"/>
          <w:b/>
          <w:bCs/>
          <w:color w:val="000000"/>
          <w:sz w:val="30"/>
          <w:szCs w:val="30"/>
          <w:rtl/>
          <w:cs/>
          <w:lang w:bidi="fa-IR"/>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37E846E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9" w:name="_Toc238572051"/>
      <w:r>
        <w:rPr>
          <w:rFonts w:ascii="Times New Roman" w:hAnsi="Times New Roman" w:cs="B Titr" w:eastAsia="Times New Roman"/>
          <w:b/>
          <w:bCs/>
          <w:color w:val="000000"/>
          <w:sz w:val="30"/>
          <w:szCs w:val="30"/>
          <w:rtl/>
          <w:cs/>
          <w:lang w:bidi="fa-IR"/>
        </w:rPr>
        <w:t>۲-۴-۲-۲- مدل زیستی-روانی-اجتماعی</w:t>
      </w:r>
      <w:bookmarkEnd w:id="69"/>
    </w:p>
    <w:p w14:paraId="64F4397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tl/>
        </w:rPr>
        <w:lastRenderedPageBreak/>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hint="cs"/>
          <w:lang w:bidi="fa-IR"/>
          <w:rtl/>
        </w:rPr>
        <w:t>، ۲۰۱۹).</w:t>
      </w:r>
    </w:p>
    <w:p w14:paraId="084E9E79"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0" w:name="_Toc238572052"/>
      <w:r>
        <w:rPr>
          <w:rFonts w:ascii="Times New Roman" w:hAnsi="Times New Roman" w:cs="B Titr" w:eastAsia="Times New Roman"/>
          <w:b/>
          <w:bCs/>
          <w:color w:val="000000"/>
          <w:sz w:val="30"/>
          <w:szCs w:val="30"/>
          <w:rtl/>
          <w:cs/>
          <w:lang w:bidi="fa-IR"/>
        </w:rPr>
        <w:t>۲-۴-۲-۳- مدل دلبستگی</w:t>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hint="cs"/>
          <w:lang w:bidi="fa-IR"/>
          <w:rtl/>
        </w:rPr>
        <w:t>، ۲۰۲۴).</w:t>
      </w:r>
      <w:r>
        <w:rPr>
          <w:rStyle w:val="FootnoteReference"/>
          <w:rFonts w:ascii="Times New Roman" w:hAnsi="Times New Roman" w:cs="Times New Roman" w:hint="cs" w:eastAsia="Times New Roman"/>
          <w:sz w:val="20"/>
          <w:szCs w:val="20"/>
          <w:lang w:bidi="fa-IR" w:val="en-US"/>
          <w:vertAlign w:val="superscript"/>
          <w:rtl w:val="0"/>
        </w:rPr>
        <w:footnoteReference w:id="72"/>
      </w:r>
    </w:p>
    <w:p w14:paraId="7B0706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1" w:name="_Toc238572053"/>
      <w:r>
        <w:rPr>
          <w:rFonts w:ascii="Times New Roman" w:hAnsi="Times New Roman" w:cs="B Titr" w:eastAsia="Times New Roman"/>
          <w:b/>
          <w:bCs/>
          <w:color w:val="000000"/>
          <w:sz w:val="30"/>
          <w:szCs w:val="30"/>
          <w:rtl/>
          <w:cs/>
          <w:lang w:bidi="fa-IR"/>
        </w:rPr>
        <w:t>۲-۴-۳- سالمندی و اضطراب سلامت</w:t>
      </w:r>
      <w:bookmarkEnd w:id="71"/>
    </w:p>
    <w:p w14:paraId="5786D2C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73"/>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eastAsia="Times New Roman" w:cs="Times New Roman"/>
          <w:lang w:bidi="fa-IR" w:val="en-US"/>
          <w:sz w:val="20"/>
          <w:szCs w:val="20"/>
          <w:vertAlign w:val="superscript"/>
          <w:rtl w:val="0"/>
        </w:rPr>
        <w:footnoteReference w:id="74"/>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hint="cs"/>
          <w:lang w:bidi="fa-IR"/>
          <w:rtl/>
        </w:rPr>
        <w:t>، ۲۰۲۲).</w:t>
      </w:r>
      <w:r>
        <w:rPr>
          <w:rStyle w:val="FootnoteReference"/>
          <w:rFonts w:ascii="Times New Roman" w:hAnsi="Times New Roman" w:cs="Times New Roman" w:hint="cs" w:eastAsia="Times New Roman"/>
          <w:sz w:val="20"/>
          <w:szCs w:val="20"/>
          <w:lang w:bidi="fa-IR" w:val="en-US"/>
          <w:vertAlign w:val="superscript"/>
          <w:rtl w:val="0"/>
        </w:rPr>
        <w:footnoteReference w:id="75"/>
      </w:r>
    </w:p>
    <w:p w14:paraId="6A5047B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14:paraId="24DB7519"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 همچنین 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14:paraId="1227F61C" w14:textId="77777777">
      <w:pPr>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lastRenderedPageBreak/>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 ۲۰۲۴؛ سازمان ملل متحد، ۲۰۲۳).</w:t>
      </w:r>
    </w:p>
    <w:p w14:paraId="221942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3" w:name="_Toc238572054"/>
      <w:r>
        <w:rPr>
          <w:rFonts w:ascii="Times New Roman" w:hAnsi="Times New Roman" w:cs="B Titr" w:eastAsia="Times New Roman"/>
          <w:b/>
          <w:bCs/>
          <w:color w:val="000000"/>
          <w:sz w:val="30"/>
          <w:szCs w:val="30"/>
          <w:rtl/>
          <w:cs/>
          <w:lang w:bidi="fa-IR"/>
        </w:rPr>
        <w:t xml:space="preserve">۲-۴-۴- عوامل </w:t>
      </w:r>
      <w:r>
        <w:rPr>
          <w:rFonts w:ascii="Times New Roman" w:hAnsi="Times New Roman" w:cs="B Titr" w:eastAsia="Times New Roman"/>
          <w:b/>
          <w:bCs/>
          <w:color w:val="000000"/>
          <w:sz w:val="30"/>
          <w:szCs w:val="30"/>
          <w:rtl/>
          <w:cs/>
          <w:lang w:bidi="fa-IR"/>
        </w:rPr>
        <w:t>زمینه‌ساز</w:t>
      </w:r>
      <w:r>
        <w:rPr>
          <w:rFonts w:ascii="Times New Roman" w:hAnsi="Times New Roman" w:cs="B Titr" w:eastAsia="Times New Roman"/>
          <w:b/>
          <w:bCs/>
          <w:color w:val="000000"/>
          <w:sz w:val="30"/>
          <w:szCs w:val="30"/>
          <w:rtl/>
          <w:cs/>
          <w:lang w:bidi="fa-IR"/>
        </w:rPr>
        <w:t xml:space="preserve"> اضطراب</w:t>
      </w:r>
      <w:bookmarkEnd w:id="73"/>
    </w:p>
    <w:p w14:paraId="3E0E6B6F"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 همچنین،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tl/>
        </w:rPr>
        <w:t>روان‌پزشکی</w:t>
      </w:r>
      <w:r>
        <w:rPr>
          <w:rFonts w:ascii="Times New Roman" w:hAnsi="Times New Roman" w:hint="cs"/>
          <w:lang w:bidi="fa-IR"/>
          <w:rtl/>
        </w:rPr>
        <w:t xml:space="preserve"> آمریکا، ۲۰۲۲).</w:t>
      </w:r>
    </w:p>
    <w:p w14:paraId="4A3C5C49" w14:textId="77777777">
      <w:pPr>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همچنین،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lastRenderedPageBreak/>
        <w:t>ارتقای سلامت روان و بهبود کیفیت زندگی سالمندان دارد (سازمان جهانی بهداشت،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آبراموویتز</w:t>
      </w:r>
      <w:r>
        <w:rPr>
          <w:rStyle w:val="FootnoteReference"/>
          <w:rFonts w:ascii="Times New Roman" w:hAnsi="Times New Roman" w:hint="cs" w:eastAsia="Times New Roman" w:cs="Times New Roman"/>
          <w:lang w:bidi="fa-IR" w:val="en-US"/>
          <w:sz w:val="20"/>
          <w:szCs w:val="20"/>
          <w:vertAlign w:val="superscript"/>
          <w:rtl w:val="0"/>
        </w:rPr>
        <w:footnoteReference w:id="76"/>
      </w:r>
      <w:r>
        <w:rPr>
          <w:rStyle w:val="FootnoteReference"/>
          <w:rFonts w:hint="cs" w:ascii="Times New Roman" w:hAnsi="Times New Roman" w:eastAsia="Times New Roman" w:cs="Times New Roman"/>
          <w:sz w:val="20"/>
          <w:szCs w:val="20"/>
          <w:vertAlign w:val="superscript"/>
          <w:lang w:val="en-US"/>
          <w:rtl w:val="0"/>
        </w:rPr>
        <w:footnoteReference w:id="7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hint="cs"/>
          <w:lang w:bidi="fa-IR"/>
          <w:rtl/>
        </w:rPr>
        <w:t>، ۲۰۲۳).</w:t>
      </w:r>
    </w:p>
    <w:p w14:paraId="7AFC5735"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افزون بر این، 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lastRenderedPageBreak/>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تیلور</w:t>
      </w:r>
      <w:r>
        <w:rPr>
          <w:rStyle w:val="FootnoteReference"/>
          <w:rFonts w:ascii="Times New Roman" w:hAnsi="Times New Roman" w:hint="cs" w:eastAsia="Times New Roman" w:cs="Times New Roman"/>
          <w:lang w:bidi="fa-IR" w:val="en-US"/>
          <w:sz w:val="20"/>
          <w:szCs w:val="20"/>
          <w:vertAlign w:val="superscript"/>
          <w:rtl w:val="0"/>
        </w:rPr>
        <w:footnoteReference w:id="78"/>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Times New Roman" w:hint="cs" w:eastAsia="Times New Roman"/>
          <w:sz w:val="20"/>
          <w:szCs w:val="20"/>
          <w:lang w:bidi="fa-IR" w:val="en-US"/>
          <w:vertAlign w:val="superscript"/>
          <w:rtl w:val="0"/>
        </w:rPr>
        <w:footnoteReference w:id="79"/>
      </w:r>
      <w:r>
        <w:rPr>
          <w:rFonts w:ascii="Times New Roman" w:hAnsi="Times New Roman" w:hint="cs"/>
          <w:lang w:bidi="fa-IR"/>
          <w:rtl/>
        </w:rPr>
        <w:t>، ۲۰۲۱؛ سازمان جهانی بهداشت، ۲۰۲۴).</w:t>
      </w:r>
    </w:p>
    <w:p w14:paraId="3DAA8676"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4" w:name="_Toc238572055"/>
      <w:r>
        <w:rPr>
          <w:rFonts w:ascii="Times New Roman" w:hAnsi="Times New Roman" w:cs="B Titr" w:eastAsia="Times New Roman"/>
          <w:b/>
          <w:bCs/>
          <w:color w:val="000000"/>
          <w:sz w:val="30"/>
          <w:szCs w:val="30"/>
          <w:rtl/>
          <w:cs/>
          <w:lang w:bidi="fa-IR"/>
        </w:rPr>
        <w:t>۲-۴-۵- مداخلات معطوف به کاهش اضطراب سلامت سالمندان</w:t>
      </w:r>
      <w:bookmarkEnd w:id="74"/>
    </w:p>
    <w:p w14:paraId="51F54099" w14:textId="77777777">
      <w:pPr>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14:paraId="48BBFE5B" w14:textId="77777777">
      <w:pPr>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80"/>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81"/>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eastAsia="Times New Roman" w:cs="Times New Roman"/>
          <w:lang w:bidi="fa-IR" w:val="en-US"/>
          <w:sz w:val="20"/>
          <w:szCs w:val="20"/>
          <w:vertAlign w:val="superscript"/>
          <w:rtl w:val="0"/>
        </w:rPr>
        <w:footnoteReference w:id="82"/>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eastAsia="Times New Roman" w:cs="Times New Roman"/>
          <w:lang w:bidi="fa-IR" w:val="en-US"/>
          <w:sz w:val="20"/>
          <w:szCs w:val="20"/>
          <w:vertAlign w:val="superscript"/>
          <w:rtl w:val="0"/>
        </w:rPr>
        <w:footnoteReference w:id="83"/>
      </w:r>
      <w:r>
        <w:rPr>
          <w:rFonts w:ascii="Times New Roman" w:hAnsi="Times New Roman" w:hint="cs"/>
          <w:lang w:bidi="fa-IR"/>
          <w:rtl/>
        </w:rPr>
        <w:t>، ۲۰۲۳؛ سازمان جهانی بهداشت، ۲۰۲۴).</w:t>
      </w:r>
    </w:p>
    <w:p w14:paraId="493D0FE6" w14:textId="77777777">
      <w:pPr>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eastAsia="Times New Roman" w:cs="Times New Roman"/>
          <w:lang w:bidi="fa-IR" w:val="en-US"/>
          <w:sz w:val="20"/>
          <w:szCs w:val="20"/>
          <w:vertAlign w:val="superscript"/>
          <w:rtl w:val="0"/>
        </w:rPr>
        <w:footnoteReference w:id="84"/>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eastAsia="Times New Roman" w:cs="Times New Roman"/>
          <w:lang w:bidi="fa-IR" w:val="en-US"/>
          <w:sz w:val="20"/>
          <w:szCs w:val="20"/>
          <w:vertAlign w:val="superscript"/>
          <w:rtl w:val="0"/>
        </w:rPr>
        <w:footnoteReference w:id="85"/>
      </w:r>
      <w:r>
        <w:rPr>
          <w:rFonts w:ascii="Times New Roman" w:hAnsi="Times New Roman" w:hint="cs"/>
          <w:lang w:bidi="fa-IR"/>
          <w:rtl/>
        </w:rPr>
        <w:t xml:space="preserve"> و همکاران، ۲۰۲۴).</w:t>
      </w:r>
    </w:p>
    <w:p w14:paraId="4697D82D" w14:textId="77777777">
      <w:pPr>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eastAsia="Times New Roman" w:cs="Times New Roman"/>
          <w:lang w:bidi="fa-IR" w:val="en-US"/>
          <w:sz w:val="20"/>
          <w:szCs w:val="20"/>
          <w:vertAlign w:val="superscript"/>
          <w:rtl w:val="0"/>
        </w:rPr>
        <w:footnoteReference w:id="86"/>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eastAsia="Times New Roman" w:cs="Times New Roman"/>
          <w:lang w:bidi="fa-IR" w:val="en-US"/>
          <w:sz w:val="20"/>
          <w:szCs w:val="20"/>
          <w:vertAlign w:val="superscript"/>
          <w:rtl w:val="0"/>
        </w:rPr>
        <w:footnoteReference w:id="87"/>
      </w:r>
      <w:r>
        <w:rPr>
          <w:rFonts w:ascii="Times New Roman" w:hAnsi="Times New Roman" w:hint="cs"/>
          <w:lang w:bidi="fa-IR"/>
          <w:rtl/>
        </w:rPr>
        <w:t xml:space="preserve"> و همکاران، ۲۰۲۴).</w:t>
      </w:r>
    </w:p>
    <w:p w14:paraId="4A4D0639" w14:textId="77777777">
      <w:pPr>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val="en-US"/>
          <w:sz w:val="20"/>
          <w:szCs w:val="20"/>
          <w:vertAlign w:val="superscript"/>
          <w:rtl w:val="0"/>
        </w:rPr>
        <w:footnoteReference w:id="88"/>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eastAsia="Times New Roman" w:cs="Times New Roman"/>
          <w:lang w:bidi="fa-IR" w:val="en-US"/>
          <w:sz w:val="20"/>
          <w:szCs w:val="20"/>
          <w:vertAlign w:val="superscript"/>
          <w:rtl w:val="0"/>
        </w:rPr>
        <w:footnoteReference w:id="89"/>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 ۲۰۲۳؛ گولد</w:t>
      </w:r>
      <w:r>
        <w:rPr>
          <w:rStyle w:val="FootnoteReference"/>
          <w:rFonts w:ascii="Times New Roman" w:hAnsi="Times New Roman" w:hint="cs" w:eastAsia="Times New Roman" w:cs="Times New Roman"/>
          <w:lang w:bidi="fa-IR" w:val="en-US"/>
          <w:sz w:val="20"/>
          <w:szCs w:val="20"/>
          <w:vertAlign w:val="superscript"/>
          <w:rtl w:val="0"/>
        </w:rPr>
        <w:footnoteReference w:id="90"/>
      </w:r>
      <w:r>
        <w:rPr>
          <w:rFonts w:ascii="Times New Roman" w:hAnsi="Times New Roman" w:hint="cs"/>
          <w:lang w:bidi="fa-IR"/>
          <w:rtl/>
        </w:rPr>
        <w:t xml:space="preserve"> و همکاران، ۲۰۲۲).</w:t>
      </w:r>
    </w:p>
    <w:p w14:paraId="4A84AF1A" w14:textId="77777777">
      <w:pPr>
        <w:pStyle w:val="Heading2"/>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75" w:name="_Toc238572056"/>
      <w:r>
        <w:rPr>
          <w:rFonts w:ascii="Times New Roman" w:hAnsi="Times New Roman" w:cs="B Titr" w:eastAsia="Times New Roman"/>
          <w:b/>
          <w:bCs/>
          <w:color w:val="000000"/>
          <w:sz w:val="30"/>
          <w:szCs w:val="30"/>
          <w:rtl/>
          <w:cs/>
          <w:lang w:bidi="fa-IR"/>
        </w:rPr>
        <w:t>۲-۵- پیشینه پژوهش</w:t>
      </w:r>
      <w:bookmarkEnd w:id="75"/>
    </w:p>
    <w:p w14:paraId="5F3E61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6" w:name="_Toc238572057"/>
      <w:r>
        <w:rPr>
          <w:rFonts w:ascii="Times New Roman" w:hAnsi="Times New Roman" w:cs="B Titr" w:eastAsia="Times New Roman"/>
          <w:b/>
          <w:bCs/>
          <w:color w:val="000000"/>
          <w:sz w:val="30"/>
          <w:szCs w:val="30"/>
          <w:rtl/>
          <w:cs/>
          <w:lang w:bidi="fa-IR"/>
        </w:rPr>
        <w:t xml:space="preserve">۲-۵-۱- پیشینه داخلی</w:t>
      </w:r>
      <w:bookmarkEnd w:id="76"/>
    </w:p>
    <w:p w14:paraId="7731F1CE"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lastRenderedPageBreak/>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14:paraId="1F86D117" w14:textId="3C9D52E1">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14:paraId="12102F1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 همچنین 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14:paraId="2E4606A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از جمله 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7" w:name="_Toc238572058"/>
      <w:r>
        <w:rPr>
          <w:rFonts w:ascii="Times New Roman" w:hAnsi="Times New Roman" w:cs="B Titr" w:eastAsia="Times New Roman"/>
          <w:b/>
          <w:bCs/>
          <w:color w:val="000000"/>
          <w:sz w:val="30"/>
          <w:szCs w:val="30"/>
          <w:rtl/>
          <w:cs/>
          <w:lang w:bidi="fa-IR"/>
        </w:rPr>
        <w:t>۲-۵-۲- پیشینه خارجی</w:t>
      </w:r>
      <w:bookmarkEnd w:id="77"/>
    </w:p>
    <w:p w14:paraId="320E3D12"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 </w:t>
      </w:r>
      <w:r>
        <w:rPr>
          <w:rFonts w:ascii="Times New Roman" w:eastAsia="Times New Roman" w:hAnsi="Times New Roman" w:hint="cs"/>
          <w:lang w:bidi="fa-IR"/>
          <w:rtl/>
        </w:rPr>
        <w:t>یانگ</w:t>
      </w:r>
      <w:r>
        <w:rPr>
          <w:rFonts w:ascii="Times New Roman" w:eastAsia="Times New Roman" w:hAnsi="Times New Roman" w:hint="cs"/>
          <w:lang w:bidi="fa-IR"/>
          <w:rtl/>
        </w:rPr>
        <w:t xml:space="preserve"> و ما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 </w:t>
      </w:r>
      <w:r>
        <w:rPr>
          <w:rFonts w:ascii="Times New Roman" w:eastAsia="Times New Roman" w:hAnsi="Times New Roman" w:hint="cs"/>
          <w:lang w:bidi="fa-IR"/>
          <w:rtl/>
        </w:rPr>
        <w:t>رحمه</w:t>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1152E0D4"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3387DB3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وانگ و </w:t>
      </w:r>
      <w:r>
        <w:rPr>
          <w:rFonts w:ascii="Times New Roman" w:eastAsia="Times New Roman" w:hAnsi="Times New Roman" w:hint="cs"/>
          <w:lang w:bidi="fa-IR"/>
          <w:rtl/>
        </w:rPr>
        <w:t>ژائو</w:t>
      </w:r>
      <w:r>
        <w:rPr>
          <w:rStyle w:val="FootnoteReference"/>
          <w:rFonts w:ascii="Times New Roman" w:eastAsia="Times New Roman" w:hAnsi="Times New Roman" w:hint="cs" w:cs="Times New Roman"/>
          <w:vertAlign w:val="superscript"/>
          <w:lang w:bidi="fa-IR" w:val="en-US"/>
          <w:sz w:val="20"/>
          <w:szCs w:val="20"/>
          <w:rtl w:val="0"/>
        </w:rPr>
        <w:footnoteReference w:id="91"/>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Style w:val="FootnoteReference"/>
          <w:rFonts w:ascii="Times New Roman" w:eastAsia="Times New Roman" w:hAnsi="Times New Roman" w:hint="cs" w:cs="Times New Roman"/>
          <w:vertAlign w:val="superscript"/>
          <w:lang w:bidi="fa-IR" w:val="en-US"/>
          <w:sz w:val="20"/>
          <w:szCs w:val="20"/>
          <w:rtl w:val="0"/>
        </w:rPr>
        <w:footnoteReference w:id="92"/>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Style w:val="FootnoteReference"/>
          <w:rFonts w:ascii="Times New Roman" w:eastAsia="Times New Roman" w:hAnsi="Times New Roman" w:hint="cs" w:cs="Times New Roman"/>
          <w:vertAlign w:val="superscript"/>
          <w:lang w:bidi="fa-IR" w:val="en-US"/>
          <w:sz w:val="20"/>
          <w:szCs w:val="20"/>
          <w:rtl w:val="0"/>
        </w:rPr>
        <w:footnoteReference w:id="93"/>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eastAsia="Times New Roman" w:hAnsi="Times New Roman" w:hint="cs"/>
          <w:lang w:bidi="fa-IR"/>
          <w:rtl/>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Style w:val="FootnoteReference"/>
          <w:rFonts w:ascii="Times New Roman" w:eastAsia="Times New Roman" w:hAnsi="Times New Roman" w:hint="cs" w:cs="Times New Roman"/>
          <w:vertAlign w:val="superscript"/>
          <w:lang w:bidi="fa-IR" w:val="en-US"/>
          <w:sz w:val="20"/>
          <w:szCs w:val="20"/>
          <w:rtl w:val="0"/>
        </w:rPr>
        <w:footnoteReference w:id="94"/>
      </w:r>
      <w:r>
        <w:rPr>
          <w:rFonts w:ascii="Times New Roman" w:eastAsia="Times New Roman" w:hAnsi="Times New Roman" w:hint="cs"/>
          <w:lang w:bidi="fa-IR"/>
          <w:rtl/>
        </w:rPr>
        <w:t xml:space="preserve">،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95"/>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14:paraId="1567BC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Style w:val="FootnoteReference"/>
          <w:rFonts w:ascii="Times New Roman" w:eastAsia="Times New Roman" w:hAnsi="Times New Roman" w:hint="cs" w:cs="Times New Roman"/>
          <w:vertAlign w:val="superscript"/>
          <w:lang w:bidi="fa-IR" w:val="en-US"/>
          <w:sz w:val="20"/>
          <w:szCs w:val="20"/>
          <w:rtl w:val="0"/>
        </w:rPr>
        <w:footnoteReference w:id="96"/>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Style w:val="FootnoteReference"/>
          <w:rFonts w:ascii="Times New Roman" w:eastAsia="Times New Roman" w:hAnsi="Times New Roman" w:hint="cs" w:cs="Times New Roman"/>
          <w:vertAlign w:val="superscript"/>
          <w:lang w:bidi="fa-IR" w:val="en-US"/>
          <w:sz w:val="20"/>
          <w:szCs w:val="20"/>
          <w:rtl w:val="0"/>
        </w:rPr>
        <w:footnoteReference w:id="97"/>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Style w:val="FootnoteReference"/>
          <w:rFonts w:ascii="Times New Roman" w:eastAsia="Times New Roman" w:hAnsi="Times New Roman" w:hint="cs" w:cs="Times New Roman"/>
          <w:vertAlign w:val="superscript"/>
          <w:lang w:bidi="fa-IR" w:val="en-US"/>
          <w:sz w:val="20"/>
          <w:szCs w:val="20"/>
          <w:rtl w:val="0"/>
        </w:rPr>
        <w:footnoteReference w:id="98"/>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99"/>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Style w:val="FootnoteReference"/>
          <w:rFonts w:ascii="Times New Roman" w:eastAsia="Times New Roman" w:hAnsi="Times New Roman" w:hint="cs" w:cs="Times New Roman"/>
          <w:vertAlign w:val="superscript"/>
          <w:lang w:bidi="fa-IR" w:val="en-US"/>
          <w:sz w:val="20"/>
          <w:szCs w:val="20"/>
          <w:rtl w:val="0"/>
        </w:rPr>
        <w:footnoteReference w:id="100"/>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14:paraId="5CF2F8A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Style w:val="FootnoteReference"/>
          <w:rFonts w:ascii="Times New Roman" w:eastAsia="Times New Roman" w:hAnsi="Times New Roman" w:hint="cs" w:cs="Times New Roman"/>
          <w:vertAlign w:val="superscript"/>
          <w:lang w:bidi="fa-IR" w:val="en-US"/>
          <w:sz w:val="20"/>
          <w:szCs w:val="20"/>
          <w:rtl w:val="0"/>
        </w:rPr>
        <w:footnoteReference w:id="101"/>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Style w:val="FootnoteReference"/>
          <w:rFonts w:ascii="Times New Roman" w:eastAsia="Times New Roman" w:hAnsi="Times New Roman" w:hint="cs" w:cs="Times New Roman"/>
          <w:vertAlign w:val="superscript"/>
          <w:lang w:bidi="fa-IR" w:val="en-US"/>
          <w:sz w:val="20"/>
          <w:szCs w:val="20"/>
          <w:rtl w:val="0"/>
        </w:rPr>
        <w:footnoteReference w:id="102"/>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10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Style w:val="FootnoteReference"/>
          <w:rFonts w:ascii="Times New Roman" w:eastAsia="Times New Roman" w:hAnsi="Times New Roman" w:hint="cs" w:cs="Times New Roman"/>
          <w:vertAlign w:val="superscript"/>
          <w:lang w:bidi="fa-IR" w:val="en-US"/>
          <w:sz w:val="20"/>
          <w:szCs w:val="20"/>
          <w:rtl w:val="0"/>
        </w:rPr>
        <w:footnoteReference w:id="104"/>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Style w:val="FootnoteReference"/>
          <w:rFonts w:ascii="Times New Roman" w:eastAsia="Times New Roman" w:hAnsi="Times New Roman" w:hint="cs" w:cs="Times New Roman"/>
          <w:vertAlign w:val="superscript"/>
          <w:lang w:bidi="fa-IR" w:val="en-US"/>
          <w:sz w:val="20"/>
          <w:szCs w:val="20"/>
          <w:rtl w:val="0"/>
        </w:rPr>
        <w:footnoteReference w:id="105"/>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Style w:val="FootnoteReference"/>
          <w:rFonts w:ascii="Times New Roman" w:eastAsia="Times New Roman" w:hAnsi="Times New Roman" w:hint="cs" w:cs="Times New Roman"/>
          <w:vertAlign w:val="superscript"/>
          <w:lang w:bidi="fa-IR" w:val="en-US"/>
          <w:sz w:val="20"/>
          <w:szCs w:val="20"/>
          <w:rtl w:val="0"/>
        </w:rPr>
        <w:footnoteReference w:id="106"/>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 است.</w:t>
      </w:r>
    </w:p>
    <w:p>
      <w:pPr>
        <w:pStyle w:val="Heading1"/>
        <w:bidi w:val="1"/>
        <w:spacing w:after="120" w:line="276" w:lineRule="auto"/>
        <w:jc w:val="right"/>
        <w:pageBreakBefore/>
      </w:pPr>
      <w:r>
        <w:rPr>
          <w:rFonts w:ascii="Times New Roman" w:hAnsi="Times New Roman" w:eastAsia="Times New Roman" w:cs="B Lotus"/>
          <w:b/>
          <w:bCs/>
          <w:sz w:val="28"/>
          <w:szCs w:val="28"/>
          <w:rtl/>
          <w:cs/>
          <w:lang w:bidi="fa-IR" w:val="en-US"/>
        </w:rPr>
        <w:t>منابع فارسی</w:t>
      </w:r>
    </w:p>
    <w:p>
      <w:pPr>
        <w:pStyle w:val="Normal"/>
        <w:bidi w:val="1"/>
        <w:spacing w:after="120" w:line="276" w:lineRule="auto"/>
        <w:jc w:val="right"/>
      </w:pPr>
      <w:r>
        <w:rPr>
          <w:rFonts w:ascii="Times New Roman" w:hAnsi="Times New Roman" w:eastAsia="Times New Roman" w:cs="B Lotus"/>
          <w:sz w:val="28"/>
          <w:szCs w:val="28"/>
          <w:rtl/>
          <w:cs/>
          <w:lang w:bidi="fa-IR" w:val="en-US"/>
        </w:rPr>
        <w:t>حسینی، جنبذی سیدعلی؛ و زرقی، محمد. (۱۴۰۲). مروری بر نظریه‌های روان‌شناختی سالمندی و سالمندی موفق. فصلنامه سالمند.</w:t>
      </w:r>
    </w:p>
    <w:p>
      <w:pPr>
        <w:pStyle w:val="Heading1"/>
        <w:bidi w:val="1"/>
        <w:spacing w:after="120" w:line="276" w:lineRule="auto"/>
        <w:jc w:val="right"/>
      </w:pPr>
      <w:r>
        <w:rPr>
          <w:rFonts w:ascii="Times New Roman" w:hAnsi="Times New Roman" w:eastAsia="Times New Roman" w:cs="B Lotus"/>
          <w:b/>
          <w:bCs/>
          <w:sz w:val="28"/>
          <w:szCs w:val="28"/>
          <w:rtl/>
          <w:cs/>
          <w:lang w:bidi="fa-IR" w:val="en-US"/>
        </w:rPr>
        <w:t>منابع لاتین</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(1989). A Continuity Theory of Normal Aging. The Gerontologist, 29(2), 183–190.</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(2016). Social Forces and Aging: An Introduction to Social Gerontology (14th ed.). Cengage Learning.</w:t>
      </w:r>
    </w:p>
    <w:p>
      <w:pPr>
        <w:pStyle w:val="Bibliography"/>
        <w:bidi w:val="0"/>
        <w:spacing w:after="120" w:line="276" w:lineRule="auto"/>
        <w:jc w:val="left"/>
      </w:pPr>
      <w:r>
        <w:rPr>
          <w:rFonts w:ascii="Times New Roman" w:hAnsi="Times New Roman" w:eastAsia="Times New Roman" w:cs="B Lotus"/>
          <w:sz w:val="28"/>
          <w:szCs w:val="28"/>
          <w:rtl w:val="0"/>
          <w:cs w:val="0"/>
          <w:lang w:val="en-US"/>
        </w:rPr>
        <w:t>Campisi, J. (2024). Cellular Senescence and Organismal Aging. Nature Reviews Molecular Cell Biology.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(2006). The influence of a sense of time on human development. Science, 312(5782), 1913–1915. </w:t>
      </w:r>
      <w:hyperlink r:id="rIdDoiSST06" w:history="1">
        <w:r>
          <w:rPr>
            <w:rFonts w:ascii="Times New Roman" w:hAnsi="Times New Roman" w:eastAsia="Times New Roman" w:cs="B Lotus"/>
            <w:rStyle w:val="Hyperlink"/>
            <w:color w:val="1B7A3D"/>
            <w:sz w:val="28"/>
            <w:szCs w:val="28"/>
            <w:rtl w:val="0"/>
            <w:cs w:val="0"/>
            <w:lang w:val="en-US"/>
          </w:rPr>
          <w:t xml:space="preserve">https://doi.org/10.1126/science.1127488</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(2021). Socioemotional selectivity theory: The role of perceived endings in human motivation. The Gerontologist, 61(8), 1188–1196. </w:t>
      </w:r>
      <w:hyperlink r:id="rIdDoiSST21" w:history="1">
        <w:r>
          <w:rPr>
            <w:rFonts w:ascii="Times New Roman" w:hAnsi="Times New Roman" w:eastAsia="Times New Roman" w:cs="B Lotus"/>
            <w:rStyle w:val="Hyperlink"/>
            <w:color w:val="1B7A3D"/>
            <w:sz w:val="28"/>
            <w:szCs w:val="28"/>
            <w:rtl w:val="0"/>
            <w:cs w:val="0"/>
            <w:lang w:val="en-US"/>
          </w:rPr>
          <w:t xml:space="preserve">https://doi.org/10.1093/geront/gnab116</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Isaacowitz, D. M., &amp; Charles, S. T. (1999). Taking time seriously: A theory of socioemotional selectivity. American Psychologist, 54(3), 165–181. </w:t>
      </w:r>
      <w:hyperlink r:id="rIdDoiSST99" w:history="1">
        <w:r>
          <w:rPr>
            <w:rFonts w:ascii="Times New Roman" w:hAnsi="Times New Roman" w:eastAsia="Times New Roman" w:cs="B Lotus"/>
            <w:rStyle w:val="Hyperlink"/>
            <w:color w:val="1B7A3D"/>
            <w:sz w:val="28"/>
            <w:szCs w:val="28"/>
            <w:rtl w:val="0"/>
            <w:cs w:val="0"/>
            <w:lang w:val="en-US"/>
          </w:rPr>
          <w:t xml:space="preserve">https://doi.org/10.1037/0003-066X.54.3.165</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Cumming, E., &amp; Henry, W. E. (1961). Growing Old: The Process of Disengagement. New York: Basic Books.</w:t>
      </w:r>
    </w:p>
    <w:p>
      <w:pPr>
        <w:pStyle w:val="Bibliography"/>
        <w:bidi w:val="0"/>
        <w:spacing w:after="120" w:line="276" w:lineRule="auto"/>
        <w:jc w:val="left"/>
      </w:pPr>
      <w:r>
        <w:rPr>
          <w:rFonts w:ascii="Times New Roman" w:hAnsi="Times New Roman" w:eastAsia="Times New Roman" w:cs="B Lotus"/>
          <w:sz w:val="28"/>
          <w:szCs w:val="28"/>
          <w:rtl w:val="0"/>
          <w:cs w:val="0"/>
          <w:lang w:val="en-US"/>
        </w:rPr>
        <w:t>Dowd, J. J. (1975). Aging as exchange: A preface to theory. Journal of Gerontology, 30(5), 584–594.</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(1982). The Life Cycle Completed. New York: W. W. Norton.</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Erikson, J. M., &amp; Kivnick, H. Q. (1986). Vital Involvement in Old Age. New York: W. W. Norton.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Franceschi, C., Garagnani, P., Parini, P., Giuliani, C., &amp; Santoro, A. (2018). Inflammaging: A new immune–metabolic viewpoint for age-related diseases. Nature Reviews Endocrinology, 14(10), 576–590. </w:t>
      </w:r>
      <w:hyperlink r:id="rIdDoiFran" w:history="1">
        <w:r>
          <w:rPr>
            <w:rFonts w:ascii="Times New Roman" w:hAnsi="Times New Roman" w:eastAsia="Times New Roman" w:cs="B Lotus"/>
            <w:rStyle w:val="Hyperlink"/>
            <w:color w:val="1B7A3D"/>
            <w:sz w:val="28"/>
            <w:szCs w:val="28"/>
            <w:rtl w:val="0"/>
            <w:cs w:val="0"/>
            <w:lang w:val="en-US"/>
          </w:rPr>
          <w:t xml:space="preserve">https://doi.org/10.1038/s41574-018-0059-4</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Fulop, T., Larbi, A., Dupuis, G., et al. (2023). Immunosenescence and inflammaging as two sides of the same coin: Friends or foes? Frontiers in Immunology.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Gladyshev, V. N. (2024). The Biology of Aging. Nature Reviews Molecular Cell Biology.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(1961). Successful aging. The Gerontologist.</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Neugarten, B. L., &amp; Tobin, S. S. (1968). Disengagement and patterns of aging. In Middle Age and Aging.</w:t>
      </w:r>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López-Otín, C., Blasco, M. A., Partridge, L., Serrano, M., &amp; Kroemer, G. (2023). Hallmarks of aging: An expanding universe. Cell, 186(2), 243–278. </w:t>
      </w:r>
      <w:hyperlink r:id="rIdDoiLopez" w:history="1">
        <w:r>
          <w:rPr>
            <w:rFonts w:ascii="Times New Roman" w:hAnsi="Times New Roman" w:eastAsia="Times New Roman" w:cs="B Lotus"/>
            <w:rStyle w:val="Hyperlink"/>
            <w:sz w:val="28"/>
            <w:szCs w:val="28"/>
            <w:rtl w:val="0"/>
            <w:cs w:val="0"/>
            <w:lang w:val="en-US"/>
          </w:rPr>
          <w:t xml:space="preserve">https://doi.org/10.1016/j.cell.2022.11.001</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Nikolich-Žugich, J., et al. (2023). The twilight of immunity: Emerging concepts in aging of the immune system. Nature Immunology.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Reed, A. E., Chan, L., &amp; Mikels, J. A. (2014). Meta-analysis of the age-related positivity effect: Age differences in preferences for positive over negative information. Psychology and Aging, 29(1), 1–15. </w:t>
      </w:r>
      <w:hyperlink r:id="rIdDoiReed" w:history="1">
        <w:r>
          <w:rPr>
            <w:rFonts w:ascii="Times New Roman" w:hAnsi="Times New Roman" w:eastAsia="Times New Roman" w:cs="B Lotus"/>
            <w:rStyle w:val="Hyperlink"/>
            <w:color w:val="1B7A3D"/>
            <w:sz w:val="28"/>
            <w:szCs w:val="28"/>
            <w:rtl w:val="0"/>
            <w:cs w:val="0"/>
            <w:lang w:val="en-US"/>
          </w:rPr>
          <w:t xml:space="preserve">https://doi.org/10.1037/a0035194</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Rowe, J. W., &amp; Kahn, R. L. (2015). Successful aging 2.0: Conceptual expansions for the 21st century. The Journals of Gerontology, Series B, 70(4), 593–596. </w:t>
      </w:r>
      <w:hyperlink r:id="rIdDoiRowe" w:history="1">
        <w:r>
          <w:rPr>
            <w:rFonts w:ascii="Times New Roman" w:hAnsi="Times New Roman" w:eastAsia="Times New Roman" w:cs="B Lotus"/>
            <w:rStyle w:val="Hyperlink"/>
            <w:color w:val="1B7A3D"/>
            <w:sz w:val="28"/>
            <w:szCs w:val="28"/>
            <w:rtl w:val="0"/>
            <w:cs w:val="0"/>
            <w:lang w:val="en-US"/>
          </w:rPr>
          <w:t xml:space="preserve">https://doi.org/10.1093/geronb/gbv025</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Westerhof, G. J., Bohlmeijer, E. T., &amp; McAdams, D. P. (2017). The relation of ego integrity and despair to personality traits and mental health. The Journals of Gerontology, Series B, 72(3), 400–407. </w:t>
      </w:r>
      <w:hyperlink r:id="rIdDoiWest" w:history="1">
        <w:r>
          <w:rPr>
            <w:rFonts w:ascii="Times New Roman" w:hAnsi="Times New Roman" w:eastAsia="Times New Roman" w:cs="B Lotus"/>
            <w:rStyle w:val="Hyperlink"/>
            <w:color w:val="1B7A3D"/>
            <w:sz w:val="28"/>
            <w:szCs w:val="28"/>
            <w:rtl w:val="0"/>
            <w:cs w:val="0"/>
            <w:lang w:val="en-US"/>
          </w:rPr>
          <w:t xml:space="preserve">https://doi.org/10.1093/geronb/gbv062</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(2020). Healthy ageing and functional ability.</w:t>
      </w:r>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(2023). Healthy ageing: A priority for delivering universal health coverage. Geneva: World Health Organization.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Iverach, L., Menzies, R. G., &amp; Menzies, R. E. (2014). Death anxiety and its role in psychopathology: Reviewing the status of a transdiagnostic construct. Clinical Psychology Review, 34(7), 580–593. </w:t>
      </w:r>
      <w:hyperlink r:id="rIdDoiIver" w:history="1">
        <w:r>
          <w:rPr>
            <w:rFonts w:ascii="Times New Roman" w:hAnsi="Times New Roman" w:eastAsia="Times New Roman" w:cs="B Lotus"/>
            <w:rStyle w:val="Hyperlink"/>
            <w:color w:val="1B7A3D"/>
            <w:sz w:val="28"/>
            <w:szCs w:val="28"/>
            <w:rtl w:val="0"/>
            <w:cs w:val="0"/>
            <w:lang w:val="en-US"/>
          </w:rPr>
          <w:t xml:space="preserve">https://doi.org/10.1016/j.cpr.2014.09.002</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King, D. B., &amp; DeCicco, T. L. (2009). A viable model and self-report measure of spiritual intelligence. International Journal of Transpersonal Studies, 28(1), 68–85.</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Menzies, R. E., &amp; Menzies, R. G. (2020). Death anxiety in the time of COVID-19: Theoretical explanations and clinical implications. The Cognitive Behaviour Therapist, 13, e19. </w:t>
      </w:r>
      <w:hyperlink r:id="rIdDoiMenz" w:history="1">
        <w:r>
          <w:rPr>
            <w:rFonts w:ascii="Times New Roman" w:hAnsi="Times New Roman" w:eastAsia="Times New Roman" w:cs="B Lotus"/>
            <w:rStyle w:val="Hyperlink"/>
            <w:color w:val="1B7A3D"/>
            <w:sz w:val="28"/>
            <w:szCs w:val="28"/>
            <w:rtl w:val="0"/>
            <w:cs w:val="0"/>
            <w:lang w:val="en-US"/>
          </w:rPr>
          <w:t xml:space="preserve">https://doi.org/10.1017/S1754470X20000215</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Pyszczynski, T., Lockett, M., Greenberg, J., &amp; Solomon, S. (2021). Terror management theory and the COVID-19 pandemic. Journal of Humanistic Psychology, 61(2), 173–189. </w:t>
      </w:r>
      <w:hyperlink r:id="rIdDoiPysz" w:history="1">
        <w:r>
          <w:rPr>
            <w:rFonts w:ascii="Times New Roman" w:hAnsi="Times New Roman" w:eastAsia="Times New Roman" w:cs="B Lotus"/>
            <w:rStyle w:val="Hyperlink"/>
            <w:color w:val="1B7A3D"/>
            <w:sz w:val="28"/>
            <w:szCs w:val="28"/>
            <w:rtl w:val="0"/>
            <w:cs w:val="0"/>
            <w:lang w:val="en-US"/>
          </w:rPr>
          <w:t xml:space="preserve">https://doi.org/10.1177/0022167820959488</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Wong, P. T. P. (2008). Meaning management theory and death acceptance. In A. Tomer, G. T. Eliason, &amp; P. T. P. Wong (Eds.), Existential and spiritual issues in death attitudes (pp. 65–87). Erlbaum.</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val="0"/>
        <w:spacing w:after="0" w:line="240" w:lineRule="auto"/>
        <w:jc w:val="left"/>
        <w:rPr>
          <w:rtl w:val="0"/>
          <w:cs w:val="0"/>
        </w:rPr>
      </w:pPr>
      <w:r>
        <w:separator/>
      </w:r>
    </w:p>
  </w:footnote>
  <w:footnote w:type="continuationSeparator" w:id="0">
    <w:p>
      <w:pPr>
        <w:bidi w:val="0"/>
        <w:spacing w:after="0" w:line="240" w:lineRule="auto"/>
        <w:jc w:val="left"/>
        <w:rPr>
          <w:rtl w:val="0"/>
          <w:cs w:val="0"/>
        </w:rPr>
      </w:pPr>
      <w:r>
        <w:continuationSeparator/>
      </w:r>
    </w:p>
  </w:footnote>
  <w:footnote w:id="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Gerontology</w:t>
      </w:r>
    </w:p>
  </w:footnote>
  <w:footnote w:id="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World Health Organization</w:t>
      </w:r>
    </w:p>
  </w:footnote>
  <w:footnote w:id="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Immunological Theory of Aging</w:t>
      </w:r>
    </w:p>
  </w:footnote>
  <w:footnote w:id="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Nikolich-Žugich</w:t>
      </w:r>
    </w:p>
  </w:footnote>
  <w:footnote w:id="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Fülöp</w:t>
      </w:r>
    </w:p>
  </w:footnote>
  <w:footnote w:id="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Inflammaging</w:t>
      </w:r>
    </w:p>
  </w:footnote>
  <w:footnote w:id="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Franceschi</w:t>
      </w:r>
    </w:p>
  </w:footnote>
  <w:footnote w:id="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López-Otín</w:t>
      </w:r>
    </w:p>
  </w:footnote>
  <w:footnote w:id="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Campisi</w:t>
      </w:r>
    </w:p>
  </w:footnote>
  <w:footnote w:id="1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Gladyshev</w:t>
      </w:r>
    </w:p>
  </w:footnote>
  <w:footnote w:id="1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Gould</w:t>
      </w:r>
    </w:p>
  </w:footnote>
  <w:footnote w:id="1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Levinson</w:t>
      </w:r>
    </w:p>
  </w:footnote>
  <w:footnote w:id="1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Schaie</w:t>
      </w:r>
    </w:p>
  </w:footnote>
  <w:footnote w:id="1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Erikson</w:t>
      </w:r>
    </w:p>
  </w:footnote>
  <w:footnote w:id="1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Kivnick</w:t>
      </w:r>
    </w:p>
  </w:footnote>
  <w:footnote w:id="1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Westerhof, Bohlmeijer &amp; McAdams</w:t>
      </w:r>
    </w:p>
  </w:footnote>
  <w:footnote w:id="1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Socioemotional Selectivity Theory</w:t>
      </w:r>
    </w:p>
  </w:footnote>
  <w:footnote w:id="1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Carstensen</w:t>
      </w:r>
    </w:p>
  </w:footnote>
  <w:footnote w:id="1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Isaacowitz</w:t>
      </w:r>
    </w:p>
  </w:footnote>
  <w:footnote w:id="2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Charles</w:t>
      </w:r>
    </w:p>
  </w:footnote>
  <w:footnote w:id="2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positivity effect</w:t>
      </w:r>
    </w:p>
  </w:footnote>
  <w:footnote w:id="2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Reed, Chan &amp; Mikels</w:t>
      </w:r>
    </w:p>
  </w:footnote>
  <w:footnote w:id="2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Disengagement Theory</w:t>
      </w:r>
    </w:p>
  </w:footnote>
  <w:footnote w:id="2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Cumming &amp; Henry</w:t>
      </w:r>
    </w:p>
  </w:footnote>
  <w:footnote w:id="2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Atchley</w:t>
      </w:r>
    </w:p>
  </w:footnote>
  <w:footnote w:id="2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Activity Theory</w:t>
      </w:r>
    </w:p>
  </w:footnote>
  <w:footnote w:id="2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Havighurst</w:t>
      </w:r>
    </w:p>
  </w:footnote>
  <w:footnote w:id="2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Neugarten &amp; Tobin</w:t>
      </w:r>
    </w:p>
  </w:footnote>
  <w:footnote w:id="2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Rowe &amp; Kahn</w:t>
      </w:r>
    </w:p>
  </w:footnote>
  <w:footnote w:id="3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Dowd</w:t>
      </w:r>
    </w:p>
  </w:footnote>
  <w:footnote w:id="3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Continuity Theory</w:t>
      </w:r>
    </w:p>
  </w:footnote>
  <w:footnote w:id="40">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41">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42">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43">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4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45">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46">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Mikulincer &amp; Florian</w:t>
      </w:r>
      <w:r>
        <w:rPr>
          <w:rFonts w:ascii="Times New Roman" w:hAnsi="Times New Roman" w:eastAsia="Times New Roman" w:cs="Times New Roman"/>
          <w:sz w:val="18"/>
          <w:szCs w:val="20"/>
          <w:rtl w:val="0"/>
          <w:lang w:val="en-US"/>
        </w:rPr>
        <w:t xml:space="preserve"> </w:t>
      </w:r>
    </w:p>
  </w:footnote>
  <w:footnote w:id="4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48">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49">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50">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51">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52">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 &amp; Salovey</w:t>
      </w:r>
    </w:p>
  </w:footnote>
  <w:footnote w:id="53">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5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5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5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5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5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5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60">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6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6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6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6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65">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66">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6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68">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69">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70">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7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 w:id="72">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73">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74">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Fergus &amp; Valentiner </w:t>
      </w:r>
    </w:p>
  </w:footnote>
  <w:footnote w:id="75">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76">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Abramowitz &amp; Braddock</w:t>
      </w:r>
    </w:p>
  </w:footnote>
  <w:footnote w:id="7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78">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 &amp; Asmundson</w:t>
      </w:r>
    </w:p>
  </w:footnote>
  <w:footnote w:id="7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80">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81">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82">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83">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84">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85">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86">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87">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89">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Beck &amp; Haigh</w:t>
      </w:r>
    </w:p>
  </w:footnote>
  <w:footnote w:id="90">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91">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Wang &amp; Zhao</w:t>
      </w:r>
    </w:p>
  </w:footnote>
  <w:footnote w:id="92">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93">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Yonker, Schnabelrauch &amp; DeHaan</w:t>
      </w:r>
    </w:p>
  </w:footnote>
  <w:footnote w:id="94">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95">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96">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Mat Saad, Hatta &amp; Mohamad</w:t>
      </w:r>
    </w:p>
  </w:footnote>
  <w:footnote w:id="97">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Chlan, Zebracki &amp; Vogel</w:t>
      </w:r>
    </w:p>
  </w:footnote>
  <w:footnote w:id="98">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99">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Jain &amp; Purohit</w:t>
      </w:r>
    </w:p>
  </w:footnote>
  <w:footnote w:id="100">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101">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Thorson &amp; Powell</w:t>
      </w:r>
    </w:p>
  </w:footnote>
  <w:footnote w:id="102">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Moreira-Almeida &amp; Koenig</w:t>
      </w:r>
    </w:p>
  </w:footnote>
  <w:footnote w:id="103">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Jain &amp; Purohit</w:t>
      </w:r>
    </w:p>
  </w:footnote>
  <w:footnote w:id="104">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105">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Tomer &amp; Eliason</w:t>
      </w:r>
    </w:p>
  </w:footnote>
  <w:footnote w:id="106">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3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Pyszczynski, Lockett, Greenberg &amp; Solomon</w:t>
      </w:r>
    </w:p>
  </w:footnote>
  <w:footnote w:id="3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Iverach, Menzies &amp; Menzies</w:t>
      </w:r>
    </w:p>
  </w:footnote>
  <w:footnote w:id="3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Wong</w:t>
      </w:r>
    </w:p>
  </w:footnote>
  <w:footnote w:id="3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Meaning Management Theory</w:t>
      </w:r>
    </w:p>
  </w:footnote>
  <w:footnote w:id="3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King</w:t>
      </w:r>
    </w:p>
  </w:footnote>
  <w:footnote w:id="3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 &amp; Menzies</w:t>
      </w:r>
    </w:p>
  </w:footnote>
  <w:footnote w:id="3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King &amp; DeCicco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pPr>
        <w:bidi w:val="1"/>
        <w:jc w:val="righ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cs/>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cs/>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cs/>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cs/>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cs/>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cs/>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cs/>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bidi/>
      <w:jc w:val="right"/>
    </w:p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spacing w:after="100"/>
      <w:jc w:val="right"/>
      <w:bidi/>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spacing w:after="100"/>
      <w:ind w:left="200"/>
      <w:jc w:val="right"/>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bidi/>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spacing w:after="100"/>
      <w:ind w:left="660"/>
      <w:jc w:val="right"/>
    </w:pPr>
    <w:rPr>
      <w:rFonts w:ascii="Times New Roman" w:eastAsia="Times New Roman" w:hAnsi="Times New Roman" w:cs="B Lotus"/>
      <w:color w:val="000000"/>
      <w:sz w:val="24"/>
      <w:szCs w:val="24"/>
    </w:rPr>
  </w:style>
  <w:style w:type="paragraph" w:styleId="TOC5">
    <w:name w:val="toc 5"/>
    <w:basedOn w:val="Normal"/>
    <w:next w:val="Normal"/>
    <w:autoRedefine/>
    <w:uiPriority w:val="39"/>
    <w:unhideWhenUsed/>
    <w:pPr>
      <w:bidi/>
      <w:spacing w:after="100"/>
      <w:ind w:left="880"/>
      <w:jc w:val="right"/>
    </w:pPr>
    <w:rPr>
      <w:rFonts w:ascii="Times New Roman" w:eastAsia="Times New Roman" w:hAnsi="Times New Roman" w:cs="B Lotus"/>
      <w:color w:val="000000"/>
      <w:sz w:val="24"/>
      <w:szCs w:val="24"/>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cs/>
      <w:lang w:bidi="fa-IR" w:val="en-US"/>
    </w:rPr>
  </w:style>
  <w:style w:type="paragraph" w:styleId="TableofFigures">
    <w:name w:val="table of figures"/>
    <w:basedOn w:val="Normal"/>
    <w:next w:val="Normal"/>
    <w:uiPriority w:val="99"/>
    <w:qFormat/>
    <w:pPr>
      <w:spacing w:before="0" w:after="40"/>
      <w:jc w:val="right"/>
      <w:bidi/>
      <w:tabs>
        <w:tab w:val="right" w:leader="dot" w:pos="8778"/>
      </w:tabs>
    </w:pPr>
    <w:rPr>
      <w:rFonts w:ascii="Times New Roman" w:eastAsia="Times New Roman" w:hAnsi="Times New Roman" w:cs="B Lotus"/>
      <w:sz w:val="24"/>
      <w:lang w:eastAsia="en-U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 Id="rIdTree" Type="http://schemas.openxmlformats.org/officeDocument/2006/relationships/image" Target="media/tree_theories.png"/><Relationship Id="rIdDoiSST99" Type="http://schemas.openxmlformats.org/officeDocument/2006/relationships/hyperlink" Target="https://doi.org/10.1037/0003-066X.54.3.165" TargetMode="External"/><Relationship Id="rIdDoiSST06" Type="http://schemas.openxmlformats.org/officeDocument/2006/relationships/hyperlink" Target="https://doi.org/10.1126/science.1127488" TargetMode="External"/><Relationship Id="rIdDoiSST21" Type="http://schemas.openxmlformats.org/officeDocument/2006/relationships/hyperlink" Target="https://doi.org/10.1093/geront/gnab116" TargetMode="External"/><Relationship Id="rIdDoiReed" Type="http://schemas.openxmlformats.org/officeDocument/2006/relationships/hyperlink" Target="https://doi.org/10.1037/a0035194" TargetMode="External"/><Relationship Id="rIdDoiFran" Type="http://schemas.openxmlformats.org/officeDocument/2006/relationships/hyperlink" Target="https://doi.org/10.1038/s41574-018-0059-4" TargetMode="External"/><Relationship Id="rIdDoiLopez" Type="http://schemas.openxmlformats.org/officeDocument/2006/relationships/hyperlink" Target="https://doi.org/10.1016/j.cell.2022.11.001" TargetMode="External"/><Relationship Id="rIdDoiWest" Type="http://schemas.openxmlformats.org/officeDocument/2006/relationships/hyperlink" Target="https://doi.org/10.1093/geronb/gbv062" TargetMode="External"/><Relationship Id="rIdDoiRowe" Type="http://schemas.openxmlformats.org/officeDocument/2006/relationships/hyperlink" Target="https://doi.org/10.1093/geronb/gbv025" TargetMode="External"/><Relationship Id="rIdDoiIver" Type="http://schemas.openxmlformats.org/officeDocument/2006/relationships/hyperlink" Target="https://doi.org/10.1016/j.cpr.2014.09.002" TargetMode="External"/><Relationship Id="rIdDoiMenz" Type="http://schemas.openxmlformats.org/officeDocument/2006/relationships/hyperlink" Target="https://doi.org/10.1017/S1754470X20000215" TargetMode="External"/><Relationship Id="rIdDoiPysz" Type="http://schemas.openxmlformats.org/officeDocument/2006/relationships/hyperlink" Target="https://doi.org/10.1177/00221678209594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