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bidi w:val="1"/>
        <w:spacing w:after="120" w:line="276" w:lineRule="auto"/>
        <w:jc w:val="right"/>
      </w:pPr>
      <w:r>
        <w:rPr>
          <w:rFonts w:ascii="Times New Roman" w:hAnsi="Times New Roman" w:eastAsia="Times New Roman" w:cs="B Lotus"/>
          <w:b/>
          <w:bCs/>
          <w:sz w:val="28"/>
          <w:szCs w:val="28"/>
          <w:rtl/>
          <w:cs/>
          <w:lang w:bidi="fa-IR" w:val="en-US"/>
        </w:rPr>
        <w:t>نظریه‌های سالمندی</w:t>
      </w:r>
    </w:p>
    <w:p>
      <w:pPr>
        <w:jc w:val="center"/>
        <w:bidi w:val="0"/>
      </w:pPr>
      <w:r>
        <w:drawing>
          <wp:inline distT="0" distB="0" distL="0" distR="0">
            <wp:extent cx="5669280" cy="4297680"/>
            <wp:effectExtent l="0" t="0" r="0" b="0"/>
            <wp:docPr id="2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۱- درختواره نظریه‌های سالمندی (شاخه زیست‌شناختی، روان‌شناختی و جامعه‌شناختی)</w:t>
      </w:r>
    </w:p>
    <w:p>
      <w:pPr>
        <w:pStyle w:val="Heading2"/>
        <w:bidi w:val="1"/>
        <w:spacing w:after="120" w:line="276" w:lineRule="auto"/>
        <w:jc w:val="right"/>
      </w:pPr>
      <w:r>
        <w:rPr>
          <w:rFonts w:ascii="Times New Roman" w:hAnsi="Times New Roman" w:eastAsia="Times New Roman" w:cs="B Lotus"/>
          <w:b/>
          <w:bCs/>
          <w:sz w:val="28"/>
          <w:szCs w:val="28"/>
          <w:rtl/>
          <w:cs/>
          <w:lang w:bidi="fa-IR" w:val="en-US"/>
        </w:rPr>
        <w:t>فهرست مطالب</w:t>
      </w:r>
    </w:p>
    <w:p>
      <w:pPr>
        <w:pStyle w:val="TOC1"/>
        <w:bidi w:val="1"/>
        <w:spacing w:after="120" w:line="276" w:lineRule="auto"/>
        <w:jc w:val="right"/>
      </w:pPr>
      <w:r>
        <w:rPr>
          <w:rFonts w:ascii="Times New Roman" w:hAnsi="Times New Roman" w:eastAsia="Times New Roman" w:cs="B Lotus"/>
          <w:sz w:val="28"/>
          <w:szCs w:val="28"/>
          <w:rtl/>
          <w:cs/>
          <w:lang w:bidi="fa-IR" w:val="en-US"/>
        </w:rPr>
        <w:t>نظریه‌های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۲-۱-۲- نظریه‌های سالمندی</w:t>
      </w:r>
    </w:p>
    <w:p>
      <w:pPr>
        <w:pStyle w:val="TOC4"/>
        <w:bidi w:val="1"/>
        <w:spacing w:after="120" w:line="276" w:lineRule="auto"/>
        <w:jc w:val="right"/>
      </w:pPr>
      <w:r>
        <w:rPr>
          <w:rFonts w:ascii="Times New Roman" w:hAnsi="Times New Roman" w:eastAsia="Times New Roman" w:cs="B Lotus"/>
          <w:sz w:val="28"/>
          <w:szCs w:val="28"/>
          <w:rtl/>
          <w:cs/>
          <w:lang w:bidi="fa-IR" w:val="en-US"/>
        </w:rPr>
        <w:t>۲-۱-۲-۱- نظریه‌های زیست‌شناختی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۲-۱-۲-۱-۱- نظریه ایمنی</w:t>
      </w:r>
    </w:p>
    <w:p>
      <w:pPr>
        <w:pStyle w:val="TOC5"/>
        <w:bidi w:val="1"/>
        <w:spacing w:after="120" w:line="276" w:lineRule="auto"/>
        <w:jc w:val="right"/>
      </w:pPr>
      <w:r>
        <w:rPr>
          <w:rFonts w:ascii="Times New Roman" w:hAnsi="Times New Roman" w:eastAsia="Times New Roman" w:cs="B Lotus"/>
          <w:sz w:val="28"/>
          <w:szCs w:val="28"/>
          <w:rtl/>
          <w:cs/>
          <w:lang w:bidi="fa-IR" w:val="en-US"/>
        </w:rPr>
        <w:t>۲-۱-۲-۱-۲- نظریه پیر شدن سلولی</w:t>
      </w:r>
    </w:p>
    <w:p>
      <w:pPr>
        <w:pStyle w:val="TOC5"/>
        <w:bidi w:val="1"/>
        <w:spacing w:after="120" w:line="276" w:lineRule="auto"/>
        <w:jc w:val="right"/>
      </w:pPr>
      <w:r>
        <w:rPr>
          <w:rFonts w:ascii="Times New Roman" w:hAnsi="Times New Roman" w:eastAsia="Times New Roman" w:cs="B Lotus"/>
          <w:sz w:val="28"/>
          <w:szCs w:val="28"/>
          <w:rtl/>
          <w:cs/>
          <w:lang w:bidi="fa-IR" w:val="en-US"/>
        </w:rPr>
        <w:t>۲-۱-۲-۱-۳- نظریه رادیکال آزاد</w:t>
      </w:r>
    </w:p>
    <w:p>
      <w:pPr>
        <w:pStyle w:val="TOC4"/>
        <w:bidi w:val="1"/>
        <w:spacing w:after="120" w:line="276" w:lineRule="auto"/>
        <w:jc w:val="right"/>
      </w:pPr>
      <w:r>
        <w:rPr>
          <w:rFonts w:ascii="Times New Roman" w:hAnsi="Times New Roman" w:eastAsia="Times New Roman" w:cs="B Lotus"/>
          <w:sz w:val="28"/>
          <w:szCs w:val="28"/>
          <w:rtl/>
          <w:cs/>
          <w:lang w:bidi="fa-IR" w:val="en-US"/>
        </w:rPr>
        <w:t>۲-۱-۲-۲- نظریه‌های روان‌شناختی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۲-۱-۲-۲-۱- نظریه گولد</w:t>
      </w:r>
    </w:p>
    <w:p>
      <w:pPr>
        <w:pStyle w:val="TOC5"/>
        <w:bidi w:val="1"/>
        <w:spacing w:after="120" w:line="276" w:lineRule="auto"/>
        <w:jc w:val="right"/>
      </w:pPr>
      <w:r>
        <w:rPr>
          <w:rFonts w:ascii="Times New Roman" w:hAnsi="Times New Roman" w:eastAsia="Times New Roman" w:cs="B Lotus"/>
          <w:sz w:val="28"/>
          <w:szCs w:val="28"/>
          <w:rtl/>
          <w:cs/>
          <w:lang w:bidi="fa-IR" w:val="en-US"/>
        </w:rPr>
        <w:t>۲-۱-۲-۲-۲- نظریه لوینسون و شی</w:t>
      </w:r>
    </w:p>
    <w:p>
      <w:pPr>
        <w:pStyle w:val="TOC5"/>
        <w:bidi w:val="1"/>
        <w:spacing w:after="120" w:line="276" w:lineRule="auto"/>
        <w:jc w:val="right"/>
      </w:pPr>
      <w:r>
        <w:rPr>
          <w:rFonts w:ascii="Times New Roman" w:hAnsi="Times New Roman" w:eastAsia="Times New Roman" w:cs="B Lotus"/>
          <w:sz w:val="28"/>
          <w:szCs w:val="28"/>
          <w:rtl/>
          <w:cs/>
          <w:lang w:bidi="fa-IR" w:val="en-US"/>
        </w:rPr>
        <w:t>۲-۱-۲-۲-۳- نظریه اریکسون</w:t>
      </w:r>
    </w:p>
    <w:p>
      <w:pPr>
        <w:pStyle w:val="TOC5"/>
        <w:bidi w:val="1"/>
        <w:spacing w:after="120" w:line="276" w:lineRule="auto"/>
        <w:jc w:val="right"/>
      </w:pPr>
      <w:r>
        <w:rPr>
          <w:rFonts w:ascii="Times New Roman" w:hAnsi="Times New Roman" w:eastAsia="Times New Roman" w:cs="B Lotus"/>
          <w:color w:val="1B7A3D"/>
          <w:sz w:val="28"/>
          <w:szCs w:val="28"/>
          <w:rtl/>
          <w:cs/>
          <w:lang w:bidi="fa-IR" w:val="en-US"/>
        </w:rPr>
        <w:t>۲-۱-۲-۲-۴- نظریه انتخاب اجتماعی-هیجانی</w:t>
      </w:r>
    </w:p>
    <w:p>
      <w:pPr>
        <w:pStyle w:val="TOC4"/>
        <w:bidi w:val="1"/>
        <w:spacing w:after="120" w:line="276" w:lineRule="auto"/>
        <w:jc w:val="right"/>
      </w:pPr>
      <w:r>
        <w:rPr>
          <w:rFonts w:ascii="Times New Roman" w:hAnsi="Times New Roman" w:eastAsia="Times New Roman" w:cs="B Lotus"/>
          <w:sz w:val="28"/>
          <w:szCs w:val="28"/>
          <w:rtl/>
          <w:cs/>
          <w:lang w:bidi="fa-IR" w:val="en-US"/>
        </w:rPr>
        <w:t>۲-۱-۲-۳- نظریه‌های جامعه‌شناختی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۲-۱-۲-۳-۱- نظریه عدم تعهد</w:t>
      </w:r>
    </w:p>
    <w:p>
      <w:pPr>
        <w:pStyle w:val="TOC5"/>
        <w:bidi w:val="1"/>
        <w:spacing w:after="120" w:line="276" w:lineRule="auto"/>
        <w:jc w:val="right"/>
      </w:pPr>
      <w:r>
        <w:rPr>
          <w:rFonts w:ascii="Times New Roman" w:hAnsi="Times New Roman" w:eastAsia="Times New Roman" w:cs="B Lotus"/>
          <w:sz w:val="28"/>
          <w:szCs w:val="28"/>
          <w:rtl/>
          <w:cs/>
          <w:lang w:bidi="fa-IR" w:val="en-US"/>
        </w:rPr>
        <w:t>۲-۱-۲-۳-۲- نظریه فعالیت</w:t>
      </w:r>
    </w:p>
    <w:p>
      <w:pPr>
        <w:pStyle w:val="TOC5"/>
        <w:bidi w:val="1"/>
        <w:spacing w:after="120" w:line="276" w:lineRule="auto"/>
        <w:jc w:val="right"/>
      </w:pPr>
      <w:r>
        <w:rPr>
          <w:rFonts w:ascii="Times New Roman" w:hAnsi="Times New Roman" w:eastAsia="Times New Roman" w:cs="B Lotus"/>
          <w:sz w:val="28"/>
          <w:szCs w:val="28"/>
          <w:rtl/>
          <w:cs/>
          <w:lang w:bidi="fa-IR" w:val="en-US"/>
        </w:rPr>
        <w:t>۲-۱-۲-۳-۳- نظریه مبادله یا تعامل</w:t>
      </w:r>
    </w:p>
    <w:p>
      <w:pPr>
        <w:pStyle w:val="TOC5"/>
        <w:bidi w:val="1"/>
        <w:spacing w:after="120" w:line="276" w:lineRule="auto"/>
        <w:jc w:val="right"/>
      </w:pPr>
      <w:r>
        <w:rPr>
          <w:rFonts w:ascii="Times New Roman" w:hAnsi="Times New Roman" w:eastAsia="Times New Roman" w:cs="B Lotus"/>
          <w:sz w:val="28"/>
          <w:szCs w:val="28"/>
          <w:rtl/>
          <w:cs/>
          <w:lang w:bidi="fa-IR" w:val="en-US"/>
        </w:rPr>
        <w:t>۲-۱-۲-۳-۴- نظریه استمرار</w:t>
      </w:r>
    </w:p>
    <w:p>
      <w:pPr>
        <w:pStyle w:val="TOC2"/>
        <w:bidi w:val="1"/>
        <w:spacing w:after="120" w:line="276" w:lineRule="auto"/>
        <w:jc w:val="right"/>
      </w:pPr>
      <w:r>
        <w:rPr>
          <w:rFonts w:ascii="Times New Roman" w:hAnsi="Times New Roman" w:eastAsia="Times New Roman" w:cs="B Lotus"/>
          <w:sz w:val="28"/>
          <w:szCs w:val="28"/>
          <w:rtl/>
          <w:cs/>
          <w:lang w:bidi="fa-IR" w:val="en-US"/>
        </w:rPr>
        <w:t>۲-۱- گستره نخست: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۲-۱-۱- مفهوم سالمندی</w:t>
      </w:r>
    </w:p>
    <w:p>
      <w:pPr>
        <w:pStyle w:val="TOC2"/>
        <w:bidi w:val="1"/>
        <w:spacing w:after="120" w:line="276" w:lineRule="auto"/>
        <w:jc w:val="right"/>
      </w:pPr>
      <w:r>
        <w:rPr>
          <w:rFonts w:ascii="Times New Roman" w:hAnsi="Times New Roman" w:eastAsia="Times New Roman" w:cs="B Lotus"/>
          <w:sz w:val="28"/>
          <w:szCs w:val="28"/>
          <w:rtl/>
          <w:cs/>
          <w:lang w:bidi="fa-IR" w:val="en-US"/>
        </w:rPr>
        <w:t>۲-۲- گستره دوم: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۲-۲-۱- مفهوم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۲-۲-۲- نظریه‌های مرتبط با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۲-۲-۳- ابعاد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۲-۲-۴- عوامل مؤثر بر اضطراب مرگ در سالمندان</w:t>
      </w:r>
    </w:p>
    <w:p>
      <w:pPr>
        <w:pStyle w:val="TOC3"/>
        <w:bidi w:val="1"/>
        <w:spacing w:after="120" w:line="276" w:lineRule="auto"/>
        <w:jc w:val="right"/>
      </w:pPr>
      <w:r>
        <w:rPr>
          <w:rFonts w:ascii="Times New Roman" w:hAnsi="Times New Roman" w:eastAsia="Times New Roman" w:cs="B Lotus"/>
          <w:sz w:val="28"/>
          <w:szCs w:val="28"/>
          <w:rtl/>
          <w:cs/>
          <w:lang w:bidi="fa-IR" w:val="en-US"/>
        </w:rPr>
        <w:t>۲-۲-۵- اضطراب مرگ و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۲-۲-۶- پیامدهای اضطراب مرگ</w:t>
      </w:r>
    </w:p>
    <w:p>
      <w:pPr>
        <w:pStyle w:val="TOC2"/>
        <w:bidi w:val="1"/>
        <w:spacing w:after="120" w:line="276" w:lineRule="auto"/>
        <w:jc w:val="right"/>
      </w:pPr>
      <w:r>
        <w:rPr>
          <w:rFonts w:ascii="Times New Roman" w:hAnsi="Times New Roman" w:eastAsia="Times New Roman" w:cs="B Lotus"/>
          <w:sz w:val="28"/>
          <w:szCs w:val="28"/>
          <w:rtl/>
          <w:cs/>
          <w:lang w:bidi="fa-IR" w:val="en-US"/>
        </w:rPr>
        <w:t>۲-۳- گستره سوم: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۲-۳-۱- مفهوم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۲-۳-۲- دیدگاه فضیلت‌گرایانه به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۲-۳-۳- عوامل موثر بر هوش معنوی</w:t>
      </w:r>
    </w:p>
    <w:p>
      <w:pPr>
        <w:pStyle w:val="TOC3"/>
        <w:bidi w:val="1"/>
        <w:spacing w:after="120" w:line="276" w:lineRule="auto"/>
        <w:jc w:val="right"/>
      </w:pPr>
      <w:r>
        <w:rPr>
          <w:rFonts w:ascii="Times New Roman" w:hAnsi="Times New Roman" w:eastAsia="Times New Roman" w:cs="B Lotus"/>
          <w:color w:val="1B7A3D"/>
          <w:sz w:val="28"/>
          <w:szCs w:val="28"/>
          <w:rtl/>
          <w:cs/>
          <w:lang w:bidi="fa-IR" w:val="en-US"/>
        </w:rPr>
        <w:t>۲-۳-۴- مدل چهارعاملی هوش معنوی کینگ</w:t>
      </w:r>
    </w:p>
    <w:p>
      <w:pPr>
        <w:pStyle w:val="TOC2"/>
        <w:bidi w:val="1"/>
        <w:spacing w:after="120" w:line="276" w:lineRule="auto"/>
        <w:jc w:val="right"/>
      </w:pPr>
      <w:r>
        <w:rPr>
          <w:rFonts w:ascii="Times New Roman" w:hAnsi="Times New Roman" w:eastAsia="Times New Roman" w:cs="B Lotus"/>
          <w:sz w:val="28"/>
          <w:szCs w:val="28"/>
          <w:rtl/>
          <w:cs/>
          <w:lang w:bidi="fa-IR" w:val="en-US"/>
        </w:rPr>
        <w:t>۲-۴- گستره چهارم: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۲-۴-۱- مفهوم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۲-۴-۲- مدل‌های نظری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۲-۴-۳- سالمندی و اضطراب سلامت</w:t>
      </w:r>
    </w:p>
    <w:p>
      <w:pPr>
        <w:pStyle w:val="TOC3"/>
        <w:bidi w:val="1"/>
        <w:spacing w:after="120" w:line="276" w:lineRule="auto"/>
        <w:jc w:val="right"/>
      </w:pPr>
      <w:r>
        <w:rPr>
          <w:rFonts w:ascii="Times New Roman" w:hAnsi="Times New Roman" w:eastAsia="Times New Roman" w:cs="B Lotus"/>
          <w:sz w:val="28"/>
          <w:szCs w:val="28"/>
          <w:rtl/>
          <w:cs/>
          <w:lang w:bidi="fa-IR" w:val="en-US"/>
        </w:rPr>
        <w:t>۲-۴-۴- عوامل زمینه‌ساز اضطراب</w:t>
      </w:r>
    </w:p>
    <w:p>
      <w:pPr>
        <w:pStyle w:val="TOC3"/>
        <w:bidi w:val="1"/>
        <w:spacing w:after="120" w:line="276" w:lineRule="auto"/>
        <w:jc w:val="right"/>
      </w:pPr>
      <w:r>
        <w:rPr>
          <w:rFonts w:ascii="Times New Roman" w:hAnsi="Times New Roman" w:eastAsia="Times New Roman" w:cs="B Lotus"/>
          <w:sz w:val="28"/>
          <w:szCs w:val="28"/>
          <w:rtl/>
          <w:cs/>
          <w:lang w:bidi="fa-IR" w:val="en-US"/>
        </w:rPr>
        <w:t>۲-۴-۵- مداخلات معطوف به کاهش اضطراب سلامت سالمندان</w:t>
      </w:r>
    </w:p>
    <w:p>
      <w:pPr>
        <w:pStyle w:val="TOC2"/>
        <w:bidi w:val="1"/>
        <w:spacing w:after="120" w:line="276" w:lineRule="auto"/>
        <w:jc w:val="right"/>
      </w:pPr>
      <w:r>
        <w:rPr>
          <w:rFonts w:ascii="Times New Roman" w:hAnsi="Times New Roman" w:eastAsia="Times New Roman" w:cs="B Lotus"/>
          <w:sz w:val="28"/>
          <w:szCs w:val="28"/>
          <w:rtl/>
          <w:cs/>
          <w:lang w:bidi="fa-IR" w:val="en-US"/>
        </w:rPr>
        <w:t>۲-۵- پیشینه پژوهش</w:t>
      </w:r>
    </w:p>
    <w:p>
      <w:pPr>
        <w:pStyle w:val="TOC3"/>
        <w:bidi w:val="1"/>
        <w:spacing w:after="120" w:line="276" w:lineRule="auto"/>
        <w:jc w:val="right"/>
      </w:pPr>
      <w:r>
        <w:rPr>
          <w:rFonts w:ascii="Times New Roman" w:hAnsi="Times New Roman" w:eastAsia="Times New Roman" w:cs="B Lotus"/>
          <w:sz w:val="28"/>
          <w:szCs w:val="28"/>
          <w:rtl/>
          <w:cs/>
          <w:lang w:bidi="fa-IR" w:val="en-US"/>
        </w:rPr>
        <w:t>۲-۵-۱- پیشینه داخلی</w:t>
      </w:r>
    </w:p>
    <w:p>
      <w:pPr>
        <w:pStyle w:val="TOC3"/>
        <w:bidi w:val="1"/>
        <w:spacing w:after="120" w:line="276" w:lineRule="auto"/>
        <w:jc w:val="right"/>
      </w:pPr>
      <w:r>
        <w:rPr>
          <w:rFonts w:ascii="Times New Roman" w:hAnsi="Times New Roman" w:eastAsia="Times New Roman" w:cs="B Lotus"/>
          <w:sz w:val="28"/>
          <w:szCs w:val="28"/>
          <w:rtl/>
          <w:cs/>
          <w:lang w:bidi="fa-IR" w:val="en-US"/>
        </w:rPr>
        <w:t>۲-۵-۲- پیشینه خارجی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فارسی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لاتین</w:t>
      </w:r>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2" w:name="_Toc238572016"/>
      <w:r>
        <w:rPr>
          <w:rFonts w:ascii="Times New Roman" w:hAnsi="Times New Roman" w:cs="B Titr" w:eastAsia="Times New Roman"/>
          <w:b/>
          <w:bCs/>
          <w:color w:val="000000"/>
          <w:sz w:val="30"/>
          <w:szCs w:val="30"/>
          <w:rtl/>
          <w:cs/>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3" w:name="_Toc238572017"/>
      <w:r>
        <w:rPr>
          <w:rFonts w:ascii="Times New Roman" w:hAnsi="Times New Roman" w:cs="B Titr" w:eastAsia="Times New Roman"/>
          <w:b/>
          <w:bCs/>
          <w:color w:val="000000"/>
          <w:sz w:val="30"/>
          <w:szCs w:val="30"/>
          <w:rtl/>
          <w:cs/>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در سال‌های اخیر، سازمان جهانی بهداشت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w:t>
      </w:r>
      <w:r>
        <w:rPr>
          <w:rFonts w:ascii="Times New Roman" w:hAnsi="Times New Roman" w:eastAsia="Times New Roman" w:cs="B Lotus"/>
          <w:color w:val="1B7A3D"/>
          <w:sz w:val="28"/>
          <w:szCs w:val="28"/>
          <w:rtl/>
          <w:cs/>
          <w:lang w:bidi="fa-IR" w:val="en-US"/>
        </w:rPr>
        <w:t>۲۰۲۰؛ سازمان جهانی بهداشت، ۲۰۲۳).</w:t>
      </w:r>
    </w:p>
    <w:p>
      <w:pPr>
        <w:pStyle w:val="Heading3"/>
        <w:bidi w:val="1"/>
        <w:spacing w:after="120" w:line="276" w:lineRule="auto"/>
        <w:jc w:val="right"/>
        <w:pageBreakBefore/>
      </w:pPr>
      <w:r>
        <w:rPr>
          <w:rFonts w:ascii="Times New Roman" w:hAnsi="Times New Roman" w:eastAsia="Times New Roman" w:cs="B Lotus"/>
          <w:b/>
          <w:bCs/>
          <w:sz w:val="28"/>
          <w:szCs w:val="28"/>
          <w:rtl/>
          <w:cs/>
          <w:lang w:bidi="fa-IR" w:val="en-US"/>
        </w:rPr>
        <w:t>۲-۱-۲- نظریه‌های سالمندی</w:t>
      </w:r>
    </w:p>
    <w:p>
      <w:pPr>
        <w:pStyle w:val="Normal"/>
        <w:bidi w:val="1"/>
        <w:spacing w:after="120" w:line="276" w:lineRule="auto"/>
        <w:jc w:val="right"/>
      </w:pPr>
      <w:r>
        <w:rPr>
          <w:rFonts w:ascii="Times New Roman" w:hAnsi="Times New Roman" w:eastAsia="Times New Roman" w:cs="B Lotus"/>
          <w:sz w:val="28"/>
          <w:szCs w:val="28"/>
          <w:rtl/>
          <w:cs/>
          <w:lang w:bidi="fa-IR" w:val="en-US"/>
        </w:rPr>
        <w:t>ژرونتولوژی</w:t>
      </w:r>
      <w:r>
        <w:rPr>
          <w:rFonts w:ascii="Times New Roman" w:hAnsi="Times New Roman" w:eastAsia="Times New Roman" w:cs="Times New Roman"/>
          <w:rStyle w:val="FootnoteReference"/>
          <w:sz w:val="20"/>
          <w:szCs w:val="20"/>
          <w:vertAlign w:val="superscript"/>
          <w:rtl w:val="0"/>
          <w:cs w:val="0"/>
          <w:lang w:val="en-US"/>
        </w:rPr>
        <w:footnoteReference w:id="1"/>
      </w:r>
      <w:r>
        <w:rPr>
          <w:rFonts w:ascii="Times New Roman" w:hAnsi="Times New Roman" w:eastAsia="Times New Roman" w:cs="B Lotus"/>
          <w:sz w:val="28"/>
          <w:szCs w:val="28"/>
          <w:rtl/>
          <w:cs/>
          <w:lang w:bidi="fa-IR" w:val="en-US"/>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۲۰۲۳؛ سازمان جهانی بهداشت، ۲۰۲۰).</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۲-۱-۲-۱- نظریه‌های زیست‌شناختی</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نظریه‌های زیست‌شناختی به سه دسته تقسیم می‌شوند:</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۲-۱-۲-۱-۱- نظریه ایمنی</w:t>
      </w:r>
    </w:p>
    <w:p>
      <w:pPr>
        <w:pStyle w:val="Normal"/>
        <w:bidi w:val="1"/>
        <w:spacing w:after="120" w:line="276" w:lineRule="auto"/>
        <w:jc w:val="right"/>
      </w:pPr>
      <w:r>
        <w:rPr>
          <w:rFonts w:ascii="Times New Roman" w:hAnsi="Times New Roman" w:eastAsia="Times New Roman" w:cs="B Lotus"/>
          <w:sz w:val="28"/>
          <w:szCs w:val="28"/>
          <w:rtl/>
          <w:cs/>
          <w:lang w:bidi="fa-IR" w:val="en-US"/>
        </w:rPr>
        <w:t>بر اساس نظریه ایمنی</w:t>
      </w:r>
      <w:r>
        <w:rPr>
          <w:rFonts w:ascii="Times New Roman" w:hAnsi="Times New Roman" w:eastAsia="Times New Roman" w:cs="Times New Roman"/>
          <w:rStyle w:val="FootnoteReference"/>
          <w:sz w:val="20"/>
          <w:szCs w:val="20"/>
          <w:vertAlign w:val="superscript"/>
          <w:rtl w:val="0"/>
          <w:cs w:val="0"/>
          <w:lang w:val="en-US"/>
        </w:rPr>
        <w:footnoteReference w:id="3"/>
      </w:r>
      <w:r>
        <w:rPr>
          <w:rFonts w:ascii="Times New Roman" w:hAnsi="Times New Roman" w:eastAsia="Times New Roman" w:cs="B Lotus"/>
          <w:sz w:val="28"/>
          <w:szCs w:val="28"/>
          <w:rtl/>
          <w:cs/>
          <w:lang w:bidi="fa-IR" w:val="en-US"/>
        </w:rPr>
        <w:t xml:space="preserve"> 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 و همکاران</w:t>
      </w:r>
      <w:r>
        <w:rPr>
          <w:rFonts w:ascii="Times New Roman" w:hAnsi="Times New Roman" w:eastAsia="Times New Roman" w:cs="Times New Roman"/>
          <w:rStyle w:val="FootnoteReference"/>
          <w:sz w:val="20"/>
          <w:szCs w:val="20"/>
          <w:vertAlign w:val="superscript"/>
          <w:rtl w:val="0"/>
          <w:cs w:val="0"/>
          <w:lang w:val="en-US"/>
        </w:rPr>
        <w:footnoteReference w:id="4"/>
      </w:r>
      <w:r>
        <w:rPr>
          <w:rFonts w:ascii="Times New Roman" w:hAnsi="Times New Roman" w:eastAsia="Times New Roman" w:cs="B Lotus"/>
          <w:sz w:val="28"/>
          <w:szCs w:val="28"/>
          <w:rtl/>
          <w:cs/>
          <w:lang w:bidi="fa-IR" w:val="en-US"/>
        </w:rPr>
        <w:t>، ۲۰۲۳؛ فولپ و همکاران</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eastAsia="Times New Roman" w:cs="B Lotus"/>
          <w:sz w:val="28"/>
          <w:szCs w:val="28"/>
          <w:rtl/>
          <w:cs/>
          <w:lang w:bidi="fa-IR" w:val="en-US"/>
        </w:rPr>
        <w:t>، ۲۰۲۳).</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پژوهش‌های سال‌های اخیر، مفهوم «التهاب پیری» یا اینفلامجینگ</w:t>
      </w:r>
      <w:r>
        <w:rPr>
          <w:rFonts w:ascii="Times New Roman" w:hAnsi="Times New Roman" w:eastAsia="Times New Roman" w:cs="Times New Roman"/>
          <w:rStyle w:val="FootnoteReference"/>
          <w:color w:val="1B7A3D"/>
          <w:sz w:val="20"/>
          <w:szCs w:val="20"/>
          <w:vertAlign w:val="superscript"/>
          <w:rtl w:val="0"/>
          <w:cs w:val="0"/>
          <w:lang w:val="en-US"/>
        </w:rPr>
        <w:footnoteReference w:id="6"/>
      </w:r>
      <w:r>
        <w:rPr>
          <w:rFonts w:ascii="Times New Roman" w:hAnsi="Times New Roman" w:eastAsia="Times New Roman" w:cs="B Lotus"/>
          <w:color w:val="1B7A3D"/>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 و همکاران</w:t>
      </w:r>
      <w:r>
        <w:rPr>
          <w:rFonts w:ascii="Times New Roman" w:hAnsi="Times New Roman" w:eastAsia="Times New Roman" w:cs="Times New Roman"/>
          <w:rStyle w:val="FootnoteReference"/>
          <w:color w:val="1B7A3D"/>
          <w:sz w:val="20"/>
          <w:szCs w:val="20"/>
          <w:vertAlign w:val="superscript"/>
          <w:rtl w:val="0"/>
          <w:cs w:val="0"/>
          <w:lang w:val="en-US"/>
        </w:rPr>
        <w:footnoteReference w:id="7"/>
      </w:r>
      <w:r>
        <w:rPr>
          <w:rFonts w:ascii="Times New Roman" w:hAnsi="Times New Roman" w:eastAsia="Times New Roman" w:cs="B Lotus"/>
          <w:color w:val="1B7A3D"/>
          <w:sz w:val="28"/>
          <w:szCs w:val="28"/>
          <w:rtl/>
          <w:cs/>
          <w:lang w:bidi="fa-IR" w:val="en-US"/>
        </w:rPr>
        <w:t>، ۲۰۱۸؛ فولپ و همکاران،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۲-۱-۲-۱-۲- نظریه پیر شدن سلولی</w:t>
      </w:r>
    </w:p>
    <w:p>
      <w:pPr>
        <w:pStyle w:val="Normal"/>
        <w:bidi w:val="1"/>
        <w:spacing w:after="120" w:line="276" w:lineRule="auto"/>
        <w:jc w:val="right"/>
      </w:pPr>
      <w:r>
        <w:rPr>
          <w:rFonts w:ascii="Times New Roman" w:hAnsi="Times New Roman" w:eastAsia="Times New Roman" w:cs="B Lotus"/>
          <w:sz w:val="28"/>
          <w:szCs w:val="28"/>
          <w:rtl/>
          <w:cs/>
          <w:lang w:bidi="fa-IR" w:val="en-US"/>
        </w:rPr>
        <w:t>بر اساس نظریه پیری سلولی، سالمندی نتیجه تجمع تدریجی آسیب‌های مولکولی و سلولی، به‌ویژه در ماده ژنتیکی سلول‌ها (DNA)، است. در طول زندگی، عوامل درونی و محیطی موجب بروز آسیب در DNA و سایر اجزای سلول می‌شوند و با کاهش توانایی سیستم‌های ترمیم 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 و همکاران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۲۰۲۳؛ کامپیزی</w:t>
      </w:r>
      <w:r>
        <w:rPr>
          <w:rFonts w:ascii="Times New Roman" w:hAnsi="Times New Roman" w:eastAsia="Times New Roman" w:cs="Times New Roman"/>
          <w:rStyle w:val="FootnoteReference"/>
          <w:sz w:val="20"/>
          <w:szCs w:val="20"/>
          <w:vertAlign w:val="superscript"/>
          <w:rtl w:val="0"/>
          <w:cs w:val="0"/>
          <w:lang w:val="en-US"/>
        </w:rPr>
        <w:footnoteReference w:id="9"/>
      </w:r>
      <w:r>
        <w:rPr>
          <w:rFonts w:ascii="Times New Roman" w:hAnsi="Times New Roman" w:eastAsia="Times New Roman" w:cs="B Lotus"/>
          <w:sz w:val="28"/>
          <w:szCs w:val="28"/>
          <w:rtl/>
          <w:cs/>
          <w:lang w:bidi="fa-IR" w:val="en-US"/>
        </w:rPr>
        <w:t>، ۲۰۲۴).</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۲-۱-۲-۱-۳- نظریه رادیکال آزاد</w:t>
      </w:r>
    </w:p>
    <w:p>
      <w:pPr>
        <w:pStyle w:val="Normal"/>
        <w:bidi w:val="1"/>
        <w:spacing w:after="120" w:line="276" w:lineRule="auto"/>
        <w:jc w:val="right"/>
      </w:pPr>
      <w:r>
        <w:rPr>
          <w:rFonts w:ascii="Times New Roman" w:hAnsi="Times New Roman" w:eastAsia="Times New Roman" w:cs="B Lotus"/>
          <w:sz w:val="28"/>
          <w:szCs w:val="28"/>
          <w:rtl/>
          <w:cs/>
          <w:lang w:bidi="fa-IR" w:val="en-US"/>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w:t>
      </w:r>
      <w:r>
        <w:rPr>
          <w:rFonts w:ascii="Times New Roman" w:hAnsi="Times New Roman" w:eastAsia="Times New Roman" w:cs="B Lotus"/>
          <w:sz w:val="28"/>
          <w:szCs w:val="28"/>
          <w:rtl/>
          <w:cs/>
          <w:lang w:bidi="fa-IR" w:val="en-US"/>
        </w:rPr>
        <w:t>۲۰۲۳؛ گلادیشف</w:t>
      </w:r>
      <w:r>
        <w:rPr>
          <w:rFonts w:ascii="Times New Roman" w:hAnsi="Times New Roman" w:eastAsia="Times New Roman" w:cs="Times New Roman"/>
          <w:rStyle w:val="FootnoteReference"/>
          <w:sz w:val="20"/>
          <w:szCs w:val="20"/>
          <w:vertAlign w:val="superscript"/>
          <w:rtl w:val="0"/>
          <w:cs w:val="0"/>
          <w:lang w:val="en-US"/>
        </w:rPr>
        <w:footnoteReference w:id="10"/>
      </w:r>
      <w:r>
        <w:rPr>
          <w:rFonts w:ascii="Times New Roman" w:hAnsi="Times New Roman" w:eastAsia="Times New Roman" w:cs="B Lotus"/>
          <w:sz w:val="28"/>
          <w:szCs w:val="28"/>
          <w:rtl/>
          <w:cs/>
          <w:lang w:bidi="fa-IR" w:val="en-US"/>
        </w:rPr>
        <w:t>، ۲۰۲۴).</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w:t>
      </w:r>
      <w:r>
        <w:rPr>
          <w:rFonts w:ascii="Times New Roman" w:hAnsi="Times New Roman" w:eastAsia="Times New Roman" w:cs="B Lotus"/>
          <w:color w:val="1B7A3D"/>
          <w:sz w:val="28"/>
          <w:szCs w:val="28"/>
          <w:rtl/>
          <w:cs/>
          <w:lang w:bidi="fa-IR" w:val="en-US"/>
        </w:rPr>
        <w:t>۲۰۲۳؛ گلادیشف، ۲۰۲۴).</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۲-۱-۲-۲- نظریه‌های روان‌شناختی</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۲-۱-۲-۲-۱- نظریه گولد</w:t>
      </w:r>
    </w:p>
    <w:p>
      <w:pPr>
        <w:pStyle w:val="Normal"/>
        <w:bidi w:val="1"/>
        <w:spacing w:after="120" w:line="276" w:lineRule="auto"/>
        <w:jc w:val="right"/>
      </w:pPr>
      <w:r>
        <w:rPr>
          <w:rFonts w:ascii="Times New Roman" w:hAnsi="Times New Roman" w:eastAsia="Times New Roman" w:cs="B Lotus"/>
          <w:sz w:val="28"/>
          <w:szCs w:val="28"/>
          <w:rtl/>
          <w:cs/>
          <w:lang w:bidi="fa-IR" w:val="en-US"/>
        </w:rPr>
        <w:t>راجر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اگرچه صورت‌بندی گولد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 </w:t>
      </w:r>
      <w:r>
        <w:rPr>
          <w:rFonts w:ascii="Times New Roman" w:hAnsi="Times New Roman" w:eastAsia="Times New Roman" w:cs="B Lotus"/>
          <w:color w:val="1B7A3D"/>
          <w:sz w:val="28"/>
          <w:szCs w:val="28"/>
          <w:rtl/>
          <w:cs/>
          <w:lang w:bidi="fa-IR" w:val="en-US"/>
        </w:rPr>
        <w:t>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۲-۱-۲-۲-۲- نظریه لوینسون و شی</w:t>
      </w:r>
    </w:p>
    <w:p>
      <w:pPr>
        <w:pStyle w:val="Normal"/>
        <w:bidi w:val="1"/>
        <w:spacing w:after="120" w:line="276" w:lineRule="auto"/>
        <w:jc w:val="right"/>
      </w:pPr>
      <w:r>
        <w:rPr>
          <w:rFonts w:ascii="Times New Roman" w:hAnsi="Times New Roman" w:eastAsia="Times New Roman" w:cs="B Lotus"/>
          <w:sz w:val="28"/>
          <w:szCs w:val="28"/>
          <w:rtl/>
          <w:cs/>
          <w:lang w:bidi="fa-IR" w:val="en-US"/>
        </w:rPr>
        <w:t>دانیل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hAnsi="Times New Roman" w:eastAsia="Times New Roman" w:cs="B Lotus"/>
          <w:sz w:val="28"/>
          <w:szCs w:val="28"/>
          <w:rtl/>
          <w:cs/>
          <w:lang w:bidi="fa-IR" w:val="en-US"/>
        </w:rPr>
        <w:t xml:space="preserve"> (۱۹۷۸؛ به نقل از رایس، ۲۰۰۱، ترجمه فروغان، ۱۳۹۲) </w:t>
      </w:r>
      <w:r>
        <w:rPr>
          <w:rFonts w:ascii="Times New Roman" w:hAnsi="Times New Roman" w:eastAsia="Times New Roman" w:cs="B Lotus"/>
          <w:sz w:val="28"/>
          <w:szCs w:val="28"/>
          <w:rtl/>
          <w:cs/>
          <w:lang w:bidi="fa-IR" w:val="en-US"/>
        </w:rPr>
        <w:t>سالمندی را مواجهه با خود و زندگی و نیاز به برقراری صلح جهانی می‌داند. شی</w:t>
      </w:r>
      <w:r>
        <w:rPr>
          <w:rFonts w:ascii="Times New Roman" w:hAnsi="Times New Roman" w:eastAsia="Times New Roman" w:cs="Times New Roman"/>
          <w:rStyle w:val="FootnoteReference"/>
          <w:sz w:val="20"/>
          <w:szCs w:val="20"/>
          <w:vertAlign w:val="superscript"/>
          <w:rtl w:val="0"/>
          <w:cs w:val="0"/>
          <w:lang w:val="en-US"/>
        </w:rPr>
        <w:footnoteReference w:id="13"/>
      </w:r>
      <w:r>
        <w:rPr>
          <w:rFonts w:ascii="Times New Roman" w:hAnsi="Times New Roman" w:eastAsia="Times New Roman" w:cs="B Lotus"/>
          <w:sz w:val="28"/>
          <w:szCs w:val="28"/>
          <w:rtl/>
          <w:cs/>
          <w:lang w:bidi="fa-IR" w:val="en-US"/>
        </w:rPr>
        <w:t xml:space="preserve"> (۱۹۷۹؛ به نقل از منصور، ۱۳۸۶) </w:t>
      </w:r>
      <w:r>
        <w:rPr>
          <w:rFonts w:ascii="Times New Roman" w:hAnsi="Times New Roman" w:eastAsia="Times New Roman" w:cs="B Lotus"/>
          <w:sz w:val="28"/>
          <w:szCs w:val="28"/>
          <w:rtl/>
          <w:cs/>
          <w:lang w:bidi="fa-IR" w:val="en-US"/>
        </w:rPr>
        <w:t>سالمندی را مرحله ایجاد وحدت و تمامیت می‌داند و فرد بیشتر بر هدف‌ها و اعمال خویش متمرکز است و از بسیاری از فعالیت‌ها انصراف حاصل می‌کند.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صورت‌بندی مرحله‌ای لوینسون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 </w:t>
      </w:r>
      <w:r>
        <w:rPr>
          <w:rFonts w:ascii="Times New Roman" w:hAnsi="Times New Roman" w:eastAsia="Times New Roman" w:cs="B Lotus"/>
          <w:color w:val="1B7A3D"/>
          <w:sz w:val="28"/>
          <w:szCs w:val="28"/>
          <w:rtl/>
          <w:cs/>
          <w:lang w:bidi="fa-IR" w:val="en-US"/>
        </w:rPr>
        <w:t>۲۰۰۶).</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۲-۱-۲-۲-۳- نظریه اریکسون</w:t>
      </w:r>
    </w:p>
    <w:p>
      <w:pPr>
        <w:pStyle w:val="Normal"/>
        <w:bidi w:val="1"/>
        <w:spacing w:after="120" w:line="276" w:lineRule="auto"/>
        <w:jc w:val="right"/>
      </w:pPr>
      <w:r>
        <w:rPr>
          <w:rFonts w:ascii="Times New Roman" w:hAnsi="Times New Roman" w:eastAsia="Times New Roman" w:cs="B Lotus"/>
          <w:sz w:val="28"/>
          <w:szCs w:val="28"/>
          <w:rtl/>
          <w:cs/>
          <w:lang w:bidi="fa-IR" w:val="en-US"/>
        </w:rPr>
        <w:t>از دیدگاه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w:t>
      </w:r>
      <w:r>
        <w:rPr>
          <w:rFonts w:ascii="Times New Roman" w:hAnsi="Times New Roman" w:eastAsia="Times New Roman" w:cs="B Lotus"/>
          <w:sz w:val="28"/>
          <w:szCs w:val="28"/>
          <w:rtl/>
          <w:cs/>
          <w:lang w:bidi="fa-IR" w:val="en-US"/>
        </w:rPr>
        <w:t>۱۹۸۲؛ اریکسون و کیونیو</w:t>
      </w:r>
      <w:r>
        <w:rPr>
          <w:rFonts w:ascii="Times New Roman" w:hAnsi="Times New Roman" w:eastAsia="Times New Roman" w:cs="Times New Roman"/>
          <w:rStyle w:val="FootnoteReference"/>
          <w:sz w:val="20"/>
          <w:szCs w:val="20"/>
          <w:vertAlign w:val="superscript"/>
          <w:rtl w:val="0"/>
          <w:cs w:val="0"/>
          <w:lang w:val="en-US"/>
        </w:rPr>
        <w:footnoteReference w:id="15"/>
      </w:r>
      <w:r>
        <w:rPr>
          <w:rFonts w:ascii="Times New Roman" w:hAnsi="Times New Roman" w:eastAsia="Times New Roman" w:cs="B Lotus"/>
          <w:sz w:val="28"/>
          <w:szCs w:val="28"/>
          <w:rtl/>
          <w:cs/>
          <w:lang w:bidi="fa-IR" w:val="en-US"/>
        </w:rPr>
        <w:t>، ۱۹۸۶).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 بولمایر و مک‌آدامز</w:t>
      </w:r>
      <w:r>
        <w:rPr>
          <w:rFonts w:ascii="Times New Roman" w:hAnsi="Times New Roman" w:eastAsia="Times New Roman" w:cs="Times New Roman"/>
          <w:rStyle w:val="FootnoteReference"/>
          <w:color w:val="1B7A3D"/>
          <w:sz w:val="20"/>
          <w:szCs w:val="20"/>
          <w:vertAlign w:val="superscript"/>
          <w:rtl w:val="0"/>
          <w:cs w:val="0"/>
          <w:lang w:val="en-US"/>
        </w:rPr>
        <w:footnoteReference w:id="16"/>
      </w:r>
      <w:r>
        <w:rPr>
          <w:rFonts w:ascii="Times New Roman" w:hAnsi="Times New Roman" w:eastAsia="Times New Roman" w:cs="B Lotus"/>
          <w:color w:val="1B7A3D"/>
          <w:sz w:val="28"/>
          <w:szCs w:val="28"/>
          <w:rtl/>
          <w:cs/>
          <w:lang w:bidi="fa-IR" w:val="en-US"/>
        </w:rPr>
        <w:t>، ۲۰۱۷).</w:t>
      </w:r>
    </w:p>
    <w:p>
      <w:pPr>
        <w:pStyle w:val="Heading5"/>
        <w:bidi w:val="1"/>
        <w:spacing w:after="120" w:line="276" w:lineRule="auto"/>
        <w:jc w:val="right"/>
      </w:pPr>
      <w:r>
        <w:rPr>
          <w:rFonts w:ascii="Times New Roman" w:hAnsi="Times New Roman" w:eastAsia="Times New Roman" w:cs="B Lotus"/>
          <w:b/>
          <w:bCs/>
          <w:color w:val="1B7A3D"/>
          <w:sz w:val="28"/>
          <w:szCs w:val="28"/>
          <w:rtl/>
          <w:cs/>
          <w:lang w:bidi="fa-IR" w:val="en-US"/>
        </w:rPr>
        <w:t>۲-۱-۲-۲-۴- نظریه انتخاب اجتماعی-هیجانی</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نظریه انتخاب اجتماعی-هیجانی</w:t>
      </w:r>
      <w:r>
        <w:rPr>
          <w:rFonts w:ascii="Times New Roman" w:hAnsi="Times New Roman" w:eastAsia="Times New Roman" w:cs="Times New Roman"/>
          <w:rStyle w:val="FootnoteReference"/>
          <w:color w:val="1B7A3D"/>
          <w:sz w:val="20"/>
          <w:szCs w:val="20"/>
          <w:vertAlign w:val="superscript"/>
          <w:rtl w:val="0"/>
          <w:cs w:val="0"/>
          <w:lang w:val="en-US"/>
        </w:rPr>
        <w:footnoteReference w:id="17"/>
      </w:r>
      <w:r>
        <w:rPr>
          <w:rFonts w:ascii="Times New Roman" w:hAnsi="Times New Roman" w:eastAsia="Times New Roman" w:cs="B Lotus"/>
          <w:color w:val="1B7A3D"/>
          <w:sz w:val="28"/>
          <w:szCs w:val="28"/>
          <w:rtl/>
          <w:cs/>
          <w:lang w:bidi="fa-IR" w:val="en-US"/>
        </w:rPr>
        <w:t xml:space="preserve"> که توسط لورا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color w:val="1B7A3D"/>
          <w:sz w:val="20"/>
          <w:szCs w:val="20"/>
          <w:vertAlign w:val="superscript"/>
          <w:rtl w:val="0"/>
          <w:cs w:val="0"/>
          <w:lang w:val="en-US"/>
        </w:rPr>
        <w:footnoteReference w:id="21"/>
      </w:r>
      <w:r>
        <w:rPr>
          <w:rFonts w:ascii="Times New Roman" w:hAnsi="Times New Roman" w:eastAsia="Times New Roman" w:cs="B Lotus"/>
          <w:color w:val="1B7A3D"/>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از جمله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از جمله آگاهی از پایان زندگی ــ پیشنهاد نموده‌اند (کارستنسن، آیزاکوویتز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19"/>
      </w:r>
      <w:r>
        <w:rPr>
          <w:rFonts w:ascii="Times New Roman" w:hAnsi="Times New Roman" w:eastAsia="Times New Roman" w:cs="B Lotus"/>
          <w:color w:val="1B7A3D"/>
          <w:sz w:val="28"/>
          <w:szCs w:val="28"/>
          <w:rtl/>
          <w:cs/>
          <w:lang w:bidi="fa-IR" w:val="en-US"/>
        </w:rPr>
        <w:t xml:space="preserve"> و چارلز</w:t>
      </w:r>
      <w:r>
        <w:rPr>
          <w:rFonts w:ascii="Times New Roman" w:hAnsi="Times New Roman" w:eastAsia="Times New Roman" w:cs="Times New Roman"/>
          <w:rStyle w:val="FootnoteReference"/>
          <w:color w:val="1B7A3D"/>
          <w:sz w:val="20"/>
          <w:szCs w:val="20"/>
          <w:vertAlign w:val="superscript"/>
          <w:rtl w:val="0"/>
          <w:cs w:val="0"/>
          <w:lang w:val="en-US"/>
        </w:rPr>
        <w:footnoteReference w:id="20"/>
      </w:r>
      <w:r>
        <w:rPr>
          <w:rFonts w:ascii="Times New Roman" w:hAnsi="Times New Roman" w:eastAsia="Times New Roman" w:cs="B Lotus"/>
          <w:color w:val="1B7A3D"/>
          <w:sz w:val="28"/>
          <w:szCs w:val="28"/>
          <w:rtl/>
          <w:cs/>
          <w:lang w:bidi="fa-IR" w:val="en-US"/>
        </w:rPr>
        <w:t>، ۱۹۹۹؛ کارستنسن، ۲۰۰۶؛ رید، چان و مایکلز</w:t>
      </w:r>
      <w:r>
        <w:rPr>
          <w:rFonts w:ascii="Times New Roman" w:hAnsi="Times New Roman" w:eastAsia="Times New Roman" w:cs="Times New Roman"/>
          <w:rStyle w:val="FootnoteReference"/>
          <w:color w:val="1B7A3D"/>
          <w:sz w:val="20"/>
          <w:szCs w:val="20"/>
          <w:vertAlign w:val="superscript"/>
          <w:rtl w:val="0"/>
          <w:cs w:val="0"/>
          <w:lang w:val="en-US"/>
        </w:rPr>
        <w:footnoteReference w:id="22"/>
      </w:r>
      <w:r>
        <w:rPr>
          <w:rFonts w:ascii="Times New Roman" w:hAnsi="Times New Roman" w:eastAsia="Times New Roman" w:cs="B Lotus"/>
          <w:color w:val="1B7A3D"/>
          <w:sz w:val="28"/>
          <w:szCs w:val="28"/>
          <w:rtl/>
          <w:cs/>
          <w:lang w:bidi="fa-IR" w:val="en-US"/>
        </w:rPr>
        <w:t>، ۲۰۱۴؛ کارستنسن، ۲۰۲۱).</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۲-۱-۲-۳- نظریه‌های جامعه‌شناختی</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۲-۱-۲-۳-۱- نظریه عدم تعهد</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عدم تعهد</w:t>
      </w:r>
      <w:r>
        <w:rPr>
          <w:rFonts w:ascii="Times New Roman" w:hAnsi="Times New Roman" w:eastAsia="Times New Roman" w:cs="Times New Roman"/>
          <w:rStyle w:val="FootnoteReference"/>
          <w:sz w:val="20"/>
          <w:szCs w:val="20"/>
          <w:vertAlign w:val="superscript"/>
          <w:rtl w:val="0"/>
          <w:cs w:val="0"/>
          <w:lang w:val="en-US"/>
        </w:rPr>
        <w:footnoteReference w:id="23"/>
      </w:r>
      <w:r>
        <w:rPr>
          <w:rFonts w:ascii="Times New Roman" w:hAnsi="Times New Roman" w:eastAsia="Times New Roman" w:cs="B Lotus"/>
          <w:sz w:val="28"/>
          <w:szCs w:val="28"/>
          <w:rtl/>
          <w:cs/>
          <w:lang w:bidi="fa-IR" w:val="en-US"/>
        </w:rPr>
        <w:t xml:space="preserve"> که توسط کامینگ و هنری</w:t>
      </w:r>
      <w:r>
        <w:rPr>
          <w:rFonts w:ascii="Times New Roman" w:hAnsi="Times New Roman" w:eastAsia="Times New Roman" w:cs="Times New Roman"/>
          <w:rStyle w:val="FootnoteReference"/>
          <w:sz w:val="20"/>
          <w:szCs w:val="20"/>
          <w:vertAlign w:val="superscript"/>
          <w:rtl w:val="0"/>
          <w:cs w:val="0"/>
          <w:lang w:val="en-US"/>
        </w:rPr>
        <w:footnoteReference w:id="24"/>
      </w:r>
      <w:r>
        <w:rPr>
          <w:rFonts w:ascii="Times New Roman" w:hAnsi="Times New Roman" w:eastAsia="Times New Roman" w:cs="B Lotus"/>
          <w:sz w:val="28"/>
          <w:szCs w:val="28"/>
          <w:rtl/>
          <w:cs/>
          <w:lang w:bidi="fa-IR" w:val="en-US"/>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w:t>
      </w:r>
      <w:r>
        <w:rPr>
          <w:rFonts w:ascii="Times New Roman" w:hAnsi="Times New Roman" w:eastAsia="Times New Roman" w:cs="B Lotus"/>
          <w:sz w:val="28"/>
          <w:szCs w:val="28"/>
          <w:rtl/>
          <w:cs/>
          <w:lang w:bidi="fa-IR" w:val="en-US"/>
        </w:rPr>
        <w:t>۱۹۶۱؛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 </w:t>
      </w:r>
      <w:r>
        <w:rPr>
          <w:rFonts w:ascii="Times New Roman" w:hAnsi="Times New Roman" w:eastAsia="Times New Roman" w:cs="B Lotus"/>
          <w:color w:val="1B7A3D"/>
          <w:sz w:val="28"/>
          <w:szCs w:val="28"/>
          <w:rtl/>
          <w:cs/>
          <w:lang w:bidi="fa-IR" w:val="en-US"/>
        </w:rPr>
        <w:t>۲۰۲۰؛ سازمان جهانی بهداشت،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۲-۱-۲-۳-۲- نظریه فعالیت</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فعالیت</w:t>
      </w:r>
      <w:r>
        <w:rPr>
          <w:rFonts w:ascii="Times New Roman" w:hAnsi="Times New Roman" w:eastAsia="Times New Roman" w:cs="Times New Roman"/>
          <w:rStyle w:val="FootnoteReference"/>
          <w:sz w:val="20"/>
          <w:szCs w:val="20"/>
          <w:vertAlign w:val="superscript"/>
          <w:rtl w:val="0"/>
          <w:cs w:val="0"/>
          <w:lang w:val="en-US"/>
        </w:rPr>
        <w:footnoteReference w:id="26"/>
      </w:r>
      <w:r>
        <w:rPr>
          <w:rFonts w:ascii="Times New Roman" w:hAnsi="Times New Roman" w:eastAsia="Times New Roman" w:cs="B Lotus"/>
          <w:sz w:val="28"/>
          <w:szCs w:val="28"/>
          <w:rtl/>
          <w:cs/>
          <w:lang w:bidi="fa-IR" w:val="en-US"/>
        </w:rPr>
        <w:t xml:space="preserve"> که توسط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w:t>
      </w:r>
      <w:r>
        <w:rPr>
          <w:rFonts w:ascii="Times New Roman" w:hAnsi="Times New Roman" w:eastAsia="Times New Roman" w:cs="B Lotus"/>
          <w:sz w:val="28"/>
          <w:szCs w:val="28"/>
          <w:rtl/>
          <w:cs/>
          <w:lang w:bidi="fa-IR" w:val="en-US"/>
        </w:rPr>
        <w:t>۱۹۶۱؛ هاویگهرست، نیوگارتن و توبین</w:t>
      </w:r>
      <w:r>
        <w:rPr>
          <w:rFonts w:ascii="Times New Roman" w:hAnsi="Times New Roman" w:eastAsia="Times New Roman" w:cs="Times New Roman"/>
          <w:rStyle w:val="FootnoteReference"/>
          <w:sz w:val="20"/>
          <w:szCs w:val="20"/>
          <w:vertAlign w:val="superscript"/>
          <w:rtl w:val="0"/>
          <w:cs w:val="0"/>
          <w:lang w:val="en-US"/>
        </w:rPr>
        <w:footnoteReference w:id="28"/>
      </w:r>
      <w:r>
        <w:rPr>
          <w:rFonts w:ascii="Times New Roman" w:hAnsi="Times New Roman" w:eastAsia="Times New Roman" w:cs="B Lotus"/>
          <w:sz w:val="28"/>
          <w:szCs w:val="28"/>
          <w:rtl/>
          <w:cs/>
          <w:lang w:bidi="fa-IR" w:val="en-US"/>
        </w:rPr>
        <w:t>، ۱۹۶۸).</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 و کان</w:t>
      </w:r>
      <w:r>
        <w:rPr>
          <w:rFonts w:ascii="Times New Roman" w:hAnsi="Times New Roman" w:eastAsia="Times New Roman" w:cs="Times New Roman"/>
          <w:rStyle w:val="FootnoteReference"/>
          <w:color w:val="1B7A3D"/>
          <w:sz w:val="20"/>
          <w:szCs w:val="20"/>
          <w:vertAlign w:val="superscript"/>
          <w:rtl w:val="0"/>
          <w:cs w:val="0"/>
          <w:lang w:val="en-US"/>
        </w:rPr>
        <w:footnoteReference w:id="29"/>
      </w:r>
      <w:r>
        <w:rPr>
          <w:rFonts w:ascii="Times New Roman" w:hAnsi="Times New Roman" w:eastAsia="Times New Roman" w:cs="B Lotus"/>
          <w:color w:val="1B7A3D"/>
          <w:sz w:val="28"/>
          <w:szCs w:val="28"/>
          <w:rtl/>
          <w:cs/>
          <w:lang w:bidi="fa-IR" w:val="en-US"/>
        </w:rPr>
        <w:t>، ۲۰۱۵).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۲-۱-۲-۳-۳- نظریه مبادله یا تعامل</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مبادله اجتماعی، که توسط داود</w:t>
      </w:r>
      <w:r>
        <w:rPr>
          <w:rFonts w:ascii="Times New Roman" w:hAnsi="Times New Roman" w:eastAsia="Times New Roman" w:cs="Times New Roman"/>
          <w:rStyle w:val="FootnoteReference"/>
          <w:sz w:val="20"/>
          <w:szCs w:val="20"/>
          <w:vertAlign w:val="superscript"/>
          <w:rtl w:val="0"/>
          <w:cs w:val="0"/>
          <w:lang w:val="en-US"/>
        </w:rPr>
        <w:footnoteReference w:id="30"/>
      </w:r>
      <w:r>
        <w:rPr>
          <w:rFonts w:ascii="Times New Roman" w:hAnsi="Times New Roman" w:eastAsia="Times New Roman" w:cs="B Lotus"/>
          <w:sz w:val="28"/>
          <w:szCs w:val="28"/>
          <w:rtl/>
          <w:cs/>
          <w:lang w:bidi="fa-IR" w:val="en-US"/>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w:t>
      </w:r>
      <w:r>
        <w:rPr>
          <w:rFonts w:ascii="Times New Roman" w:hAnsi="Times New Roman" w:eastAsia="Times New Roman" w:cs="B Lotus"/>
          <w:sz w:val="28"/>
          <w:szCs w:val="28"/>
          <w:rtl/>
          <w:cs/>
          <w:lang w:bidi="fa-IR" w:val="en-US"/>
        </w:rPr>
        <w:t>۱۹۷۵).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۲-۱-۲-۳-۴- نظریه استمرار</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تداوم یا استمرار</w:t>
      </w:r>
      <w:r>
        <w:rPr>
          <w:rFonts w:ascii="Times New Roman" w:hAnsi="Times New Roman" w:eastAsia="Times New Roman" w:cs="Times New Roman"/>
          <w:rStyle w:val="FootnoteReference"/>
          <w:sz w:val="20"/>
          <w:szCs w:val="20"/>
          <w:vertAlign w:val="superscript"/>
          <w:rtl w:val="0"/>
          <w:cs w:val="0"/>
          <w:lang w:val="en-US"/>
        </w:rPr>
        <w:footnoteReference w:id="31"/>
      </w:r>
      <w:r>
        <w:rPr>
          <w:rFonts w:ascii="Times New Roman" w:hAnsi="Times New Roman" w:eastAsia="Times New Roman" w:cs="B Lotus"/>
          <w:sz w:val="28"/>
          <w:szCs w:val="28"/>
          <w:rtl/>
          <w:cs/>
          <w:lang w:bidi="fa-IR" w:val="en-US"/>
        </w:rPr>
        <w:t xml:space="preserve"> که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w:t>
      </w:r>
      <w:r>
        <w:rPr>
          <w:rFonts w:ascii="Times New Roman" w:hAnsi="Times New Roman" w:eastAsia="Times New Roman" w:cs="B Lotus"/>
          <w:sz w:val="28"/>
          <w:szCs w:val="28"/>
          <w:rtl/>
          <w:cs/>
          <w:lang w:bidi="fa-IR" w:val="en-US"/>
        </w:rPr>
        <w:t>۱۹۸۹؛ آچلی، ۲۰۱۶).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w:t>
      </w:r>
      <w:r>
        <w:rPr>
          <w:rFonts w:ascii="Times New Roman" w:hAnsi="Times New Roman" w:eastAsia="Times New Roman" w:cs="B Lotus"/>
          <w:color w:val="1B7A3D"/>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0" w:name="_Toc238572032"/>
      <w:r>
        <w:rPr>
          <w:rFonts w:ascii="Times New Roman" w:hAnsi="Times New Roman" w:cs="B Titr" w:eastAsia="Times New Roman"/>
          <w:b/>
          <w:bCs/>
          <w:color w:val="000000"/>
          <w:sz w:val="30"/>
          <w:szCs w:val="30"/>
          <w:rtl/>
          <w:cs/>
          <w:lang w:bidi="fa-IR"/>
        </w:rPr>
        <w:t>۲-۲- گستره دوم: اضطراب مرگ</w:t>
      </w:r>
      <w:bookmarkEnd w:id="40"/>
    </w:p>
    <w:p>
      <w:pPr>
        <w:jc w:val="center"/>
        <w:bidi w:val="0"/>
      </w:pPr>
      <w:r>
        <w:drawing>
          <wp:inline distT="0" distB="0" distL="0" distR="0">
            <wp:extent cx="5669280" cy="3063240"/>
            <wp:effectExtent l="0" t="0" r="0" b="0"/>
            <wp:docPr id="21" name="DeathAnxietyTree"/>
            <wp:cNvGraphicFramePr/>
            <ns2:graphic xmlns:ns2="http://schemas.openxmlformats.org/drawingml/2006/main">
              <ns2:graphicData uri="http://schemas.microsoft.com/office/word/2010/wordprocessingGroup">
                <wpg:wgp>
                  <wpg:cNvGrpSpPr/>
                  <wpg:grpSpPr>
                    <ns2:xfrm>
                      <ns2:off x="0" y="0"/>
                      <ns2:ext cx="5669280" cy="3063240"/>
                      <ns2:chOff x="0" y="0"/>
                      <ns2:chExt cx="5669280" cy="306324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مرگ</w:t>
                          </w:r>
                        </w:p>
                      </w:txbxContent>
                    </wps:txbx>
                    <wps:bodyPr anchor="ctr" lIns="36000" rIns="36000" tIns="18000" bIns="18000"/>
                  </wps:wsp>
                  <wps:wsp>
                    <wps:cNvSpPr txBox="1"/>
                    <wps:spPr>
                      <ns2:xfrm>
                        <ns2:off x="42245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فروید</w:t>
                          </w:r>
                        </w:p>
                        <w:p>
                          <w:pPr>
                            <w:jc w:val="center"/>
                            <w:bidi/>
                            <w:spacing w:after="0" w:before="0" w:line="240" w:lineRule="auto"/>
                          </w:pPr>
                          <w:r>
                            <w:rPr>
                              <w:rFonts w:ascii="Times New Roman" w:cs="B Lotus" w:hAnsi="Times New Roman"/>
                              <w:sz w:val="14"/>
                              <w:szCs w:val="14"/>
                              <w:color w:val="FFFFFF"/>
                              <w:rtl/>
                              <w:cs/>
                            </w:rPr>
                            <w:t>روان‌تحلیل‌گری</w:t>
                          </w:r>
                        </w:p>
                      </w:txbxContent>
                    </wps:txbx>
                    <wps:bodyPr anchor="ctr" lIns="36000" rIns="36000" tIns="18000" bIns="18000"/>
                  </wps:wsp>
                  <wps:wsp>
                    <wps:cNvSpPr txBox="1"/>
                    <wps:spPr>
                      <ns2:xfrm>
                        <ns2:off x="28529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یالوم</w:t>
                          </w:r>
                        </w:p>
                        <w:p>
                          <w:pPr>
                            <w:jc w:val="center"/>
                            <w:bidi/>
                            <w:spacing w:after="0" w:before="0" w:line="240" w:lineRule="auto"/>
                          </w:pPr>
                          <w:r>
                            <w:rPr>
                              <w:rFonts w:ascii="Times New Roman" w:cs="B Lotus" w:hAnsi="Times New Roman"/>
                              <w:sz w:val="14"/>
                              <w:szCs w:val="14"/>
                              <w:color w:val="FFFFFF"/>
                              <w:rtl/>
                              <w:cs/>
                            </w:rPr>
                            <w:t>وجودگرایی</w:t>
                          </w:r>
                        </w:p>
                      </w:txbxContent>
                    </wps:txbx>
                    <wps:bodyPr anchor="ctr" lIns="36000" rIns="36000" tIns="18000" bIns="18000"/>
                  </wps:wsp>
                  <wps:wsp>
                    <wps:cNvSpPr txBox="1"/>
                    <wps:spPr>
                      <ns2:xfrm>
                        <ns2:off x="14813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مدیریت وحشت</w:t>
                          </w:r>
                        </w:p>
                        <w:p>
                          <w:pPr>
                            <w:jc w:val="center"/>
                            <w:bidi/>
                            <w:spacing w:after="0" w:before="0" w:line="240" w:lineRule="auto"/>
                          </w:pPr>
                          <w:r>
                            <w:rPr>
                              <w:rFonts w:ascii="Times New Roman" w:cs="B Lotus" w:hAnsi="Times New Roman"/>
                              <w:sz w:val="14"/>
                              <w:szCs w:val="14"/>
                              <w:color w:val="FFFFFF"/>
                              <w:rtl/>
                              <w:cs/>
                            </w:rPr>
                            <w:t>TMT</w:t>
                          </w:r>
                        </w:p>
                      </w:txbxContent>
                    </wps:txbx>
                    <wps:bodyPr anchor="ctr" lIns="36000" rIns="36000" tIns="18000" bIns="18000"/>
                  </wps:wsp>
                  <wps:wsp>
                    <wps:cNvSpPr txBox="1"/>
                    <wps:spPr>
                      <ns2:xfrm>
                        <ns2:off x="1097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دلبستگی</w:t>
                          </w:r>
                        </w:p>
                        <w:p>
                          <w:pPr>
                            <w:jc w:val="center"/>
                            <w:bidi/>
                            <w:spacing w:after="0" w:before="0" w:line="240" w:lineRule="auto"/>
                          </w:pPr>
                          <w:r>
                            <w:rPr>
                              <w:rFonts w:ascii="Times New Roman" w:cs="B Lotus" w:hAnsi="Times New Roman"/>
                              <w:sz w:val="14"/>
                              <w:szCs w:val="14"/>
                              <w:color w:val="FFFFFF"/>
                              <w:rtl/>
                              <w:cs/>
                            </w:rPr>
                            <w:t>بالبی</w:t>
                          </w:r>
                        </w:p>
                      </w:txbxContent>
                    </wps:txbx>
                    <wps:bodyPr anchor="ctr" lIns="36000" rIns="36000" tIns="18000" bIns="18000"/>
                  </wps:wsp>
                  <wps:wsp>
                    <wps:cNvSpPr txBox="1"/>
                    <wps:spPr>
                      <ns2:xfrm>
                        <ns2:off x="391363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ابعاد</w:t>
                          </w:r>
                        </w:p>
                      </w:txbxContent>
                    </wps:txbx>
                    <wps:bodyPr anchor="ctr" lIns="36000" rIns="36000" tIns="18000" bIns="18000"/>
                  </wps:wsp>
                  <wps:wsp>
                    <wps:cNvSpPr txBox="1"/>
                    <wps:spPr>
                      <ns2:xfrm>
                        <ns2:off x="217627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عوامل مؤثر</w:t>
                          </w:r>
                        </w:p>
                      </w:txbxContent>
                    </wps:txbx>
                    <wps:bodyPr anchor="ctr" lIns="36000" rIns="36000" tIns="18000" bIns="18000"/>
                  </wps:wsp>
                  <wps:wsp>
                    <wps:cNvSpPr txBox="1"/>
                    <wps:spPr>
                      <ns2:xfrm>
                        <ns2:off x="43891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پیامدها</w:t>
                          </w:r>
                        </w:p>
                      </w:txbxContent>
                    </wps:txbx>
                    <wps:bodyPr anchor="ctr" lIns="36000" rIns="36000" tIns="18000" bIns="18000"/>
                  </wps:wsp>
                  <wps:wsp>
                    <wps:cNvSpPr txBox="1"/>
                    <wps:spPr>
                      <ns2:xfrm>
                        <ns2:off x="1920240" y="2029968"/>
                        <ns2:ext cx="1828800" cy="38404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مفهوم اضطراب مرگ</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۲- درختواره اضطراب مرگ (نظریه‌ها، ابعاد، عوامل و پیامدها)</w:t>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1" w:name="_Toc238572033"/>
      <w:r>
        <w:rPr>
          <w:rFonts w:ascii="Times New Roman" w:hAnsi="Times New Roman" w:cs="B Titr" w:eastAsia="Times New Roman"/>
          <w:b/>
          <w:bCs/>
          <w:color w:val="000000"/>
          <w:sz w:val="30"/>
          <w:szCs w:val="30"/>
          <w:rtl/>
          <w:cs/>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40"/>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41"/>
      </w:r>
      <w:r>
        <w:rPr>
          <w:rFonts w:ascii="Times New Roman" w:hAnsi="Times New Roman" w:hint="cs"/>
          <w:lang w:bidi="fa-IR"/>
          <w:rtl/>
        </w:rPr>
        <w:t xml:space="preserve"> و همکاران، ۲۰۲۳).</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همسو با این یافته‌ها، آزمون‌های جدیدتر نظریه مدیریت وحشت نشان می‌دهند که برجسته شدن فناپذیری ــ از جمله در شرایط تهدید جمعی مانند همه‌گیری ــ می‌تواند هم دفاع‌های روان‌شناختی را فعال کند و هم اضطراب مرگ را در گروه‌های سنی مختلف افزایش دهد (پیشزچینسکی و همکاران</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3" w:name="_Toc238572034"/>
      <w:r>
        <w:rPr>
          <w:rFonts w:ascii="Times New Roman" w:hAnsi="Times New Roman" w:cs="B Titr" w:eastAsia="Times New Roman"/>
          <w:b/>
          <w:bCs/>
          <w:color w:val="000000"/>
          <w:sz w:val="30"/>
          <w:szCs w:val="30"/>
          <w:rtl/>
          <w:cs/>
          <w:lang w:bidi="fa-IR"/>
        </w:rPr>
        <w:lastRenderedPageBreak/>
        <w:t xml:space="preserve">۲-۲-۲- </w:t>
      </w:r>
      <w:r>
        <w:rPr>
          <w:rFonts w:ascii="Times New Roman" w:hAnsi="Times New Roman" w:cs="B Titr" w:eastAsia="Times New Roman"/>
          <w:b/>
          <w:bCs/>
          <w:color w:val="000000"/>
          <w:sz w:val="30"/>
          <w:szCs w:val="30"/>
          <w:rtl/>
          <w:cs/>
          <w:lang w:bidi="fa-IR"/>
        </w:rPr>
        <w:t>نظریه‌های</w:t>
      </w:r>
      <w:r>
        <w:rPr>
          <w:rFonts w:ascii="Times New Roman" w:hAnsi="Times New Roman" w:cs="B Titr" w:eastAsia="Times New Roman"/>
          <w:b/>
          <w:bCs/>
          <w:color w:val="000000"/>
          <w:sz w:val="30"/>
          <w:szCs w:val="30"/>
          <w:rtl/>
          <w:cs/>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4" w:name="_Toc238572035"/>
      <w:r>
        <w:rPr>
          <w:rFonts w:ascii="Times New Roman" w:hAnsi="Times New Roman" w:cs="B Titr" w:eastAsia="Times New Roman"/>
          <w:b/>
          <w:bCs/>
          <w:color w:val="000000"/>
          <w:sz w:val="30"/>
          <w:szCs w:val="30"/>
          <w:rtl/>
          <w:cs/>
          <w:lang w:bidi="fa-IR"/>
        </w:rPr>
        <w:t>۲-۲-۲-۱- نظریه فروید (</w:t>
      </w:r>
      <w:r>
        <w:rPr>
          <w:rFonts w:ascii="Times New Roman" w:hAnsi="Times New Roman" w:cs="B Titr" w:eastAsia="Times New Roman"/>
          <w:b/>
          <w:bCs/>
          <w:color w:val="000000"/>
          <w:sz w:val="30"/>
          <w:szCs w:val="30"/>
          <w:rtl/>
          <w:cs/>
          <w:lang w:bidi="fa-IR"/>
        </w:rPr>
        <w:t>روان‌تحلیل‌گری</w:t>
      </w:r>
      <w:r>
        <w:rPr>
          <w:rFonts w:ascii="Times New Roman" w:hAnsi="Times New Roman" w:cs="B Titr" w:eastAsia="Times New Roman"/>
          <w:b/>
          <w:bCs/>
          <w:color w:val="000000"/>
          <w:sz w:val="30"/>
          <w:szCs w:val="30"/>
          <w:rtl/>
          <w:cs/>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42"/>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 منزیس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6" w:name="_Toc238572036"/>
      <w:r>
        <w:rPr>
          <w:rFonts w:ascii="Times New Roman" w:hAnsi="Times New Roman" w:cs="B Titr" w:eastAsia="Times New Roman"/>
          <w:b/>
          <w:bCs/>
          <w:color w:val="000000"/>
          <w:sz w:val="30"/>
          <w:szCs w:val="30"/>
          <w:rtl/>
          <w:cs/>
          <w:lang w:bidi="fa-IR"/>
        </w:rPr>
        <w:t xml:space="preserve">۲-۲-۲-۲- نظریه </w:t>
      </w:r>
      <w:r>
        <w:rPr>
          <w:rFonts w:ascii="Times New Roman" w:hAnsi="Times New Roman" w:cs="B Titr" w:eastAsia="Times New Roman"/>
          <w:b/>
          <w:bCs/>
          <w:color w:val="000000"/>
          <w:sz w:val="30"/>
          <w:szCs w:val="30"/>
          <w:rtl/>
          <w:cs/>
          <w:lang w:bidi="fa-IR"/>
        </w:rPr>
        <w:t>یالوم</w:t>
      </w:r>
      <w:r>
        <w:rPr>
          <w:rFonts w:ascii="Times New Roman" w:hAnsi="Times New Roman" w:cs="B Titr" w:eastAsia="Times New Roman"/>
          <w:b/>
          <w:bCs/>
          <w:color w:val="000000"/>
          <w:sz w:val="30"/>
          <w:szCs w:val="30"/>
          <w:rtl/>
          <w:cs/>
          <w:lang w:bidi="fa-IR"/>
        </w:rPr>
        <w:t xml:space="preserve"> (</w:t>
      </w:r>
      <w:r>
        <w:rPr>
          <w:rFonts w:ascii="Times New Roman" w:hAnsi="Times New Roman" w:cs="B Titr" w:eastAsia="Times New Roman"/>
          <w:b/>
          <w:bCs/>
          <w:color w:val="000000"/>
          <w:sz w:val="30"/>
          <w:szCs w:val="30"/>
          <w:rtl/>
          <w:cs/>
          <w:lang w:bidi="fa-IR"/>
        </w:rPr>
        <w:t>وجودگرایی</w:t>
      </w:r>
      <w:r>
        <w:rPr>
          <w:rFonts w:ascii="Times New Roman" w:hAnsi="Times New Roman" w:cs="B Titr" w:eastAsia="Times New Roman"/>
          <w:b/>
          <w:bCs/>
          <w:color w:val="000000"/>
          <w:sz w:val="30"/>
          <w:szCs w:val="30"/>
          <w:rtl/>
          <w:cs/>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43"/>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color w:val="1B7A3D"/>
          <w:sz w:val="20"/>
          <w:szCs w:val="20"/>
          <w:vertAlign w:val="superscript"/>
          <w:rtl w:val="0"/>
          <w:cs w:val="0"/>
          <w:lang w:val="en-US"/>
        </w:rPr>
        <w:footnoteReference w:id="35"/>
      </w:r>
      <w:r>
        <w:rPr>
          <w:rFonts w:ascii="Times New Roman" w:hAnsi="Times New Roman" w:eastAsia="Times New Roman" w:cs="B Lotus"/>
          <w:color w:val="1B7A3D"/>
          <w:sz w:val="28"/>
          <w:szCs w:val="28"/>
          <w:rtl/>
          <w:cs/>
          <w:lang w:bidi="fa-IR" w:val="en-US"/>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color w:val="1B7A3D"/>
          <w:sz w:val="20"/>
          <w:szCs w:val="20"/>
          <w:vertAlign w:val="superscript"/>
          <w:rtl w:val="0"/>
          <w:cs w:val="0"/>
          <w:lang w:val="en-US"/>
        </w:rPr>
        <w:footnoteReference w:id="34"/>
      </w:r>
      <w:r>
        <w:rPr>
          <w:rFonts w:ascii="Times New Roman" w:hAnsi="Times New Roman" w:eastAsia="Times New Roman" w:cs="B Lotus"/>
          <w:color w:val="1B7A3D"/>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8" w:name="_Toc238572037"/>
      <w:r>
        <w:rPr>
          <w:rFonts w:ascii="Times New Roman" w:hAnsi="Times New Roman" w:cs="B Titr" w:eastAsia="Times New Roman"/>
          <w:b/>
          <w:bCs/>
          <w:color w:val="000000"/>
          <w:sz w:val="30"/>
          <w:szCs w:val="30"/>
          <w:rtl/>
          <w:cs/>
          <w:lang w:bidi="fa-IR"/>
        </w:rPr>
        <w:t>۲-۲-۲-۳- نظریه مدیریت وحشت (</w:t>
      </w:r>
      <w:r>
        <w:rPr>
          <w:rFonts w:ascii="Times New Roman" w:hAnsi="Times New Roman" w:cs="B Titr" w:eastAsia="Times New Roman"/>
          <w:b/>
          <w:bCs/>
          <w:color w:val="000000"/>
          <w:sz w:val="30"/>
          <w:szCs w:val="30"/>
          <w:rtl/>
          <w:cs/>
          <w:lang w:bidi="fa-IR" w:val="en-US"/>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44"/>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45"/>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 و همکاران، </w:t>
      </w:r>
      <w:r>
        <w:rPr>
          <w:rFonts w:ascii="Times New Roman" w:hAnsi="Times New Roman" w:eastAsia="Times New Roman" w:cs="B Lotus"/>
          <w:color w:val="1B7A3D"/>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9" w:name="_Toc238572038"/>
      <w:r>
        <w:rPr>
          <w:rFonts w:ascii="Times New Roman" w:hAnsi="Times New Roman" w:cs="B Titr" w:eastAsia="Times New Roman"/>
          <w:b/>
          <w:bCs/>
          <w:color w:val="000000"/>
          <w:sz w:val="30"/>
          <w:szCs w:val="30"/>
          <w:rtl/>
          <w:cs/>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46"/>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47"/>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0" w:name="_Toc238572039"/>
      <w:r>
        <w:rPr>
          <w:rFonts w:ascii="Times New Roman" w:hAnsi="Times New Roman" w:cs="B Titr" w:eastAsia="Times New Roman"/>
          <w:b/>
          <w:bCs/>
          <w:color w:val="000000"/>
          <w:sz w:val="30"/>
          <w:szCs w:val="30"/>
          <w:rtl/>
          <w:cs/>
          <w:lang w:bidi="fa-IR"/>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 و همکاران، </w:t>
      </w:r>
      <w:r>
        <w:rPr>
          <w:rFonts w:ascii="Times New Roman" w:hAnsi="Times New Roman" w:eastAsia="Times New Roman" w:cs="B Lotus"/>
          <w:color w:val="1B7A3D"/>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1" w:name="_Toc238572040"/>
      <w:r>
        <w:rPr>
          <w:rFonts w:ascii="Times New Roman" w:hAnsi="Times New Roman" w:cs="B Titr" w:eastAsia="Times New Roman"/>
          <w:b/>
          <w:bCs/>
          <w:color w:val="000000"/>
          <w:sz w:val="30"/>
          <w:szCs w:val="30"/>
          <w:rtl/>
          <w:cs/>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2" w:name="_Toc238572041"/>
      <w:r>
        <w:rPr>
          <w:rFonts w:ascii="Times New Roman" w:hAnsi="Times New Roman" w:cs="B Titr" w:eastAsia="Times New Roman"/>
          <w:b/>
          <w:bCs/>
          <w:color w:val="000000"/>
          <w:sz w:val="30"/>
          <w:szCs w:val="30"/>
          <w:rtl/>
          <w:cs/>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48"/>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49"/>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50"/>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3" w:name="_Toc238572042"/>
      <w:r>
        <w:rPr>
          <w:rFonts w:ascii="Times New Roman" w:hAnsi="Times New Roman" w:cs="B Titr" w:eastAsia="Times New Roman"/>
          <w:b/>
          <w:bCs/>
          <w:color w:val="000000"/>
          <w:sz w:val="30"/>
          <w:szCs w:val="30"/>
          <w:rtl/>
          <w:cs/>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 و همکاران، </w:t>
      </w:r>
      <w:r>
        <w:rPr>
          <w:rFonts w:ascii="Times New Roman" w:hAnsi="Times New Roman" w:eastAsia="Times New Roman" w:cs="B Lotus"/>
          <w:color w:val="1B7A3D"/>
          <w:sz w:val="28"/>
          <w:szCs w:val="28"/>
          <w:rtl/>
          <w:cs/>
          <w:lang w:bidi="fa-IR" w:val="en-US"/>
        </w:rPr>
        <w:t>۲۰۱۴؛ منزیس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37"/>
      </w:r>
      <w:r>
        <w:rPr>
          <w:rFonts w:ascii="Times New Roman" w:hAnsi="Times New Roman" w:eastAsia="Times New Roman" w:cs="B Lotus"/>
          <w:color w:val="1B7A3D"/>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5" w:name="_Toc238572043"/>
      <w:r>
        <w:rPr>
          <w:rFonts w:ascii="Times New Roman" w:hAnsi="Times New Roman" w:cs="B Titr" w:eastAsia="Times New Roman"/>
          <w:b/>
          <w:bCs/>
          <w:color w:val="000000"/>
          <w:sz w:val="30"/>
          <w:szCs w:val="30"/>
          <w:rtl/>
          <w:cs/>
          <w:lang w:bidi="fa-IR"/>
        </w:rPr>
        <w:lastRenderedPageBreak/>
        <w:t>۲-۳- گستره سوم: هوش معنوی</w:t>
      </w:r>
      <w:bookmarkEnd w:id="55"/>
    </w:p>
    <w:p>
      <w:pPr>
        <w:jc w:val="center"/>
        <w:bidi w:val="0"/>
      </w:pPr>
      <w:r>
        <w:drawing>
          <wp:inline distT="0" distB="0" distL="0" distR="0">
            <wp:extent cx="5669280" cy="3246120"/>
            <wp:effectExtent l="0" t="0" r="0" b="0"/>
            <wp:docPr id="22" name="SpiritualIntelligenceTree"/>
            <wp:cNvGraphicFramePr/>
            <ns2:graphic xmlns:ns2="http://schemas.openxmlformats.org/drawingml/2006/main">
              <ns2:graphicData uri="http://schemas.microsoft.com/office/word/2010/wordprocessingGroup">
                <wpg:wgp>
                  <wpg:cNvGrpSpPr/>
                  <wpg:grpSpPr>
                    <ns2:xfrm>
                      <ns2:off x="0" y="0"/>
                      <ns2:ext cx="5669280" cy="3246120"/>
                      <ns2:chOff x="0" y="0"/>
                      <ns2:chExt cx="5669280" cy="324612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هوش معنوی</w:t>
                          </w:r>
                        </w:p>
                      </w:txbxContent>
                    </wps:txbx>
                    <wps:bodyPr anchor="ctr" lIns="36000" rIns="36000" tIns="18000" bIns="18000"/>
                  </wps:wsp>
                  <wps:wsp>
                    <wps:cNvSpPr txBox="1"/>
                    <wps:spPr>
                      <ns2:xfrm>
                        <ns2:off x="391363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دیدگاه</w:t>
                          </w:r>
                        </w:p>
                        <w:p>
                          <w:pPr>
                            <w:jc w:val="center"/>
                            <w:bidi/>
                            <w:spacing w:after="0" w:before="0" w:line="240" w:lineRule="auto"/>
                          </w:pPr>
                          <w:r>
                            <w:rPr>
                              <w:rFonts w:ascii="Times New Roman" w:cs="B Lotus" w:hAnsi="Times New Roman"/>
                              <w:sz w:val="14"/>
                              <w:szCs w:val="14"/>
                              <w:color w:val="FFFFFF"/>
                              <w:rtl/>
                              <w:cs/>
                            </w:rPr>
                            <w:t>فضیلت‌گرایانه</w:t>
                          </w:r>
                        </w:p>
                      </w:txbxContent>
                    </wps:txbx>
                    <wps:bodyPr anchor="ctr" lIns="36000" rIns="36000" tIns="18000" bIns="18000"/>
                  </wps:wsp>
                  <wps:wsp>
                    <wps:cNvSpPr txBox="1"/>
                    <wps:spPr>
                      <ns2:xfrm>
                        <ns2:off x="16459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عوامل مؤثر</w:t>
                          </w:r>
                        </w:p>
                      </w:txbxContent>
                    </wps:txbx>
                    <wps:bodyPr anchor="ctr" lIns="36000" rIns="36000" tIns="18000" bIns="18000"/>
                  </wps:wsp>
                  <wps:wsp>
                    <wps:cNvSpPr txBox="1"/>
                    <wps:spPr>
                      <ns2:xfrm>
                        <ns2:off x="1417320" y="1261872"/>
                        <ns2:ext cx="2834640" cy="438912"/>
                      </ns2:xfrm>
                      <ns2:prstGeom prst="roundRect">
                        <ns2:avLst>
                          <ns2:gd name="adj" fmla="val 16667"/>
                        </ns2:avLst>
                      </ns2:prstGeom>
                      <ns2:solidFill>
                        <ns2:srgbClr val="3D5C4A"/>
                      </ns2:solidFill>
                      <ns2:ln w="19050">
                        <ns2:solidFill>
                          <ns2:srgbClr val="C4A35A"/>
                        </ns2:solidFill>
                      </ns2:ln>
                    </wps:spPr>
                    <wps:txbx>
                      <w:txbxContent>
                        <w:p>
                          <w:pPr>
                            <w:jc w:val="center"/>
                            <w:bidi/>
                            <w:spacing w:after="0" w:before="0" w:line="240" w:lineRule="auto"/>
                          </w:pPr>
                          <w:r>
                            <w:rPr>
                              <w:rFonts w:ascii="Times New Roman" w:cs="B Lotus" w:hAnsi="Times New Roman"/>
                              <w:sz w:val="16"/>
                              <w:szCs w:val="16"/>
                              <w:color w:val="FFFFFF"/>
                              <w:rtl/>
                              <w:cs/>
                            </w:rPr>
                            <w:t>مدل چهارعاملی کینگ</w:t>
                          </w:r>
                        </w:p>
                      </w:txbxContent>
                    </wps:txbx>
                    <wps:bodyPr anchor="ctr" lIns="36000" rIns="36000" tIns="18000" bIns="18000"/>
                  </wps:wsp>
                  <wps:wsp>
                    <wps:cNvSpPr txBox="1"/>
                    <wps:spPr>
                      <ns2:xfrm>
                        <ns2:off x="42245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تفکر وجودی</w:t>
                          </w:r>
                        </w:p>
                        <w:p>
                          <w:pPr>
                            <w:jc w:val="center"/>
                            <w:bidi/>
                            <w:spacing w:after="0" w:before="0" w:line="240" w:lineRule="auto"/>
                          </w:pPr>
                          <w:r>
                            <w:rPr>
                              <w:rFonts w:ascii="Times New Roman" w:cs="B Lotus" w:hAnsi="Times New Roman"/>
                              <w:sz w:val="13"/>
                              <w:szCs w:val="13"/>
                              <w:color w:val="1F4E5F"/>
                              <w:rtl/>
                              <w:cs/>
                            </w:rPr>
                            <w:t>انتقادی</w:t>
                          </w:r>
                        </w:p>
                      </w:txbxContent>
                    </wps:txbx>
                    <wps:bodyPr anchor="ctr" lIns="36000" rIns="36000" tIns="18000" bIns="18000"/>
                  </wps:wsp>
                  <wps:wsp>
                    <wps:cNvSpPr txBox="1"/>
                    <wps:spPr>
                      <ns2:xfrm>
                        <ns2:off x="28529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تولید معنای</w:t>
                          </w:r>
                        </w:p>
                        <w:p>
                          <w:pPr>
                            <w:jc w:val="center"/>
                            <w:bidi/>
                            <w:spacing w:after="0" w:before="0" w:line="240" w:lineRule="auto"/>
                          </w:pPr>
                          <w:r>
                            <w:rPr>
                              <w:rFonts w:ascii="Times New Roman" w:cs="B Lotus" w:hAnsi="Times New Roman"/>
                              <w:sz w:val="13"/>
                              <w:szCs w:val="13"/>
                              <w:color w:val="1F4E5F"/>
                              <w:rtl/>
                              <w:cs/>
                            </w:rPr>
                            <w:t>شخصی</w:t>
                          </w:r>
                        </w:p>
                      </w:txbxContent>
                    </wps:txbx>
                    <wps:bodyPr anchor="ctr" lIns="36000" rIns="36000" tIns="18000" bIns="18000"/>
                  </wps:wsp>
                  <wps:wsp>
                    <wps:cNvSpPr txBox="1"/>
                    <wps:spPr>
                      <ns2:xfrm>
                        <ns2:off x="14813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آگاهی</w:t>
                          </w:r>
                        </w:p>
                        <w:p>
                          <w:pPr>
                            <w:jc w:val="center"/>
                            <w:bidi/>
                            <w:spacing w:after="0" w:before="0" w:line="240" w:lineRule="auto"/>
                          </w:pPr>
                          <w:r>
                            <w:rPr>
                              <w:rFonts w:ascii="Times New Roman" w:cs="B Lotus" w:hAnsi="Times New Roman"/>
                              <w:sz w:val="13"/>
                              <w:szCs w:val="13"/>
                              <w:color w:val="1F4E5F"/>
                              <w:rtl/>
                              <w:cs/>
                            </w:rPr>
                            <w:t>متعالی</w:t>
                          </w:r>
                        </w:p>
                      </w:txbxContent>
                    </wps:txbx>
                    <wps:bodyPr anchor="ctr" lIns="36000" rIns="36000" tIns="18000" bIns="18000"/>
                  </wps:wsp>
                  <wps:wsp>
                    <wps:cNvSpPr txBox="1"/>
                    <wps:spPr>
                      <ns2:xfrm>
                        <ns2:off x="1097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گسترش هشیارانه</w:t>
                          </w:r>
                        </w:p>
                        <w:p>
                          <w:pPr>
                            <w:jc w:val="center"/>
                            <w:bidi/>
                            <w:spacing w:after="0" w:before="0" w:line="240" w:lineRule="auto"/>
                          </w:pPr>
                          <w:r>
                            <w:rPr>
                              <w:rFonts w:ascii="Times New Roman" w:cs="B Lotus" w:hAnsi="Times New Roman"/>
                              <w:sz w:val="13"/>
                              <w:szCs w:val="13"/>
                              <w:color w:val="1F4E5F"/>
                              <w:rtl/>
                              <w:cs/>
                            </w:rPr>
                            <w:t>حالت آگاهی</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۳- درختواره هوش معنوی (مفهوم، فضیلت‌گرایی، عوامل و مدل چهارعاملی کینگ)</w:t>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7" w:name="_Toc238572044"/>
      <w:r>
        <w:rPr>
          <w:rFonts w:ascii="Times New Roman" w:hAnsi="Times New Roman" w:cs="B Titr" w:eastAsia="Times New Roman"/>
          <w:b/>
          <w:bCs/>
          <w:color w:val="000000"/>
          <w:sz w:val="30"/>
          <w:szCs w:val="30"/>
          <w:rtl/>
          <w:cs/>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51"/>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52"/>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53"/>
      </w:r>
      <w:r>
        <w:rPr>
          <w:rFonts w:ascii="Times New Roman" w:eastAsia="Times New Roman" w:hAnsi="Times New Roman" w:hint="cs"/>
          <w:lang w:bidi="fa-IR"/>
          <w:rtl/>
        </w:rPr>
        <w:t xml:space="preserve"> و همکاران، ۲۰۲۴).</w:t>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54"/>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55"/>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56"/>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57"/>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58"/>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59"/>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cs/>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60"/>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61"/>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62"/>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63"/>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64"/>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60" w:name="_Toc238572046"/>
      <w:r>
        <w:rPr>
          <w:rFonts w:ascii="Times New Roman" w:hAnsi="Times New Roman" w:cs="B Titr" w:eastAsia="Times New Roman"/>
          <w:b/>
          <w:bCs/>
          <w:color w:val="000000"/>
          <w:kern w:val="32"/>
          <w:sz w:val="30"/>
          <w:szCs w:val="30"/>
          <w:rtl/>
          <w:cs/>
          <w:lang w:bidi="fa-IR"/>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65"/>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67"/>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pPr>
      <w:r>
        <w:rPr>
          <w:rFonts w:ascii="Times New Roman" w:hAnsi="Times New Roman" w:eastAsia="Times New Roman" w:cs="B Lotus"/>
          <w:b/>
          <w:bCs/>
          <w:color w:val="1B7A3D"/>
          <w:sz w:val="28"/>
          <w:szCs w:val="28"/>
          <w:rtl/>
          <w:cs/>
          <w:lang w:bidi="fa-IR" w:val="en-US"/>
        </w:rPr>
        <w:t>۲-۳-۴- مدل چهارعاملی هوش معنوی کینگ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color w:val="1B7A3D"/>
          <w:sz w:val="20"/>
          <w:szCs w:val="20"/>
          <w:vertAlign w:val="superscript"/>
          <w:rtl w:val="0"/>
          <w:cs w:val="0"/>
          <w:lang w:val="en-US"/>
        </w:rPr>
        <w:footnoteReference w:id="38"/>
      </w:r>
      <w:r>
        <w:rPr>
          <w:rFonts w:ascii="Times New Roman" w:hAnsi="Times New Roman" w:eastAsia="Times New Roman" w:cs="B Lotus"/>
          <w:color w:val="1B7A3D"/>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1" w:name="_Toc238572047"/>
      <w:r>
        <w:rPr>
          <w:rFonts w:ascii="Times New Roman" w:hAnsi="Times New Roman" w:cs="B Titr" w:eastAsia="Times New Roman"/>
          <w:b/>
          <w:bCs/>
          <w:color w:val="000000"/>
          <w:sz w:val="30"/>
          <w:szCs w:val="30"/>
          <w:rtl/>
          <w:cs/>
          <w:lang w:bidi="fa-IR"/>
        </w:rPr>
        <w:t>۲-۴- گستره چهارم: اضطراب سلامتی</w:t>
      </w:r>
      <w:bookmarkEnd w:id="61"/>
    </w:p>
    <w:p>
      <w:pPr>
        <w:jc w:val="center"/>
        <w:bidi w:val="0"/>
      </w:pPr>
      <w:r>
        <w:drawing>
          <wp:inline distT="0" distB="0" distL="0" distR="0">
            <wp:extent cx="5669280" cy="3154680"/>
            <wp:effectExtent l="0" t="0" r="0" b="0"/>
            <wp:docPr id="23" name="HealthAnxietyTree"/>
            <wp:cNvGraphicFramePr/>
            <ns2:graphic xmlns:ns2="http://schemas.openxmlformats.org/drawingml/2006/main">
              <ns2:graphicData uri="http://schemas.microsoft.com/office/word/2010/wordprocessingGroup">
                <wpg:wgp>
                  <wpg:cNvGrpSpPr/>
                  <wpg:grpSpPr>
                    <ns2:xfrm>
                      <ns2:off x="0" y="0"/>
                      <ns2:ext cx="5669280" cy="3154680"/>
                      <ns2:chOff x="0" y="0"/>
                      <ns2:chExt cx="5669280" cy="3154680"/>
                    </ns2:xfrm>
                  </wpg:grpSpPr>
                  <wps:wsp>
                    <wps:cNvSpPr txBox="1"/>
                    <wps:spPr>
                      <ns2:xfrm>
                        <ns2:off x="1554480" y="54864"/>
                        <ns2:ext cx="2560320" cy="402336"/>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سلامت</w:t>
                          </w:r>
                        </w:p>
                      </w:txbxContent>
                    </wps:txbx>
                    <wps:bodyPr anchor="ctr" lIns="36000" rIns="36000" tIns="18000" bIns="18000"/>
                  </wps:wsp>
                  <wps:wsp>
                    <wps:cNvSpPr txBox="1"/>
                    <wps:spPr>
                      <ns2:xfrm>
                        <ns2:off x="391363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مدل‌های نظری</w:t>
                          </w:r>
                        </w:p>
                      </w:txbxContent>
                    </wps:txbx>
                    <wps:bodyPr anchor="ctr" lIns="36000" rIns="36000" tIns="18000" bIns="18000"/>
                  </wps:wsp>
                  <wps:wsp>
                    <wps:cNvSpPr txBox="1"/>
                    <wps:spPr>
                      <ns2:xfrm>
                        <ns2:off x="16459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سالمندی</w:t>
                          </w:r>
                        </w:p>
                      </w:txbxContent>
                    </wps:txbx>
                    <wps:bodyPr anchor="ctr" lIns="36000" rIns="36000" tIns="18000" bIns="18000"/>
                  </wps:wsp>
                  <wps:wsp>
                    <wps:cNvSpPr txBox="1"/>
                    <wps:spPr>
                      <ns2:xfrm>
                        <ns2:off x="391363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شناختی-رفتاری</w:t>
                          </w:r>
                        </w:p>
                      </w:txbxContent>
                    </wps:txbx>
                    <wps:bodyPr anchor="ctr" lIns="36000" rIns="36000" tIns="18000" bIns="18000"/>
                  </wps:wsp>
                  <wps:wsp>
                    <wps:cNvSpPr txBox="1"/>
                    <wps:spPr>
                      <ns2:xfrm>
                        <ns2:off x="2029968"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زیستی-روانی-</w:t>
                          </w:r>
                        </w:p>
                        <w:p>
                          <w:pPr>
                            <w:jc w:val="center"/>
                            <w:bidi/>
                            <w:spacing w:after="0" w:before="0" w:line="240" w:lineRule="auto"/>
                          </w:pPr>
                          <w:r>
                            <w:rPr>
                              <w:rFonts w:ascii="Times New Roman" w:cs="B Lotus" w:hAnsi="Times New Roman"/>
                              <w:sz w:val="14"/>
                              <w:szCs w:val="14"/>
                              <w:color w:val="1F4E5F"/>
                              <w:rtl/>
                              <w:cs/>
                            </w:rPr>
                            <w:t>اجتماعی</w:t>
                          </w:r>
                        </w:p>
                      </w:txbxContent>
                    </wps:txbx>
                    <wps:bodyPr anchor="ctr" lIns="36000" rIns="36000" tIns="18000" bIns="18000"/>
                  </wps:wsp>
                  <wps:wsp>
                    <wps:cNvSpPr txBox="1"/>
                    <wps:spPr>
                      <ns2:xfrm>
                        <ns2:off x="16459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دلبستگی</w:t>
                          </w:r>
                        </w:p>
                      </w:txbxContent>
                    </wps:txbx>
                    <wps:bodyPr anchor="ctr" lIns="36000" rIns="36000" tIns="18000" bIns="18000"/>
                  </wps:wsp>
                  <wps:wsp>
                    <wps:cNvSpPr txBox="1"/>
                    <wps:spPr>
                      <ns2:xfrm>
                        <ns2:off x="301752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عوامل زمینه‌ساز</w:t>
                          </w:r>
                        </w:p>
                      </w:txbxContent>
                    </wps:txbx>
                    <wps:bodyPr anchor="ctr" lIns="36000" rIns="36000" tIns="18000" bIns="18000"/>
                  </wps:wsp>
                  <wps:wsp>
                    <wps:cNvSpPr txBox="1"/>
                    <wps:spPr>
                      <ns2:xfrm>
                        <ns2:off x="64008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مداخلات</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۴- درختواره اضطراب سلامت (مفهوم، مدل‌های نظری، عوامل و مداخلات)</w:t>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2" w:name="_Toc238572048"/>
      <w:r>
        <w:rPr>
          <w:rFonts w:ascii="Times New Roman" w:hAnsi="Times New Roman" w:cs="B Titr" w:eastAsia="Times New Roman"/>
          <w:b/>
          <w:bCs/>
          <w:color w:val="000000"/>
          <w:sz w:val="30"/>
          <w:szCs w:val="30"/>
          <w:rtl/>
          <w:cs/>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68"/>
      </w:r>
      <w:r>
        <w:rPr>
          <w:rStyle w:val="FootnoteReference"/>
          <w:rFonts w:ascii="Times New Roman" w:hAnsi="Times New Roman" w:hint="cs" w:eastAsia="Times New Roman" w:cs="Times New Roman"/>
          <w:lang w:bidi="fa-IR" w:val="en-US"/>
          <w:sz w:val="20"/>
          <w:szCs w:val="20"/>
          <w:vertAlign w:val="superscript"/>
          <w:rtl w:val="0"/>
        </w:rPr>
        <w:footnoteReference w:id="69"/>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70"/>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71"/>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در طبقه‌بندی‌های جدید، اضطراب سلامت در یک پیوستار دیده می‌شود؛ از نگرانی طبیعی تا اختلال اضطراب بیماری در DSM-5-TR. این تمایز برای سالمندان اهمیت دارد، چون نشانه‌های جسمانی واقعی با تفسیر فاجعه‌آمیز همپوشانی پیدا می‌کنند (انجمن روان‌پزشکی آمریکا، </w:t>
      </w:r>
      <w:r>
        <w:rPr>
          <w:rFonts w:ascii="Times New Roman" w:hAnsi="Times New Roman" w:eastAsia="Times New Roman" w:cs="B Lotus"/>
          <w:color w:val="1B7A3D"/>
          <w:sz w:val="28"/>
          <w:szCs w:val="28"/>
          <w:rtl/>
          <w:cs/>
          <w:lang w:bidi="fa-IR" w:val="en-US"/>
        </w:rPr>
        <w:t>۲۰۲۲؛ کیکاس و همکاران، ۲۰۲۴).</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65" w:name="_Toc238572049"/>
      <w:r>
        <w:rPr>
          <w:rFonts w:ascii="Times New Roman" w:hAnsi="Times New Roman" w:cs="B Titr" w:eastAsia="Times New Roman"/>
          <w:b/>
          <w:bCs/>
          <w:color w:val="000000"/>
          <w:sz w:val="30"/>
          <w:szCs w:val="30"/>
          <w:rtl/>
          <w:cs/>
          <w:lang w:bidi="fa-IR"/>
        </w:rPr>
        <w:lastRenderedPageBreak/>
        <w:t xml:space="preserve">۲-۴-۲- </w:t>
      </w:r>
      <w:r>
        <w:rPr>
          <w:rFonts w:ascii="Times New Roman" w:hAnsi="Times New Roman" w:cs="B Titr" w:eastAsia="Times New Roman"/>
          <w:b/>
          <w:bCs/>
          <w:color w:val="000000"/>
          <w:sz w:val="30"/>
          <w:szCs w:val="30"/>
          <w:rtl/>
          <w:cs/>
          <w:lang w:bidi="fa-IR"/>
        </w:rPr>
        <w:t>مدل‌های</w:t>
      </w:r>
      <w:r>
        <w:rPr>
          <w:rFonts w:ascii="Times New Roman" w:hAnsi="Times New Roman" w:cs="B Titr" w:eastAsia="Times New Roman"/>
          <w:b/>
          <w:bCs/>
          <w:color w:val="000000"/>
          <w:sz w:val="30"/>
          <w:szCs w:val="30"/>
          <w:rtl/>
          <w:cs/>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7" w:name="_Toc238572050"/>
      <w:r>
        <w:rPr>
          <w:rFonts w:ascii="Times New Roman" w:hAnsi="Times New Roman" w:cs="B Titr" w:eastAsia="Times New Roman"/>
          <w:b/>
          <w:bCs/>
          <w:color w:val="000000"/>
          <w:sz w:val="30"/>
          <w:szCs w:val="30"/>
          <w:rtl/>
          <w:cs/>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w:t>
      </w:r>
      <w:r>
        <w:rPr>
          <w:rFonts w:ascii="Times New Roman" w:hAnsi="Times New Roman" w:eastAsia="Times New Roman" w:cs="B Lotus"/>
          <w:color w:val="1B7A3D"/>
          <w:sz w:val="28"/>
          <w:szCs w:val="28"/>
          <w:rtl/>
          <w:cs/>
          <w:lang w:bidi="fa-IR" w:val="en-US"/>
        </w:rPr>
        <w:t>۲۰۲۳؛ انجمن روان‌شناسی آمریکا، ۲۰۲۳).</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9" w:name="_Toc238572051"/>
      <w:r>
        <w:rPr>
          <w:rFonts w:ascii="Times New Roman" w:hAnsi="Times New Roman" w:cs="B Titr" w:eastAsia="Times New Roman"/>
          <w:b/>
          <w:bCs/>
          <w:color w:val="000000"/>
          <w:sz w:val="30"/>
          <w:szCs w:val="30"/>
          <w:rtl/>
          <w:cs/>
          <w:lang w:bidi="fa-IR"/>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 </w:t>
      </w:r>
      <w:r>
        <w:rPr>
          <w:rFonts w:ascii="Times New Roman" w:hAnsi="Times New Roman" w:eastAsia="Times New Roman" w:cs="B Lotus"/>
          <w:color w:val="1B7A3D"/>
          <w:sz w:val="28"/>
          <w:szCs w:val="28"/>
          <w:rtl/>
          <w:cs/>
          <w:lang w:bidi="fa-IR" w:val="en-US"/>
        </w:rPr>
        <w:t>۲۰۲۰؛ سازمان جهانی بهداشت، ۲۰۲۴).</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0" w:name="_Toc238572052"/>
      <w:r>
        <w:rPr>
          <w:rFonts w:ascii="Times New Roman" w:hAnsi="Times New Roman" w:cs="B Titr" w:eastAsia="Times New Roman"/>
          <w:b/>
          <w:bCs/>
          <w:color w:val="000000"/>
          <w:sz w:val="30"/>
          <w:szCs w:val="30"/>
          <w:rtl/>
          <w:cs/>
          <w:lang w:bidi="fa-IR"/>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72"/>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از منظر سالمندی، دلبستگی ناایمن می‌تواند با اطمینان‌خواهی مکرر پزشکی و ادراک تهدید بدنی همراه شود و چرخه اضطراب سلامت را پایدار کند (چاریکچی‌اوزگول و ایشیک، </w:t>
      </w:r>
      <w:r>
        <w:rPr>
          <w:rFonts w:ascii="Times New Roman" w:hAnsi="Times New Roman" w:eastAsia="Times New Roman" w:cs="B Lotus"/>
          <w:color w:val="1B7A3D"/>
          <w:sz w:val="28"/>
          <w:szCs w:val="28"/>
          <w:rtl/>
          <w:cs/>
          <w:lang w:bidi="fa-IR" w:val="en-US"/>
        </w:rPr>
        <w:t>۲۰۲۴).</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1" w:name="_Toc238572053"/>
      <w:r>
        <w:rPr>
          <w:rFonts w:ascii="Times New Roman" w:hAnsi="Times New Roman" w:cs="B Titr" w:eastAsia="Times New Roman"/>
          <w:b/>
          <w:bCs/>
          <w:color w:val="000000"/>
          <w:sz w:val="30"/>
          <w:szCs w:val="30"/>
          <w:rtl/>
          <w:cs/>
          <w:lang w:bidi="fa-IR"/>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73"/>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74"/>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75"/>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 </w:t>
      </w:r>
      <w:r>
        <w:rPr>
          <w:rFonts w:ascii="Times New Roman" w:hAnsi="Times New Roman" w:eastAsia="Times New Roman" w:cs="B Lotus"/>
          <w:color w:val="1B7A3D"/>
          <w:sz w:val="28"/>
          <w:szCs w:val="28"/>
          <w:rtl/>
          <w:cs/>
          <w:lang w:bidi="fa-IR" w:val="en-US"/>
        </w:rPr>
        <w:t>۲۰۲۴؛ شفیعی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3" w:name="_Toc238572054"/>
      <w:r>
        <w:rPr>
          <w:rFonts w:ascii="Times New Roman" w:hAnsi="Times New Roman" w:cs="B Titr" w:eastAsia="Times New Roman"/>
          <w:b/>
          <w:bCs/>
          <w:color w:val="000000"/>
          <w:sz w:val="30"/>
          <w:szCs w:val="30"/>
          <w:rtl/>
          <w:cs/>
          <w:lang w:bidi="fa-IR"/>
        </w:rPr>
        <w:t xml:space="preserve">۲-۴-۴- عوامل </w:t>
      </w:r>
      <w:r>
        <w:rPr>
          <w:rFonts w:ascii="Times New Roman" w:hAnsi="Times New Roman" w:cs="B Titr" w:eastAsia="Times New Roman"/>
          <w:b/>
          <w:bCs/>
          <w:color w:val="000000"/>
          <w:sz w:val="30"/>
          <w:szCs w:val="30"/>
          <w:rtl/>
          <w:cs/>
          <w:lang w:bidi="fa-IR"/>
        </w:rPr>
        <w:t>زمینه‌ساز</w:t>
      </w:r>
      <w:r>
        <w:rPr>
          <w:rFonts w:ascii="Times New Roman" w:hAnsi="Times New Roman" w:cs="B Titr" w:eastAsia="Times New Roman"/>
          <w:b/>
          <w:bCs/>
          <w:color w:val="000000"/>
          <w:sz w:val="30"/>
          <w:szCs w:val="30"/>
          <w:rtl/>
          <w:cs/>
          <w:lang w:bidi="fa-IR"/>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76"/>
      </w:r>
      <w:r>
        <w:rPr>
          <w:rStyle w:val="FootnoteReference"/>
          <w:rFonts w:hint="cs" w:ascii="Times New Roman" w:hAnsi="Times New Roman" w:eastAsia="Times New Roman" w:cs="Times New Roman"/>
          <w:sz w:val="20"/>
          <w:szCs w:val="20"/>
          <w:vertAlign w:val="superscript"/>
          <w:lang w:val="en-US"/>
          <w:rtl w:val="0"/>
        </w:rPr>
        <w:footnoteReference w:id="7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78"/>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79"/>
      </w:r>
      <w:r>
        <w:rPr>
          <w:rFonts w:ascii="Times New Roman" w:hAnsi="Times New Roman" w:hint="cs"/>
          <w:lang w:bidi="fa-IR"/>
          <w:rtl/>
        </w:rPr>
        <w:t>، ۲۰۲۱؛ سازمان جهانی بهداشت،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4" w:name="_Toc238572055"/>
      <w:r>
        <w:rPr>
          <w:rFonts w:ascii="Times New Roman" w:hAnsi="Times New Roman" w:cs="B Titr" w:eastAsia="Times New Roman"/>
          <w:b/>
          <w:bCs/>
          <w:color w:val="000000"/>
          <w:sz w:val="30"/>
          <w:szCs w:val="30"/>
          <w:rtl/>
          <w:cs/>
          <w:lang w:bidi="fa-IR"/>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80"/>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81"/>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82"/>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83"/>
      </w:r>
      <w:r>
        <w:rPr>
          <w:rFonts w:ascii="Times New Roman" w:hAnsi="Times New Roman" w:hint="cs"/>
          <w:lang w:bidi="fa-IR"/>
          <w:rtl/>
        </w:rPr>
        <w:t>، ۲۰۲۳؛ سازمان جهانی بهداشت،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84"/>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85"/>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86"/>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87"/>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89"/>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90"/>
      </w:r>
      <w:r>
        <w:rPr>
          <w:rFonts w:ascii="Times New Roman" w:hAnsi="Times New Roman" w:hint="cs"/>
          <w:lang w:bidi="fa-IR"/>
          <w:rtl/>
        </w:rPr>
        <w:t xml:space="preserve"> و همکاران، ۲۰۲۲).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w:t>
      </w:r>
      <w:r>
        <w:rPr>
          <w:rFonts w:ascii="Times New Roman" w:hAnsi="Times New Roman" w:eastAsia="Times New Roman" w:cs="B Lotus"/>
          <w:color w:val="1B7A3D"/>
          <w:sz w:val="28"/>
          <w:szCs w:val="28"/>
          <w:rtl/>
          <w:cs/>
          <w:lang w:bidi="fa-IR" w:val="en-US"/>
        </w:rPr>
        <w:t>۲۰۲۴؛ انجمن روان‌شناسی آمریکا، ۲۰۲۳).</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75" w:name="_Toc238572056"/>
      <w:r>
        <w:rPr>
          <w:rFonts w:ascii="Times New Roman" w:hAnsi="Times New Roman" w:cs="B Titr" w:eastAsia="Times New Roman"/>
          <w:b/>
          <w:bCs/>
          <w:color w:val="000000"/>
          <w:sz w:val="30"/>
          <w:szCs w:val="30"/>
          <w:rtl/>
          <w:cs/>
          <w:lang w:bidi="fa-IR"/>
        </w:rPr>
        <w:t>۲-۵- پیشینه پژوهش</w:t>
      </w:r>
      <w:bookmarkEnd w:id="75"/>
    </w:p>
    <w:p>
      <w:pPr>
        <w:jc w:val="center"/>
        <w:bidi w:val="0"/>
      </w:pPr>
      <w:r>
        <w:drawing>
          <wp:inline distT="0" distB="0" distL="0" distR="0">
            <wp:extent cx="5669280" cy="1874519"/>
            <wp:effectExtent l="0" t="0" r="0" b="0"/>
            <wp:docPr id="24" name="LiteratureTree"/>
            <wp:cNvGraphicFramePr/>
            <ns2:graphic xmlns:ns2="http://schemas.openxmlformats.org/drawingml/2006/main">
              <ns2:graphicData uri="http://schemas.microsoft.com/office/word/2010/wordprocessingGroup">
                <wpg:wgp>
                  <wpg:cNvGrpSpPr/>
                  <wpg:grpSpPr>
                    <ns2:xfrm>
                      <ns2:off x="0" y="0"/>
                      <ns2:ext cx="5669280" cy="1874519"/>
                      <ns2:chOff x="0" y="0"/>
                      <ns2:chExt cx="5669280" cy="1874519"/>
                    </ns2:xfrm>
                  </wpg:grpSpPr>
                  <wps:wsp>
                    <wps:cNvSpPr txBox="1"/>
                    <wps:spPr>
                      <ns2:xfrm>
                        <ns2:off x="1554480" y="73152"/>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پیشینه پژوهش</w:t>
                          </w:r>
                        </w:p>
                      </w:txbxContent>
                    </wps:txbx>
                    <wps:bodyPr anchor="ctr" lIns="36000" rIns="36000" tIns="18000" bIns="18000"/>
                  </wps:wsp>
                  <wps:wsp>
                    <wps:cNvSpPr txBox="1"/>
                    <wps:spPr>
                      <ns2:xfrm>
                        <ns2:off x="3063240" y="713232"/>
                        <ns2:ext cx="2103120" cy="45720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8"/>
                              <w:szCs w:val="18"/>
                              <w:color w:val="FFFFFF"/>
                              <w:rtl/>
                              <w:cs/>
                            </w:rPr>
                            <w:t>پیشینه داخلی</w:t>
                          </w:r>
                        </w:p>
                      </w:txbxContent>
                    </wps:txbx>
                    <wps:bodyPr anchor="ctr" lIns="36000" rIns="36000" tIns="18000" bIns="18000"/>
                  </wps:wsp>
                  <wps:wsp>
                    <wps:cNvSpPr txBox="1"/>
                    <wps:spPr>
                      <ns2:xfrm>
                        <ns2:off x="502920" y="713232"/>
                        <ns2:ext cx="2103120" cy="45720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8"/>
                              <w:szCs w:val="18"/>
                              <w:color w:val="FFFFFF"/>
                              <w:rtl/>
                              <w:cs/>
                            </w:rPr>
                            <w:t>پیشینه خارجی</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۵- درختواره پیشینه پژوهش (داخلی و خارجی)</w:t>
      </w:r>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6" w:name="_Toc238572057"/>
      <w:r>
        <w:rPr>
          <w:rFonts w:ascii="Times New Roman" w:hAnsi="Times New Roman" w:cs="B Titr" w:eastAsia="Times New Roman"/>
          <w:b/>
          <w:bCs/>
          <w:color w:val="000000"/>
          <w:sz w:val="30"/>
          <w:szCs w:val="30"/>
          <w:rtl/>
          <w:cs/>
          <w:lang w:bidi="fa-IR"/>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7" w:name="_Toc238572058"/>
      <w:r>
        <w:rPr>
          <w:rFonts w:ascii="Times New Roman" w:hAnsi="Times New Roman" w:cs="B Titr" w:eastAsia="Times New Roman"/>
          <w:b/>
          <w:bCs/>
          <w:color w:val="000000"/>
          <w:sz w:val="30"/>
          <w:szCs w:val="30"/>
          <w:rtl/>
          <w:cs/>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91"/>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92"/>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93"/>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94"/>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95"/>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96"/>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97"/>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98"/>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99"/>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100"/>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101"/>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102"/>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10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104"/>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105"/>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106"/>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 است.</w:t>
      </w:r>
    </w:p>
    <w:p>
      <w:pPr>
        <w:pStyle w:val="Heading1"/>
        <w:bidi w:val="1"/>
        <w:spacing w:after="120" w:line="276" w:lineRule="auto"/>
        <w:jc w:val="right"/>
        <w:pageBreakBefore/>
      </w:pPr>
      <w:r>
        <w:rPr>
          <w:rFonts w:ascii="Times New Roman" w:hAnsi="Times New Roman" w:eastAsia="Times New Roman" w:cs="B Lotus"/>
          <w:b/>
          <w:bCs/>
          <w:sz w:val="28"/>
          <w:szCs w:val="28"/>
          <w:rtl/>
          <w:cs/>
          <w:lang w:bidi="fa-IR" w:val="en-US"/>
        </w:rPr>
        <w:t>منابع فارسی</w:t>
      </w:r>
    </w:p>
    <w:p>
      <w:pPr>
        <w:pStyle w:val="Normal"/>
        <w:bidi w:val="1"/>
        <w:spacing w:after="120" w:line="276" w:lineRule="auto"/>
        <w:jc w:val="right"/>
      </w:pPr>
      <w:r>
        <w:rPr>
          <w:rFonts w:ascii="Times New Roman" w:hAnsi="Times New Roman" w:eastAsia="Times New Roman" w:cs="B Lotus"/>
          <w:sz w:val="28"/>
          <w:szCs w:val="28"/>
          <w:rtl/>
          <w:cs/>
          <w:lang w:bidi="fa-IR" w:val="en-US"/>
        </w:rPr>
        <w:t>حسینی، جنبذی سیدعلی؛ و زرقی، محمد. (۱۴۰۲). مروری بر نظریه‌های روان‌شناختی سالمندی و سالمندی موفق. فصلنامه سالمند.</w:t>
      </w:r>
    </w:p>
    <w:p>
      <w:pPr>
        <w:pStyle w:val="Heading1"/>
        <w:bidi w:val="1"/>
        <w:spacing w:after="120" w:line="276" w:lineRule="auto"/>
        <w:jc w:val="right"/>
      </w:pPr>
      <w:r>
        <w:rPr>
          <w:rFonts w:ascii="Times New Roman" w:hAnsi="Times New Roman" w:eastAsia="Times New Roman" w:cs="B Lotus"/>
          <w:b/>
          <w:bCs/>
          <w:sz w:val="28"/>
          <w:szCs w:val="28"/>
          <w:rtl/>
          <w:cs/>
          <w:lang w:bidi="fa-IR" w:val="en-US"/>
        </w:rPr>
        <w:t>منابع لاتین</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(1989). A Continuity Theory of Normal Aging. The Gerontologist, 29(2), 183–190.</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(2016). Social Forces and Aging: An Introduction to Social Gerontology (14th ed.). Cengage Learning.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Campisi, J. (2024). Cellular Senescence and Organismal Aging. Nature Reviews Molecular Cell Biology.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color w:val="1B7A3D"/>
            <w:sz w:val="28"/>
            <w:szCs w:val="28"/>
            <w:rtl w:val="0"/>
            <w:cs w:val="0"/>
            <w:lang w:val="en-US"/>
          </w:rPr>
          <w:t xml:space="preserve">https://doi.org/10.1126/science.1127488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color w:val="1B7A3D"/>
            <w:sz w:val="28"/>
            <w:szCs w:val="28"/>
            <w:rtl w:val="0"/>
            <w:cs w:val="0"/>
            <w:lang w:val="en-US"/>
          </w:rPr>
          <w:t xml:space="preserve">https://doi.org/10.1093/geront/gnab116</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color w:val="1B7A3D"/>
            <w:sz w:val="28"/>
            <w:szCs w:val="28"/>
            <w:rtl w:val="0"/>
            <w:cs w:val="0"/>
            <w:lang w:val="en-US"/>
          </w:rPr>
          <w:t xml:space="preserve">https://doi.org/10.1037/0003-066X.54.3.165</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Cumming, E., &amp; Henry, W. E. (1961). Growing Old: The Process of Disengagement. New York: Basic Books.</w:t>
      </w:r>
    </w:p>
    <w:p>
      <w:pPr>
        <w:pStyle w:val="Bibliography"/>
        <w:bidi w:val="0"/>
        <w:spacing w:after="120" w:line="276" w:lineRule="auto"/>
        <w:jc w:val="left"/>
      </w:pPr>
      <w:r>
        <w:rPr>
          <w:rFonts w:ascii="Times New Roman" w:hAnsi="Times New Roman" w:eastAsia="Times New Roman" w:cs="B Lotus"/>
          <w:sz w:val="28"/>
          <w:szCs w:val="28"/>
          <w:rtl w:val="0"/>
          <w:cs w:val="0"/>
          <w:lang w:val="en-US"/>
        </w:rPr>
        <w:t>Dowd, J. J. (1975). Aging as exchange: A preface to theory. Journal of Gerontology, 30(5), 584–594.</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(1982). The Life Cycle Completed. New York: W. W. Norton.</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Erikson, J. M., &amp; Kivnick, H. Q. (1986). Vital Involvement in Old Age. New York: W. W. Norton.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 w:history="1">
        <w:r>
          <w:rPr>
            <w:rFonts w:ascii="Times New Roman" w:hAnsi="Times New Roman" w:eastAsia="Times New Roman" w:cs="B Lotus"/>
            <w:rStyle w:val="Hyperlink"/>
            <w:color w:val="1B7A3D"/>
            <w:sz w:val="28"/>
            <w:szCs w:val="28"/>
            <w:rtl w:val="0"/>
            <w:cs w:val="0"/>
            <w:lang w:val="en-US"/>
          </w:rPr>
          <w:t xml:space="preserve">https://doi.org/10.1038/s41574-018-0059-4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Fulop, T., Larbi, A., Dupuis, G., et al. (2023). Immunosenescence and inflammaging as two sides of the same coin: Friends or foes? Frontiers in Immunology.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Gladyshev, V. N. (2024). The Biology of Aging. Nature Reviews Molecular Cell Biology.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(1961). Successful aging. The Gerontologist.</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Neugarten, B. L., &amp; Tobin, S. S. (1968). Disengagement and patterns of aging. In Middle Age and Aging.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López-Otín, C., Blasco, M. A., Partridge, L., Serrano, M., &amp; Kroemer, G. (2023). Hallmarks of aging: An expanding universe. Cell, 186(2), 243–278. </w:t>
      </w:r>
      <w:hyperlink r:id="rIdDoiLopez" w:history="1">
        <w:r>
          <w:rPr>
            <w:rFonts w:ascii="Times New Roman" w:hAnsi="Times New Roman" w:eastAsia="Times New Roman" w:cs="B Lotus"/>
            <w:rStyle w:val="Hyperlink"/>
            <w:sz w:val="28"/>
            <w:szCs w:val="28"/>
            <w:rtl w:val="0"/>
            <w:cs w:val="0"/>
            <w:lang w:val="en-US"/>
          </w:rPr>
          <w:t xml:space="preserve">https://doi.org/10.1016/j.cell.2022.11.001</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Nikolich-Žugich, J., et al. (2023). The twilight of immunity: Emerging concepts in aging of the immune system. Nature Immunology.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 w:history="1">
        <w:r>
          <w:rPr>
            <w:rFonts w:ascii="Times New Roman" w:hAnsi="Times New Roman" w:eastAsia="Times New Roman" w:cs="B Lotus"/>
            <w:rStyle w:val="Hyperlink"/>
            <w:color w:val="1B7A3D"/>
            <w:sz w:val="28"/>
            <w:szCs w:val="28"/>
            <w:rtl w:val="0"/>
            <w:cs w:val="0"/>
            <w:lang w:val="en-US"/>
          </w:rPr>
          <w:t xml:space="preserve">https://doi.org/10.1037/a0035194</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Rowe, J. W., &amp; Kahn, R. L. (2015). Successful aging 2.0: Conceptual expansions for the 21st century. The Journals of Gerontology, Series B, 70(4), 593–596. </w:t>
      </w:r>
      <w:hyperlink r:id="rIdDoiRowe" w:history="1">
        <w:r>
          <w:rPr>
            <w:rFonts w:ascii="Times New Roman" w:hAnsi="Times New Roman" w:eastAsia="Times New Roman" w:cs="B Lotus"/>
            <w:rStyle w:val="Hyperlink"/>
            <w:color w:val="1B7A3D"/>
            <w:sz w:val="28"/>
            <w:szCs w:val="28"/>
            <w:rtl w:val="0"/>
            <w:cs w:val="0"/>
            <w:lang w:val="en-US"/>
          </w:rPr>
          <w:t xml:space="preserve">https://doi.org/10.1093/geronb/gbv025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 w:history="1">
        <w:r>
          <w:rPr>
            <w:rFonts w:ascii="Times New Roman" w:hAnsi="Times New Roman" w:eastAsia="Times New Roman" w:cs="B Lotus"/>
            <w:rStyle w:val="Hyperlink"/>
            <w:color w:val="1B7A3D"/>
            <w:sz w:val="28"/>
            <w:szCs w:val="28"/>
            <w:rtl w:val="0"/>
            <w:cs w:val="0"/>
            <w:lang w:val="en-US"/>
          </w:rPr>
          <w:t xml:space="preserve">https://doi.org/10.1093/geronb/gbv062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(2020). Healthy ageing and functional ability.</w:t>
      </w:r>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(2023). Healthy ageing: A priority for delivering universal health coverage. Geneva: World Health Organization.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 w:history="1">
        <w:r>
          <w:rPr>
            <w:rFonts w:ascii="Times New Roman" w:hAnsi="Times New Roman" w:eastAsia="Times New Roman" w:cs="B Lotus"/>
            <w:rStyle w:val="Hyperlink"/>
            <w:color w:val="1B7A3D"/>
            <w:sz w:val="28"/>
            <w:szCs w:val="28"/>
            <w:rtl w:val="0"/>
            <w:cs w:val="0"/>
            <w:lang w:val="en-US"/>
          </w:rPr>
          <w:t xml:space="preserve">https://doi.org/10.1016/j.cpr.2014.09.002</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King, D. B., &amp; DeCicco, T. L. (2009). A viable model and self-report measure of spiritual intelligence. International Journal of Transpersonal Studies, 28(1), 68–85.</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Menzies, R. E., &amp; Menzies, R. G. (2020). Death anxiety in the time of COVID-19: Theoretical explanations and clinical implications. The Cognitive Behaviour Therapist, 13, e19. </w:t>
      </w:r>
      <w:hyperlink r:id="rIdDoiMenz" w:history="1">
        <w:r>
          <w:rPr>
            <w:rFonts w:ascii="Times New Roman" w:hAnsi="Times New Roman" w:eastAsia="Times New Roman" w:cs="B Lotus"/>
            <w:rStyle w:val="Hyperlink"/>
            <w:color w:val="1B7A3D"/>
            <w:sz w:val="28"/>
            <w:szCs w:val="28"/>
            <w:rtl w:val="0"/>
            <w:cs w:val="0"/>
            <w:lang w:val="en-US"/>
          </w:rPr>
          <w:t xml:space="preserve">https://doi.org/10.1017/S1754470X20000215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Pyszczynski, T., Lockett, M., Greenberg, J., &amp; Solomon, S. (2021). Terror management theory and the COVID-19 pandemic. Journal of Humanistic Psychology, 61(2), 173–189. </w:t>
      </w:r>
      <w:hyperlink r:id="rIdDoiPysz" w:history="1">
        <w:r>
          <w:rPr>
            <w:rFonts w:ascii="Times New Roman" w:hAnsi="Times New Roman" w:eastAsia="Times New Roman" w:cs="B Lotus"/>
            <w:rStyle w:val="Hyperlink"/>
            <w:color w:val="1B7A3D"/>
            <w:sz w:val="28"/>
            <w:szCs w:val="28"/>
            <w:rtl w:val="0"/>
            <w:cs w:val="0"/>
            <w:lang w:val="en-US"/>
          </w:rPr>
          <w:t xml:space="preserve">https://doi.org/10.1177/0022167820959488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Wong, P. T. P. (2008). Meaning management theory and death acceptance. In A. Tomer, G. T. Eliason, &amp; P. T. P. Wong (Eds.), Existential and spiritual issues in death attitudes (pp. 65–87). Erlbaum.</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Gerontology</w:t>
      </w:r>
    </w:p>
  </w:footnote>
  <w:footnote w:id="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World Health Organization</w:t>
      </w:r>
    </w:p>
  </w:footnote>
  <w:footnote w:id="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Immunological Theory of Aging</w:t>
      </w:r>
    </w:p>
  </w:footnote>
  <w:footnote w:id="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Nikolich-Žugich</w:t>
      </w:r>
    </w:p>
  </w:footnote>
  <w:footnote w:id="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Fülöp</w:t>
      </w:r>
    </w:p>
  </w:footnote>
  <w:footnote w:id="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Inflammaging</w:t>
      </w:r>
    </w:p>
  </w:footnote>
  <w:footnote w:id="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Franceschi</w:t>
      </w:r>
    </w:p>
  </w:footnote>
  <w:footnote w:id="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López-Otín</w:t>
      </w:r>
    </w:p>
  </w:footnote>
  <w:footnote w:id="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Campisi</w:t>
      </w:r>
    </w:p>
  </w:footnote>
  <w:footnote w:id="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Gladyshev</w:t>
      </w:r>
    </w:p>
  </w:footnote>
  <w:footnote w:id="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Gould</w:t>
      </w:r>
    </w:p>
  </w:footnote>
  <w:footnote w:id="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Levinson</w:t>
      </w:r>
    </w:p>
  </w:footnote>
  <w:footnote w:id="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Schaie</w:t>
      </w:r>
    </w:p>
  </w:footnote>
  <w:footnote w:id="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Erikson</w:t>
      </w:r>
    </w:p>
  </w:footnote>
  <w:footnote w:id="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Kivnick</w:t>
      </w:r>
    </w:p>
  </w:footnote>
  <w:footnote w:id="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Westerhof, Bohlmeijer &amp; McAdams</w:t>
      </w:r>
    </w:p>
  </w:footnote>
  <w:footnote w:id="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Socioemotional Selectivity Theory</w:t>
      </w:r>
    </w:p>
  </w:footnote>
  <w:footnote w:id="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Carstensen</w:t>
      </w:r>
    </w:p>
  </w:footnote>
  <w:footnote w:id="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Isaacowitz</w:t>
      </w:r>
    </w:p>
  </w:footnote>
  <w:footnote w:id="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Charles</w:t>
      </w:r>
    </w:p>
  </w:footnote>
  <w:footnote w:id="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positivity effect</w:t>
      </w:r>
    </w:p>
  </w:footnote>
  <w:footnote w:id="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Reed, Chan &amp; Mikels</w:t>
      </w:r>
    </w:p>
  </w:footnote>
  <w:footnote w:id="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Disengagement Theory</w:t>
      </w:r>
    </w:p>
  </w:footnote>
  <w:footnote w:id="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Cumming &amp; Henry</w:t>
      </w:r>
    </w:p>
  </w:footnote>
  <w:footnote w:id="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Atchley</w:t>
      </w:r>
    </w:p>
  </w:footnote>
  <w:footnote w:id="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Activity Theory</w:t>
      </w:r>
    </w:p>
  </w:footnote>
  <w:footnote w:id="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Havighurst</w:t>
      </w:r>
    </w:p>
  </w:footnote>
  <w:footnote w:id="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Neugarten &amp; Tobin</w:t>
      </w:r>
    </w:p>
  </w:footnote>
  <w:footnote w:id="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Rowe &amp; Kahn</w:t>
      </w:r>
    </w:p>
  </w:footnote>
  <w:footnote w:id="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Dowd</w:t>
      </w:r>
    </w:p>
  </w:footnote>
  <w:footnote w:id="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Continuity Theory</w:t>
      </w:r>
    </w:p>
  </w:footnote>
  <w:footnote w:id="40">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41">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42">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43">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4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45">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46">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4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48">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49">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50">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51">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52">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53">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5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5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5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5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5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5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60">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6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6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6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6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65">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66">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6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68">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69">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70">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7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72">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73">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74">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75">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76">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7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78">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7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80">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81">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82">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83">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84">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85">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86">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87">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89">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90">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91">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92">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93">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94">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95">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96">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97">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98">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99">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100">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101">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102">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103">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104">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105">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106">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Pyszczynski, Lockett, Greenberg &amp; Solomon</w:t>
      </w:r>
    </w:p>
  </w:footnote>
  <w:footnote w:id="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Iverach, Menzies &amp; Menzies</w:t>
      </w:r>
    </w:p>
  </w:footnote>
  <w:footnote w:id="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Wong</w:t>
      </w:r>
    </w:p>
  </w:footnote>
  <w:footnote w:id="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Meaning Management Theory</w:t>
      </w:r>
    </w:p>
  </w:footnote>
  <w:footnote w:id="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King</w:t>
      </w:r>
    </w:p>
  </w:footnote>
  <w:footnote w:id="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 &amp; Menzies</w:t>
      </w:r>
    </w:p>
  </w:footnote>
  <w:footnote w:id="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King &amp; DeCicco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Tree" Type="http://schemas.openxmlformats.org/officeDocument/2006/relationships/image" Target="media/tree_theories.png"/><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 Type="http://schemas.openxmlformats.org/officeDocument/2006/relationships/hyperlink" Target="https://doi.org/10.1037/a0035194" TargetMode="External"/><Relationship Id="rIdDoiFran" Type="http://schemas.openxmlformats.org/officeDocument/2006/relationships/hyperlink" Target="https://doi.org/10.1038/s41574-018-0059-4" TargetMode="External"/><Relationship Id="rIdDoiLopez" Type="http://schemas.openxmlformats.org/officeDocument/2006/relationships/hyperlink" Target="https://doi.org/10.1016/j.cell.2022.11.001" TargetMode="External"/><Relationship Id="rIdDoiWest" Type="http://schemas.openxmlformats.org/officeDocument/2006/relationships/hyperlink" Target="https://doi.org/10.1093/geronb/gbv062" TargetMode="External"/><Relationship Id="rIdDoiRowe" Type="http://schemas.openxmlformats.org/officeDocument/2006/relationships/hyperlink" Target="https://doi.org/10.1093/geronb/gbv025" TargetMode="External"/><Relationship Id="rIdDoiIver" Type="http://schemas.openxmlformats.org/officeDocument/2006/relationships/hyperlink" Target="https://doi.org/10.1016/j.cpr.2014.09.002" TargetMode="External"/><Relationship Id="rIdDoiMenz" Type="http://schemas.openxmlformats.org/officeDocument/2006/relationships/hyperlink" Target="https://doi.org/10.1017/S1754470X20000215" TargetMode="External"/><Relationship Id="rIdDoiPysz" Type="http://schemas.openxmlformats.org/officeDocument/2006/relationships/hyperlink" Target="https://doi.org/10.1177/00221678209594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