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سال‌های اخیر،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فولپ</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۲۰۱۸؛ فولپ</w:t>
      </w:r>
      <w:r>
        <w:rPr>
          <w:rFonts w:ascii="Times New Roman" w:hAnsi="Times New Roman" w:eastAsia="Times New Roman" w:cs="Times New Roman"/>
          <w:rStyle w:val="FootnoteReference"/>
          <w:color w:val="1B7A3D"/>
          <w:sz w:val="20"/>
          <w:szCs w:val="20"/>
          <w:vertAlign w:val="superscript"/>
          <w:rtl w:val="0"/>
          <w:cs w:val="0"/>
          <w:lang w:val="en-US"/>
        </w:rPr>
        <w:footnoteReference w:id="5"/>
      </w:r>
      <w:r>
        <w:rPr>
          <w:rFonts w:ascii="Times New Roman" w:hAnsi="Times New Roman" w:eastAsia="Times New Roman" w:cs="B Lotus"/>
          <w:color w:val="1B7A3D"/>
          <w:sz w:val="28"/>
          <w:szCs w:val="28"/>
          <w:rtl/>
          <w:cs/>
          <w:lang w:bidi="fa-IR" w:val="en-US"/>
        </w:rPr>
        <w:t xml:space="preserve">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۲۰۲۳؛ گلادیشف</w:t>
      </w:r>
      <w:r>
        <w:rPr>
          <w:rFonts w:ascii="Times New Roman" w:hAnsi="Times New Roman" w:eastAsia="Times New Roman" w:cs="Times New Roman"/>
          <w:rStyle w:val="FootnoteReference"/>
          <w:color w:val="1B7A3D"/>
          <w:sz w:val="20"/>
          <w:szCs w:val="20"/>
          <w:vertAlign w:val="superscript"/>
          <w:rtl w:val="0"/>
          <w:cs w:val="0"/>
          <w:lang w:val="en-US"/>
        </w:rPr>
        <w:footnoteReference w:id="10"/>
      </w:r>
      <w:r>
        <w:rPr>
          <w:rFonts w:ascii="Times New Roman" w:hAnsi="Times New Roman" w:eastAsia="Times New Roman" w:cs="B Lotus"/>
          <w:color w:val="1B7A3D"/>
          <w:sz w:val="28"/>
          <w:szCs w:val="28"/>
          <w:rtl/>
          <w:cs/>
          <w:lang w:bidi="fa-IR" w:val="en-US"/>
        </w:rPr>
        <w:t>،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۲۰۰۱، ترجمه فروغیان، ۱۳۹۲).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اگرچه صورت‌بندی گولد</w:t>
      </w:r>
      <w:r>
        <w:rPr>
          <w:rFonts w:ascii="Times New Roman" w:hAnsi="Times New Roman" w:eastAsia="Times New Roman" w:cs="Times New Roman"/>
          <w:rStyle w:val="FootnoteReference"/>
          <w:color w:val="1B7A3D"/>
          <w:sz w:val="20"/>
          <w:szCs w:val="20"/>
          <w:vertAlign w:val="superscript"/>
          <w:rtl w:val="0"/>
          <w:cs w:val="0"/>
          <w:lang w:val="en-US"/>
        </w:rPr>
        <w:footnoteReference w:id="11"/>
      </w:r>
      <w:r>
        <w:rPr>
          <w:rFonts w:ascii="Times New Roman" w:hAnsi="Times New Roman" w:eastAsia="Times New Roman" w:cs="B Lotus"/>
          <w:color w:val="1B7A3D"/>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w:t>
      </w:r>
      <w:r>
        <w:rPr>
          <w:rFonts w:ascii="Times New Roman" w:hAnsi="Times New Roman" w:eastAsia="Times New Roman" w:cs="Times New Roman"/>
          <w:rStyle w:val="FootnoteReference"/>
          <w:sz w:val="20"/>
          <w:szCs w:val="20"/>
          <w:vertAlign w:val="superscript"/>
          <w:rtl w:val="0"/>
          <w:cs w:val="0"/>
          <w:lang w:val="en-US"/>
        </w:rPr>
        <w:footnoteReference w:id="130"/>
      </w:r>
      <w:r>
        <w:rPr>
          <w:rFonts w:ascii="Times New Roman" w:hAnsi="Times New Roman" w:eastAsia="Times New Roman" w:cs="B Lotus"/>
          <w:sz w:val="28"/>
          <w:szCs w:val="28"/>
          <w:rtl/>
          <w:cs/>
          <w:lang w:bidi="fa-IR" w:val="en-US"/>
        </w:rPr>
        <w:t xml:space="preserve">،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صورت‌بندی مرحله‌ای لوینسون</w:t>
      </w:r>
      <w:r>
        <w:rPr>
          <w:rFonts w:ascii="Times New Roman" w:hAnsi="Times New Roman" w:eastAsia="Times New Roman" w:cs="Times New Roman"/>
          <w:rStyle w:val="FootnoteReference"/>
          <w:color w:val="1B7A3D"/>
          <w:sz w:val="20"/>
          <w:szCs w:val="20"/>
          <w:vertAlign w:val="superscript"/>
          <w:rtl w:val="0"/>
          <w:cs w:val="0"/>
          <w:lang w:val="en-US"/>
        </w:rPr>
        <w:footnoteReference w:id="12"/>
      </w:r>
      <w:r>
        <w:rPr>
          <w:rFonts w:ascii="Times New Roman" w:hAnsi="Times New Roman" w:eastAsia="Times New Roman" w:cs="B Lotus"/>
          <w:color w:val="1B7A3D"/>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۱۹۸۲؛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Fonts w:ascii="Times New Roman" w:hAnsi="Times New Roman" w:eastAsia="Times New Roman" w:cs="Times New Roman"/>
          <w:rStyle w:val="FootnoteReference"/>
          <w:color w:val="1B7A3D"/>
          <w:sz w:val="20"/>
          <w:szCs w:val="20"/>
          <w:vertAlign w:val="superscript"/>
          <w:rtl w:val="0"/>
          <w:cs w:val="0"/>
          <w:lang w:val="en-US"/>
        </w:rPr>
        <w:footnoteReference w:id="14"/>
      </w:r>
      <w:r>
        <w:rPr>
          <w:rFonts w:ascii="Times New Roman" w:hAnsi="Times New Roman" w:eastAsia="Times New Roman" w:cs="B Lotus"/>
          <w:color w:val="1B7A3D"/>
          <w:sz w:val="28"/>
          <w:szCs w:val="28"/>
          <w:rtl/>
          <w:cs/>
          <w:lang w:bidi="fa-IR" w:val="en-US"/>
        </w:rPr>
        <w:t xml:space="preserve"> همچنان برای فهم سازگاری و سلامت روان سالمندان راهگشا است (وسترهاف</w:t>
      </w:r>
      <w:r>
        <w:rPr>
          <w:rFonts w:ascii="Times New Roman" w:hAnsi="Times New Roman" w:eastAsia="Times New Roman" w:cs="Times New Roman"/>
          <w:rStyle w:val="FootnoteReference"/>
          <w:color w:val="1B7A3D"/>
          <w:sz w:val="20"/>
          <w:szCs w:val="20"/>
          <w:vertAlign w:val="superscript"/>
          <w:rtl w:val="0"/>
          <w:cs w:val="0"/>
          <w:lang w:val="en-US"/>
        </w:rPr>
        <w:footnoteReference w:id="108"/>
      </w:r>
      <w:r>
        <w:rPr>
          <w:rFonts w:ascii="Times New Roman" w:hAnsi="Times New Roman" w:eastAsia="Times New Roman" w:cs="B Lotus"/>
          <w:color w:val="1B7A3D"/>
          <w:sz w:val="28"/>
          <w:szCs w:val="28"/>
          <w:rtl/>
          <w:cs/>
          <w:lang w:bidi="fa-IR" w:val="en-US"/>
        </w:rPr>
        <w:t>، بولمایر</w:t>
      </w:r>
      <w:r>
        <w:rPr>
          <w:rFonts w:ascii="Times New Roman" w:hAnsi="Times New Roman" w:eastAsia="Times New Roman" w:cs="Times New Roman"/>
          <w:rStyle w:val="FootnoteReference"/>
          <w:color w:val="1B7A3D"/>
          <w:sz w:val="20"/>
          <w:szCs w:val="20"/>
          <w:vertAlign w:val="superscript"/>
          <w:rtl w:val="0"/>
          <w:cs w:val="0"/>
          <w:lang w:val="en-US"/>
        </w:rPr>
        <w:footnoteReference w:id="109"/>
      </w:r>
      <w:r>
        <w:rPr>
          <w:rFonts w:ascii="Times New Roman" w:hAnsi="Times New Roman" w:eastAsia="Times New Roman" w:cs="B Lotus"/>
          <w:color w:val="1B7A3D"/>
          <w:sz w:val="28"/>
          <w:szCs w:val="28"/>
          <w:rtl/>
          <w:cs/>
          <w:lang w:bidi="fa-IR" w:val="en-US"/>
        </w:rPr>
        <w:t xml:space="preserve">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۲۰۰۶؛ رید</w:t>
      </w:r>
      <w:r>
        <w:rPr>
          <w:rFonts w:ascii="Times New Roman" w:hAnsi="Times New Roman" w:eastAsia="Times New Roman" w:cs="Times New Roman"/>
          <w:rStyle w:val="FootnoteReference"/>
          <w:color w:val="1B7A3D"/>
          <w:sz w:val="20"/>
          <w:szCs w:val="20"/>
          <w:vertAlign w:val="superscript"/>
          <w:rtl w:val="0"/>
          <w:cs w:val="0"/>
          <w:lang w:val="en-US"/>
        </w:rPr>
        <w:footnoteReference w:id="147"/>
      </w:r>
      <w:r>
        <w:rPr>
          <w:rFonts w:ascii="Times New Roman" w:hAnsi="Times New Roman" w:eastAsia="Times New Roman" w:cs="B Lotus"/>
          <w:color w:val="1B7A3D"/>
          <w:sz w:val="28"/>
          <w:szCs w:val="28"/>
          <w:rtl/>
          <w:cs/>
          <w:lang w:bidi="fa-IR" w:val="en-US"/>
        </w:rPr>
        <w:t>، چان</w:t>
      </w:r>
      <w:r>
        <w:rPr>
          <w:rFonts w:ascii="Times New Roman" w:hAnsi="Times New Roman" w:eastAsia="Times New Roman" w:cs="Times New Roman"/>
          <w:rStyle w:val="FootnoteReference"/>
          <w:color w:val="1B7A3D"/>
          <w:sz w:val="20"/>
          <w:szCs w:val="20"/>
          <w:vertAlign w:val="superscript"/>
          <w:rtl w:val="0"/>
          <w:cs w:val="0"/>
          <w:lang w:val="en-US"/>
        </w:rPr>
        <w:footnoteReference w:id="110"/>
      </w:r>
      <w:r>
        <w:rPr>
          <w:rFonts w:ascii="Times New Roman" w:hAnsi="Times New Roman" w:eastAsia="Times New Roman" w:cs="B Lotus"/>
          <w:color w:val="1B7A3D"/>
          <w:sz w:val="28"/>
          <w:szCs w:val="28"/>
          <w:rtl/>
          <w:cs/>
          <w:lang w:bidi="fa-IR" w:val="en-US"/>
        </w:rPr>
        <w:t xml:space="preserve">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۱۹۶۱؛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نیوگارتن</w:t>
      </w:r>
      <w:r>
        <w:rPr>
          <w:rFonts w:ascii="Times New Roman" w:hAnsi="Times New Roman" w:eastAsia="Times New Roman" w:cs="Times New Roman"/>
          <w:rStyle w:val="FootnoteReference"/>
          <w:sz w:val="20"/>
          <w:szCs w:val="20"/>
          <w:vertAlign w:val="superscript"/>
          <w:rtl w:val="0"/>
          <w:cs w:val="0"/>
          <w:lang w:val="en-US"/>
        </w:rPr>
        <w:footnoteReference w:id="112"/>
      </w:r>
      <w:r>
        <w:rPr>
          <w:rFonts w:ascii="Times New Roman" w:hAnsi="Times New Roman" w:eastAsia="Times New Roman" w:cs="B Lotus"/>
          <w:sz w:val="28"/>
          <w:szCs w:val="28"/>
          <w:rtl/>
          <w:cs/>
          <w:lang w:bidi="fa-IR" w:val="en-US"/>
        </w:rPr>
        <w:t xml:space="preserve">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color w:val="1B7A3D"/>
          <w:sz w:val="20"/>
          <w:szCs w:val="20"/>
          <w:vertAlign w:val="superscript"/>
          <w:rtl w:val="0"/>
          <w:cs w:val="0"/>
          <w:lang w:val="en-US"/>
        </w:rPr>
        <w:footnoteReference w:id="154"/>
      </w:r>
      <w:r>
        <w:rPr>
          <w:rFonts w:ascii="Times New Roman" w:hAnsi="Times New Roman" w:eastAsia="Times New Roman" w:cs="B Lotus"/>
          <w:color w:val="1B7A3D"/>
          <w:sz w:val="28"/>
          <w:szCs w:val="28"/>
          <w:rtl/>
          <w:cs/>
          <w:lang w:bidi="fa-IR" w:val="en-US"/>
        </w:rPr>
        <w:t xml:space="preserve">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۱۹۸۹؛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Fonts w:ascii="Times New Roman" w:hAnsi="Times New Roman" w:eastAsia="Times New Roman" w:cs="Times New Roman"/>
          <w:rStyle w:val="FootnoteReference"/>
          <w:color w:val="1B7A3D"/>
          <w:sz w:val="20"/>
          <w:szCs w:val="20"/>
          <w:vertAlign w:val="superscript"/>
          <w:rtl w:val="0"/>
          <w:cs w:val="0"/>
          <w:lang w:val="en-US"/>
        </w:rPr>
        <w:footnoteReference w:id="25"/>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hAnsi="Times New Roman" w:hint="cs"/>
          <w:lang w:bidi="fa-IR"/>
          <w:rtl/>
        </w:rPr>
        <w:t xml:space="preserve"> ۱۹۲۰).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پژوهش‌های متأخر کمتر از تبیین کاملاً ناهشیار فروید</w:t>
      </w:r>
      <w:r>
        <w:rPr>
          <w:rFonts w:ascii="Times New Roman" w:hAnsi="Times New Roman" w:eastAsia="Times New Roman" w:cs="Times New Roman"/>
          <w:rStyle w:val="FootnoteReference"/>
          <w:color w:val="1B7A3D"/>
          <w:sz w:val="20"/>
          <w:szCs w:val="20"/>
          <w:vertAlign w:val="superscript"/>
          <w:rtl w:val="0"/>
          <w:cs w:val="0"/>
          <w:lang w:val="en-US"/>
        </w:rPr>
        <w:footnoteReference w:id="42"/>
      </w:r>
      <w:r>
        <w:rPr>
          <w:rFonts w:ascii="Times New Roman" w:hAnsi="Times New Roman" w:eastAsia="Times New Roman" w:cs="B Lotus"/>
          <w:color w:val="1B7A3D"/>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eastAsia="Times New Roman" w:cs="Times New Roman"/>
          <w:rStyle w:val="FootnoteReference"/>
          <w:sz w:val="20"/>
          <w:szCs w:val="20"/>
          <w:vertAlign w:val="superscript"/>
          <w:rtl w:val="0"/>
          <w:cs w:val="0"/>
          <w:lang w:val="en-US"/>
        </w:rPr>
        <w:footnoteReference w:id="43"/>
      </w:r>
      <w:r>
        <w:rPr>
          <w:rFonts w:ascii="Times New Roman" w:hAnsi="Times New Roman" w:hint="cs"/>
          <w:lang w:bidi="fa-IR"/>
          <w:rtl/>
        </w:rPr>
        <w:t xml:space="preserve"> ۱۹۸۰).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رویکردهای وجودی معاصر همچنان بر چهار دغدغه یالوم</w:t>
      </w:r>
      <w:r>
        <w:rPr>
          <w:rFonts w:ascii="Times New Roman" w:hAnsi="Times New Roman" w:eastAsia="Times New Roman" w:cs="Times New Roman"/>
          <w:rStyle w:val="FootnoteReference"/>
          <w:color w:val="1B7A3D"/>
          <w:sz w:val="20"/>
          <w:szCs w:val="20"/>
          <w:vertAlign w:val="superscript"/>
          <w:rtl w:val="0"/>
          <w:cs w:val="0"/>
          <w:lang w:val="en-US"/>
        </w:rPr>
        <w:footnoteReference w:id="43"/>
      </w:r>
      <w:r>
        <w:rPr>
          <w:rFonts w:ascii="Times New Roman" w:hAnsi="Times New Roman" w:eastAsia="Times New Roman" w:cs="B Lotus"/>
          <w:color w:val="1B7A3D"/>
          <w:sz w:val="28"/>
          <w:szCs w:val="28"/>
          <w:rtl/>
          <w:cs/>
          <w:lang w:bidi="fa-IR" w:val="en-US"/>
        </w:rPr>
        <w:t xml:space="preserve">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w:t>
      </w:r>
      <w:r>
        <w:rPr>
          <w:rFonts w:ascii="Times New Roman" w:hAnsi="Times New Roman" w:eastAsia="Times New Roman" w:cs="Times New Roman"/>
          <w:rStyle w:val="FootnoteReference"/>
          <w:sz w:val="20"/>
          <w:szCs w:val="20"/>
          <w:vertAlign w:val="superscript"/>
          <w:rtl w:val="0"/>
          <w:cs w:val="0"/>
          <w:lang w:val="en-US"/>
        </w:rPr>
        <w:footnoteReference w:id="45"/>
      </w:r>
      <w:r>
        <w:rPr>
          <w:rFonts w:ascii="Times New Roman" w:hAnsi="Times New Roman" w:hint="cs"/>
          <w:lang w:bidi="fa-IR"/>
          <w:rtl/>
        </w:rPr>
        <w:t xml:space="preserve"> و همکاران،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eastAsia="Times New Roman" w:cs="Times New Roman"/>
          <w:rStyle w:val="FootnoteReference"/>
          <w:sz w:val="20"/>
          <w:szCs w:val="20"/>
          <w:vertAlign w:val="superscript"/>
          <w:rtl w:val="0"/>
          <w:cs w:val="0"/>
          <w:lang w:val="en-US"/>
        </w:rPr>
        <w:footnoteReference w:id="113"/>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wp:inline distT="0" distB="0" distL="0" distR="0">
            <wp:extent cx="5669280" cy="3246120"/>
            <wp:effectExtent l="0" t="0" r="0" b="0"/>
            <wp:docPr id="22"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hAnsi="Times New Roman" w:eastAsia="Times New Roman" w:cs="Times New Roman"/>
          <w:rStyle w:val="FootnoteReference"/>
          <w:sz w:val="20"/>
          <w:szCs w:val="20"/>
          <w:vertAlign w:val="superscript"/>
          <w:rtl w:val="0"/>
          <w:cs w:val="0"/>
          <w:lang w:val="en-US"/>
        </w:rPr>
        <w:footnoteReference w:id="114"/>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بسیار دور، همیشه این سؤال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است. در این بخش سعی می گردد تبیین های نظری گوناگون در این خصوص و نیز پژوهش های صورت گرفته، بررسی شود.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در اوایل قرن بیستم مطالعه در مورد هوش معنوی شروع به شکل گیری کرد. ویلیام 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را تجربه کرد، قابل پذیرش نیست. با این حال، مطالعات بسیاری نشان دادند که می توان تحت بدترین شرایط نیز هوش معنوی را تجربه کرد.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نظریه 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معناجویی افراد در زندگی تأکید دارد. او معتقد است، که رفتار انسانها نه بر پایه لذت گرایی نظریه روانکاوی 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و نه بر پایه نظریه قدرت طلبی 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می‌داند(فرانکل،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۱- 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۴- 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۵- 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۶- 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۱- سلامت معنوی کامل نشانگانی است که ترکیبی از حضور سطوح بالایی از نشانه های بهزیستی هیجانی،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۲- </w:t>
      </w:r>
      <w:r>
        <w:rPr>
          <w:rFonts w:ascii="Times New Roman" w:eastAsia="Times New Roman" w:hAnsi="Times New Roman" w:hint="cs"/>
          <w:lang w:bidi="fa-IR"/>
          <w:rtl/>
        </w:rPr>
        <w:t xml:space="preserve">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۳- </w:t>
      </w:r>
      <w:r>
        <w:rPr>
          <w:rFonts w:ascii="Times New Roman" w:eastAsia="Times New Roman" w:hAnsi="Times New Roman" w:hint="cs"/>
          <w:lang w:bidi="fa-IR"/>
          <w:rtl/>
        </w:rPr>
        <w:t xml:space="preserve">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color w:val="1B7A3D"/>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color w:val="1B7A3D"/>
          <w:sz w:val="20"/>
          <w:szCs w:val="20"/>
          <w:vertAlign w:val="superscript"/>
          <w:rtl w:val="0"/>
          <w:cs w:val="0"/>
          <w:lang w:val="en-US"/>
        </w:rPr>
        <w:footnoteReference w:id="67"/>
      </w:r>
      <w:r>
        <w:rPr>
          <w:rFonts w:ascii="Times New Roman" w:hAnsi="Times New Roman" w:eastAsia="Times New Roman" w:cs="B Lotus"/>
          <w:color w:val="1B7A3D"/>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شکوفایی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color w:val="auto"/>
        </w:rPr>
        <w:t xml:space="preserve">کیفیت زندگی مطلوب، همواره آرزوی بشر بوده و هست. در ابتدا رفاه و طول عمر بیشتر، معنی کیفیت زندگی بهتر را داشت. اما امروزه کیفیت زندگی در نقطه مقابل کمیت، قرار گرفته و با توجه به ابعاد گسترده سلامتی، تعریف می شود و منظور از آن سال هایی از عمر است که همراه با رضایت، شادمانی و لذت بخشی باشد. کیفیت زندگی مفهومی پویا و وسیعتر از سلامتی است بر طبق مدل سلامتی، کیفیت زندگی مطلوب باید چند بعد فیزیکی، خلقی-معنوی، اجتماعی، معنوی و شغلی را در بر گیرد.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 گسترش اختلال های معنوی را به حساب سبک های زندگی معیوب و کیفیت نازل زندگی افراد گذاشت و در درمان باید به دنبال اصلاح و تغییر در کیفیت زندگی و 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از لحاظ تاریخی فلاسفه در تئوری های اخلاق به خصوص رویکردهای لذت گرایانه اپیکوری به طور گسترده به مفهوم شادمانی و هوش پرداخته اند. اما برای اولین بار در سال ۱۹۸۰ 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روش‌مند در حوزه روان شناسی بررسی کرد و آن را جایگزین و مترادف شادمانی قرار داد.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بعد هوش روان شناختی، تمایز 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"تأکید می کنند (ریف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hAnsi="Times New Roman" w:eastAsia="Times New Roman" w:cs="Times New Roman"/>
          <w:rStyle w:val="FootnoteReference"/>
          <w:sz w:val="20"/>
          <w:szCs w:val="20"/>
          <w:vertAlign w:val="superscript"/>
          <w:rtl w:val="0"/>
          <w:cs w:val="0"/>
          <w:lang w:val="en-US"/>
        </w:rPr>
        <w:footnoteReference w:id="117"/>
      </w:r>
      <w:r>
        <w:rPr>
          <w:rFonts w:ascii="Times New Roman" w:eastAsia="Times New Roman" w:hAnsi="Times New Roman" w:hint="cs"/>
          <w:lang w:bidi="fa-IR"/>
          <w:rtl/>
        </w:rPr>
        <w:t>، ۲۰۰۹؛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eastAsia="Times New Roman" w:hAnsi="Times New Roman" w:hint="cs"/>
          <w:lang w:bidi="fa-IR"/>
          <w:rtl/>
        </w:rPr>
        <w:t>،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pPr>
        <w:jc w:val="center"/>
        <w:bidi w:val="0"/>
      </w:pPr>
      <w:r>
        <w:drawing>
          <wp:inline distT="0" distB="0" distL="0" distR="0">
            <wp:extent cx="5669280" cy="3154680"/>
            <wp:effectExtent l="0" t="0" r="0" b="0"/>
            <wp:docPr id="23"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w:t>
      </w:r>
    </w:p>
    <w:p>
      <w:pPr>
        <w:spacing w:after="0" w:line="276" w:lineRule="auto"/>
        <w:ind w:firstLine="397"/>
        <w:jc w:val="both"/>
        <w:rPr>
          <w:color w:val="auto"/>
          <w:lang w:bidi="fa-IR"/>
        </w:rPr>
      </w:pPr>
      <w:r>
        <w:rPr>
          <w:rFonts w:ascii="Times New Roman" w:hAnsi="Times New Roman" w:hint="cs"/>
          <w:lang w:bidi="fa-IR"/>
          <w:rtl/>
        </w:rPr>
        <w:t xml:space="preserve">۱- </w:t>
      </w:r>
      <w:r>
        <w:rPr>
          <w:rFonts w:ascii="Times New Roman" w:hAnsi="Times New Roman" w:hint="cs"/>
          <w:lang w:bidi="fa-IR"/>
          <w:rtl/>
        </w:rPr>
        <w:t xml:space="preserve">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w:t>
      </w:r>
    </w:p>
    <w:p>
      <w:pPr>
        <w:spacing w:after="0" w:line="276" w:lineRule="auto"/>
        <w:ind w:firstLine="397"/>
        <w:jc w:val="both"/>
        <w:rPr>
          <w:color w:val="auto"/>
          <w:lang w:bidi="fa-IR"/>
        </w:rPr>
      </w:pPr>
      <w:r>
        <w:rPr>
          <w:rFonts w:ascii="Times New Roman" w:hAnsi="Times New Roman" w:hint="cs"/>
          <w:lang w:bidi="fa-IR"/>
          <w:rtl/>
        </w:rPr>
        <w:t xml:space="preserve">۲- </w:t>
      </w:r>
      <w:r>
        <w:rPr>
          <w:rFonts w:ascii="Times New Roman" w:hAnsi="Times New Roman" w:hint="cs"/>
          <w:lang w:bidi="fa-IR"/>
          <w:rtl/>
        </w:rPr>
        <w:t xml:space="preserve">بعد هیجانی شامل ترس، نگرانی و اضطراب ناشی از احتمال بیماری است؛ و </w:t>
      </w:r>
    </w:p>
    <w:p>
      <w:pPr>
        <w:spacing w:after="0" w:line="276" w:lineRule="auto"/>
        <w:ind w:firstLine="397"/>
        <w:jc w:val="both"/>
        <w:rPr>
          <w:color w:val="auto"/>
          <w:lang w:bidi="fa-IR"/>
        </w:rPr>
      </w:pPr>
      <w:r>
        <w:rPr>
          <w:rFonts w:ascii="Times New Roman" w:hAnsi="Times New Roman" w:hint="cs"/>
          <w:lang w:bidi="fa-IR"/>
          <w:rtl/>
        </w:rPr>
        <w:t xml:space="preserve">۳- </w:t>
      </w:r>
      <w:r>
        <w:rPr>
          <w:rFonts w:ascii="Times New Roman" w:hAnsi="Times New Roman" w:hint="cs"/>
          <w:lang w:bidi="fa-IR"/>
          <w:rtl/>
        </w:rPr>
        <w:t xml:space="preserve">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w:t>
      </w:r>
    </w:p>
    <w:p>
      <w:pPr>
        <w:spacing w:after="0" w:line="276" w:lineRule="auto"/>
        <w:ind w:firstLine="397"/>
        <w:jc w:val="both"/>
        <w:rPr>
          <w:color w:val="auto"/>
          <w:lang w:bidi="fa-IR"/>
        </w:rPr>
      </w:pPr>
      <w:r>
        <w:rPr>
          <w:rFonts w:ascii="Times New Roman" w:hAnsi="Times New Roman" w:hint="cs"/>
          <w:lang w:bidi="fa-IR"/>
          <w:rtl/>
        </w:rPr>
        <w:t xml:space="preserve">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eastAsia="Times New Roman" w:cs="Times New Roman"/>
          <w:rStyle w:val="FootnoteReference"/>
          <w:sz w:val="20"/>
          <w:szCs w:val="20"/>
          <w:vertAlign w:val="superscript"/>
          <w:rtl w:val="0"/>
          <w:cs w:val="0"/>
          <w:lang w:val="en-US"/>
        </w:rPr>
        <w:footnoteReference w:id="133"/>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eastAsia="Times New Roman" w:cs="Times New Roman"/>
          <w:rStyle w:val="FootnoteReference"/>
          <w:sz w:val="20"/>
          <w:szCs w:val="20"/>
          <w:vertAlign w:val="superscript"/>
          <w:rtl w:val="0"/>
          <w:cs w:val="0"/>
          <w:lang w:val="en-US"/>
        </w:rPr>
        <w:footnoteReference w:id="134"/>
      </w:r>
      <w:r>
        <w:rPr>
          <w:rFonts w:ascii="Times New Roman" w:hAnsi="Times New Roman" w:hint="cs"/>
          <w:lang w:bidi="fa-IR"/>
          <w:rtl/>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Fonts w:ascii="Times New Roman" w:hAnsi="Times New Roman" w:eastAsia="Times New Roman" w:cs="Times New Roman"/>
          <w:rStyle w:val="FootnoteReference"/>
          <w:color w:val="1B7A3D"/>
          <w:sz w:val="20"/>
          <w:szCs w:val="20"/>
          <w:vertAlign w:val="superscript"/>
          <w:rtl w:val="0"/>
          <w:cs w:val="0"/>
          <w:lang w:val="en-US"/>
        </w:rPr>
        <w:footnoteReference w:id="71"/>
      </w:r>
      <w:r>
        <w:rPr>
          <w:rFonts w:ascii="Times New Roman" w:hAnsi="Times New Roman" w:eastAsia="Times New Roman" w:cs="B Lotus"/>
          <w:color w:val="1B7A3D"/>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73"/>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۲۰۲۲؛ کیکاس</w:t>
      </w:r>
      <w:r>
        <w:rPr>
          <w:rFonts w:ascii="Times New Roman" w:hAnsi="Times New Roman" w:eastAsia="Times New Roman" w:cs="Times New Roman"/>
          <w:rStyle w:val="FootnoteReference"/>
          <w:color w:val="1B7A3D"/>
          <w:sz w:val="20"/>
          <w:szCs w:val="20"/>
          <w:vertAlign w:val="superscript"/>
          <w:rtl w:val="0"/>
          <w:cs w:val="0"/>
          <w:lang w:val="en-US"/>
        </w:rPr>
        <w:footnoteReference w:id="139"/>
      </w:r>
      <w:r>
        <w:rPr>
          <w:rFonts w:ascii="Times New Roman" w:hAnsi="Times New Roman" w:eastAsia="Times New Roman" w:cs="B Lotus"/>
          <w:color w:val="1B7A3D"/>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76"/>
      </w:r>
      <w:r>
        <w:rPr>
          <w:rFonts w:ascii="Times New Roman" w:hAnsi="Times New Roman" w:eastAsia="Times New Roman" w:cs="B Lotus"/>
          <w:color w:val="1B7A3D"/>
          <w:sz w:val="28"/>
          <w:szCs w:val="28"/>
          <w:rtl/>
          <w:cs/>
          <w:lang w:bidi="fa-IR" w:val="en-US"/>
        </w:rPr>
        <w:t xml:space="preserve"> و برادوک</w:t>
      </w:r>
      <w:r>
        <w:rPr>
          <w:rFonts w:ascii="Times New Roman" w:hAnsi="Times New Roman" w:eastAsia="Times New Roman" w:cs="Times New Roman"/>
          <w:rStyle w:val="FootnoteReference"/>
          <w:color w:val="1B7A3D"/>
          <w:sz w:val="20"/>
          <w:szCs w:val="20"/>
          <w:vertAlign w:val="superscript"/>
          <w:rtl w:val="0"/>
          <w:cs w:val="0"/>
          <w:lang w:val="en-US"/>
        </w:rPr>
        <w:footnoteReference w:id="116"/>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۲۰۲۳؛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eastAsia="Times New Roman" w:cs="Times New Roman"/>
          <w:rStyle w:val="FootnoteReference"/>
          <w:sz w:val="20"/>
          <w:szCs w:val="20"/>
          <w:vertAlign w:val="superscript"/>
          <w:rtl w:val="0"/>
          <w:cs w:val="0"/>
          <w:lang w:val="en-US"/>
        </w:rPr>
        <w:footnoteReference w:id="135"/>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eastAsia="Times New Roman" w:cs="Times New Roman"/>
          <w:rStyle w:val="FootnoteReference"/>
          <w:sz w:val="20"/>
          <w:szCs w:val="20"/>
          <w:vertAlign w:val="superscript"/>
          <w:rtl w:val="0"/>
          <w:cs w:val="0"/>
          <w:lang w:val="en-US"/>
        </w:rPr>
        <w:footnoteReference w:id="136"/>
      </w:r>
      <w:r>
        <w:rPr>
          <w:rFonts w:ascii="Times New Roman" w:hAnsi="Times New Roman" w:hint="cs"/>
          <w:lang w:bidi="fa-IR"/>
          <w:rtl/>
        </w:rPr>
        <w:t>، ۲۰۱۹).</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eastAsia="Times New Roman" w:cs="Times New Roman"/>
          <w:rStyle w:val="FootnoteReference"/>
          <w:sz w:val="20"/>
          <w:szCs w:val="20"/>
          <w:vertAlign w:val="superscript"/>
          <w:rtl w:val="0"/>
          <w:cs w:val="0"/>
          <w:lang w:val="en-US"/>
        </w:rPr>
        <w:footnoteReference w:id="137"/>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eastAsia="Times New Roman" w:cs="Times New Roman"/>
          <w:rStyle w:val="FootnoteReference"/>
          <w:sz w:val="20"/>
          <w:szCs w:val="20"/>
          <w:vertAlign w:val="superscript"/>
          <w:rtl w:val="0"/>
          <w:cs w:val="0"/>
          <w:lang w:val="en-US"/>
        </w:rPr>
        <w:footnoteReference w:id="138"/>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Fonts w:ascii="Times New Roman" w:hAnsi="Times New Roman" w:eastAsia="Times New Roman" w:cs="Times New Roman"/>
          <w:rStyle w:val="FootnoteReference"/>
          <w:color w:val="1B7A3D"/>
          <w:sz w:val="20"/>
          <w:szCs w:val="20"/>
          <w:vertAlign w:val="superscript"/>
          <w:rtl w:val="0"/>
          <w:cs w:val="0"/>
          <w:lang w:val="en-US"/>
        </w:rPr>
        <w:footnoteReference w:id="137"/>
      </w:r>
      <w:r>
        <w:rPr>
          <w:rFonts w:ascii="Times New Roman" w:hAnsi="Times New Roman" w:eastAsia="Times New Roman" w:cs="B Lotus"/>
          <w:color w:val="1B7A3D"/>
          <w:sz w:val="28"/>
          <w:szCs w:val="28"/>
          <w:rtl/>
          <w:cs/>
          <w:lang w:bidi="fa-IR" w:val="en-US"/>
        </w:rPr>
        <w:t xml:space="preserve"> و ایشیک</w:t>
      </w:r>
      <w:r>
        <w:rPr>
          <w:rFonts w:ascii="Times New Roman" w:hAnsi="Times New Roman" w:eastAsia="Times New Roman" w:cs="Times New Roman"/>
          <w:rStyle w:val="FootnoteReference"/>
          <w:color w:val="1B7A3D"/>
          <w:sz w:val="20"/>
          <w:szCs w:val="20"/>
          <w:vertAlign w:val="superscript"/>
          <w:rtl w:val="0"/>
          <w:cs w:val="0"/>
          <w:lang w:val="en-US"/>
        </w:rPr>
        <w:footnoteReference w:id="13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eastAsia="Times New Roman" w:cs="Times New Roman"/>
          <w:rStyle w:val="FootnoteReference"/>
          <w:sz w:val="20"/>
          <w:szCs w:val="20"/>
          <w:vertAlign w:val="superscript"/>
          <w:rtl w:val="0"/>
          <w:cs w:val="0"/>
          <w:lang w:val="en-US"/>
        </w:rPr>
        <w:footnoteReference w:id="131"/>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eastAsia="Times New Roman" w:cs="Times New Roman"/>
          <w:rStyle w:val="FootnoteReference"/>
          <w:sz w:val="20"/>
          <w:szCs w:val="20"/>
          <w:vertAlign w:val="superscript"/>
          <w:rtl w:val="0"/>
          <w:cs w:val="0"/>
          <w:lang w:val="en-US"/>
        </w:rPr>
        <w:footnoteReference w:id="132"/>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eastAsia="Times New Roman" w:cs="Times New Roman"/>
          <w:rStyle w:val="FootnoteReference"/>
          <w:sz w:val="20"/>
          <w:szCs w:val="20"/>
          <w:vertAlign w:val="superscript"/>
          <w:rtl w:val="0"/>
          <w:cs w:val="0"/>
          <w:lang w:val="en-US"/>
        </w:rPr>
        <w:footnoteReference w:id="115"/>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شفیعی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eastAsia="Times New Roman" w:cs="Times New Roman"/>
          <w:rStyle w:val="FootnoteReference"/>
          <w:sz w:val="20"/>
          <w:szCs w:val="20"/>
          <w:vertAlign w:val="superscript"/>
          <w:rtl w:val="0"/>
          <w:cs w:val="0"/>
          <w:lang w:val="en-US"/>
        </w:rPr>
        <w:footnoteReference w:id="116"/>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eastAsia="Times New Roman" w:cs="Times New Roman"/>
          <w:rStyle w:val="FootnoteReference"/>
          <w:sz w:val="20"/>
          <w:szCs w:val="20"/>
          <w:vertAlign w:val="superscript"/>
          <w:rtl w:val="0"/>
          <w:cs w:val="0"/>
          <w:lang w:val="en-US"/>
        </w:rPr>
        <w:footnoteReference w:id="146"/>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88"/>
      </w:r>
      <w:r>
        <w:rPr>
          <w:rFonts w:ascii="Times New Roman" w:hAnsi="Times New Roman" w:hint="cs"/>
          <w:lang w:bidi="fa-IR"/>
          <w:rtl/>
        </w:rPr>
        <w:t>،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xml:space="preserve">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w:t>
      </w:r>
      <w:r>
        <w:rPr>
          <w:rFonts w:ascii="Times New Roman" w:hAnsi="Times New Roman" w:eastAsia="Times New Roman" w:cs="Times New Roman"/>
          <w:rStyle w:val="FootnoteReference"/>
          <w:sz w:val="20"/>
          <w:szCs w:val="20"/>
          <w:vertAlign w:val="superscript"/>
          <w:rtl w:val="0"/>
          <w:cs w:val="0"/>
          <w:lang w:val="en-US"/>
        </w:rPr>
        <w:footnoteReference w:id="150"/>
      </w:r>
      <w:r>
        <w:rPr>
          <w:rFonts w:ascii="Times New Roman" w:eastAsia="Times New Roman" w:hAnsi="Times New Roman" w:hint="cs"/>
          <w:lang w:bidi="fa-IR"/>
          <w:rtl/>
        </w:rPr>
        <w:t xml:space="preserve">، </w:t>
      </w:r>
      <w:r>
        <w:rPr>
          <w:rFonts w:ascii="Times New Roman" w:eastAsia="Times New Roman" w:hAnsi="Times New Roman" w:hint="cs"/>
          <w:lang w:bidi="fa-IR"/>
          <w:rtl/>
        </w:rPr>
        <w:t>یانگ</w:t>
      </w:r>
      <w:r>
        <w:rPr>
          <w:rFonts w:ascii="Times New Roman" w:hAnsi="Times New Roman" w:eastAsia="Times New Roman" w:cs="Times New Roman"/>
          <w:rStyle w:val="FootnoteReference"/>
          <w:sz w:val="20"/>
          <w:szCs w:val="20"/>
          <w:vertAlign w:val="superscript"/>
          <w:rtl w:val="0"/>
          <w:cs w:val="0"/>
          <w:lang w:val="en-US"/>
        </w:rPr>
        <w:footnoteReference w:id="140"/>
      </w:r>
      <w:r>
        <w:rPr>
          <w:rFonts w:ascii="Times New Roman" w:eastAsia="Times New Roman" w:hAnsi="Times New Roman" w:hint="cs"/>
          <w:lang w:bidi="fa-IR"/>
          <w:rtl/>
        </w:rPr>
        <w:t xml:space="preserve"> و ما</w:t>
      </w:r>
      <w:r>
        <w:rPr>
          <w:rFonts w:ascii="Times New Roman" w:hAnsi="Times New Roman" w:eastAsia="Times New Roman" w:cs="Times New Roman"/>
          <w:rStyle w:val="FootnoteReference"/>
          <w:sz w:val="20"/>
          <w:szCs w:val="20"/>
          <w:vertAlign w:val="superscript"/>
          <w:rtl w:val="0"/>
          <w:cs w:val="0"/>
          <w:lang w:val="en-US"/>
        </w:rPr>
        <w:footnoteReference w:id="151"/>
      </w:r>
      <w:r>
        <w:rPr>
          <w:rFonts w:ascii="Times New Roman" w:eastAsia="Times New Roman" w:hAnsi="Times New Roman" w:hint="cs"/>
          <w:lang w:bidi="fa-IR"/>
          <w:rtl/>
        </w:rPr>
        <w:t xml:space="preserve">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w:t>
      </w:r>
      <w:r>
        <w:rPr>
          <w:rFonts w:ascii="Times New Roman" w:hAnsi="Times New Roman" w:eastAsia="Times New Roman" w:cs="Times New Roman"/>
          <w:rStyle w:val="FootnoteReference"/>
          <w:sz w:val="20"/>
          <w:szCs w:val="20"/>
          <w:vertAlign w:val="superscript"/>
          <w:rtl w:val="0"/>
          <w:cs w:val="0"/>
          <w:lang w:val="en-US"/>
        </w:rPr>
        <w:footnoteReference w:id="141"/>
      </w:r>
      <w:r>
        <w:rPr>
          <w:rFonts w:ascii="Times New Roman" w:eastAsia="Times New Roman" w:hAnsi="Times New Roman" w:hint="cs"/>
          <w:lang w:bidi="fa-IR"/>
          <w:rtl/>
        </w:rPr>
        <w:t xml:space="preserve">، </w:t>
      </w:r>
      <w:r>
        <w:rPr>
          <w:rFonts w:ascii="Times New Roman" w:eastAsia="Times New Roman" w:hAnsi="Times New Roman" w:hint="cs"/>
          <w:lang w:bidi="fa-IR"/>
          <w:rtl/>
        </w:rPr>
        <w:t>رحمه</w:t>
      </w:r>
      <w:r>
        <w:rPr>
          <w:rFonts w:ascii="Times New Roman" w:hAnsi="Times New Roman" w:eastAsia="Times New Roman" w:cs="Times New Roman"/>
          <w:rStyle w:val="FootnoteReference"/>
          <w:sz w:val="20"/>
          <w:szCs w:val="20"/>
          <w:vertAlign w:val="superscript"/>
          <w:rtl w:val="0"/>
          <w:cs w:val="0"/>
          <w:lang w:val="en-US"/>
        </w:rPr>
        <w:footnoteReference w:id="142"/>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hAnsi="Times New Roman" w:eastAsia="Times New Roman" w:cs="Times New Roman"/>
          <w:rStyle w:val="FootnoteReference"/>
          <w:sz w:val="20"/>
          <w:szCs w:val="20"/>
          <w:vertAlign w:val="superscript"/>
          <w:rtl w:val="0"/>
          <w:cs w:val="0"/>
          <w:lang w:val="en-US"/>
        </w:rPr>
        <w:footnoteReference w:id="143"/>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hAnsi="Times New Roman" w:eastAsia="Times New Roman" w:cs="Times New Roman"/>
          <w:rStyle w:val="FootnoteReference"/>
          <w:sz w:val="20"/>
          <w:szCs w:val="20"/>
          <w:vertAlign w:val="superscript"/>
          <w:rtl w:val="0"/>
          <w:cs w:val="0"/>
          <w:lang w:val="en-US"/>
        </w:rPr>
        <w:footnoteReference w:id="144"/>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hAnsi="Times New Roman" w:eastAsia="Times New Roman" w:cs="Times New Roman"/>
          <w:rStyle w:val="FootnoteReference"/>
          <w:sz w:val="20"/>
          <w:szCs w:val="20"/>
          <w:vertAlign w:val="superscript"/>
          <w:rtl w:val="0"/>
          <w:cs w:val="0"/>
          <w:lang w:val="en-US"/>
        </w:rPr>
        <w:footnoteReference w:id="145"/>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w:t>
      </w:r>
      <w:r>
        <w:rPr>
          <w:rFonts w:ascii="Times New Roman" w:hAnsi="Times New Roman" w:eastAsia="Times New Roman" w:cs="Times New Roman"/>
          <w:rStyle w:val="FootnoteReference"/>
          <w:sz w:val="20"/>
          <w:szCs w:val="20"/>
          <w:vertAlign w:val="superscript"/>
          <w:rtl w:val="0"/>
          <w:cs w:val="0"/>
          <w:lang w:val="en-US"/>
        </w:rPr>
        <w:footnoteReference w:id="148"/>
      </w:r>
      <w:r>
        <w:rPr>
          <w:rFonts w:ascii="Times New Roman" w:eastAsia="Times New Roman" w:hAnsi="Times New Roman" w:hint="cs"/>
          <w:lang w:bidi="fa-IR"/>
          <w:rtl/>
        </w:rPr>
        <w:t xml:space="preserve">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hAnsi="Times New Roman" w:eastAsia="Times New Roman" w:cs="Times New Roman"/>
          <w:rStyle w:val="FootnoteReference"/>
          <w:sz w:val="20"/>
          <w:szCs w:val="20"/>
          <w:vertAlign w:val="superscript"/>
          <w:rtl w:val="0"/>
          <w:cs w:val="0"/>
          <w:lang w:val="en-US"/>
        </w:rPr>
        <w:footnoteReference w:id="119"/>
      </w:r>
      <w:r>
        <w:rPr>
          <w:rFonts w:ascii="Times New Roman" w:eastAsia="Times New Roman" w:hAnsi="Times New Roman" w:hint="cs"/>
          <w:lang w:bidi="fa-IR"/>
          <w:rtl/>
        </w:rPr>
        <w:t xml:space="preserve"> و دهان</w:t>
      </w:r>
      <w:r>
        <w:rPr>
          <w:rFonts w:ascii="Times New Roman" w:hAnsi="Times New Roman" w:eastAsia="Times New Roman" w:cs="Times New Roman"/>
          <w:rStyle w:val="FootnoteReference"/>
          <w:sz w:val="20"/>
          <w:szCs w:val="20"/>
          <w:vertAlign w:val="superscript"/>
          <w:rtl w:val="0"/>
          <w:cs w:val="0"/>
          <w:lang w:val="en-US"/>
        </w:rPr>
        <w:footnoteReference w:id="120"/>
      </w:r>
      <w:r>
        <w:rPr>
          <w:rFonts w:ascii="Times New Roman" w:eastAsia="Times New Roman" w:hAnsi="Times New Roman" w:hint="cs"/>
          <w:lang w:bidi="fa-IR"/>
          <w:rtl/>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w:t>
      </w:r>
      <w:r>
        <w:rPr>
          <w:rFonts w:ascii="Times New Roman" w:hAnsi="Times New Roman" w:eastAsia="Times New Roman" w:cs="Times New Roman"/>
          <w:rStyle w:val="FootnoteReference"/>
          <w:sz w:val="20"/>
          <w:szCs w:val="20"/>
          <w:vertAlign w:val="superscript"/>
          <w:rtl w:val="0"/>
          <w:cs w:val="0"/>
          <w:lang w:val="en-US"/>
        </w:rPr>
        <w:footnoteReference w:id="149"/>
      </w:r>
      <w:r>
        <w:rPr>
          <w:rFonts w:ascii="Times New Roman" w:eastAsia="Times New Roman" w:hAnsi="Times New Roman" w:hint="cs"/>
          <w:lang w:bidi="fa-IR"/>
          <w:rtl/>
        </w:rPr>
        <w:t xml:space="preserve"> و جورج</w:t>
      </w:r>
      <w:r>
        <w:rPr>
          <w:rFonts w:ascii="Times New Roman" w:hAnsi="Times New Roman" w:eastAsia="Times New Roman" w:cs="Times New Roman"/>
          <w:rStyle w:val="FootnoteReference"/>
          <w:sz w:val="20"/>
          <w:szCs w:val="20"/>
          <w:vertAlign w:val="superscript"/>
          <w:rtl w:val="0"/>
          <w:cs w:val="0"/>
          <w:lang w:val="en-US"/>
        </w:rPr>
        <w:footnoteReference w:id="129"/>
      </w:r>
      <w:r>
        <w:rPr>
          <w:rFonts w:ascii="Times New Roman" w:eastAsia="Times New Roman" w:hAnsi="Times New Roman" w:hint="cs"/>
          <w:lang w:bidi="fa-IR"/>
          <w:rtl/>
        </w:rPr>
        <w:t xml:space="preserve">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hAnsi="Times New Roman" w:eastAsia="Times New Roman" w:cs="Times New Roman"/>
          <w:rStyle w:val="FootnoteReference"/>
          <w:sz w:val="20"/>
          <w:szCs w:val="20"/>
          <w:vertAlign w:val="superscript"/>
          <w:rtl w:val="0"/>
          <w:cs w:val="0"/>
          <w:lang w:val="en-US"/>
        </w:rPr>
        <w:footnoteReference w:id="127"/>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w:t>
      </w:r>
      <w:r>
        <w:rPr>
          <w:rFonts w:ascii="Times New Roman" w:hAnsi="Times New Roman" w:eastAsia="Times New Roman" w:cs="Times New Roman"/>
          <w:rStyle w:val="FootnoteReference"/>
          <w:sz w:val="20"/>
          <w:szCs w:val="20"/>
          <w:vertAlign w:val="superscript"/>
          <w:rtl w:val="0"/>
          <w:cs w:val="0"/>
          <w:lang w:val="en-US"/>
        </w:rPr>
        <w:footnoteReference w:id="128"/>
      </w:r>
      <w:r>
        <w:rPr>
          <w:rFonts w:ascii="Times New Roman" w:eastAsia="Times New Roman" w:hAnsi="Times New Roman" w:hint="cs"/>
          <w:lang w:bidi="fa-IR"/>
          <w:rtl/>
        </w:rPr>
        <w:t xml:space="preserve">(۲۰۱۰)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hAnsi="Times New Roman" w:eastAsia="Times New Roman" w:cs="Times New Roman"/>
          <w:rStyle w:val="FootnoteReference"/>
          <w:sz w:val="20"/>
          <w:szCs w:val="20"/>
          <w:vertAlign w:val="superscript"/>
          <w:rtl w:val="0"/>
          <w:cs w:val="0"/>
          <w:lang w:val="en-US"/>
        </w:rPr>
        <w:footnoteReference w:id="121"/>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hAnsi="Times New Roman" w:eastAsia="Times New Roman" w:cs="Times New Roman"/>
          <w:rStyle w:val="FootnoteReference"/>
          <w:sz w:val="20"/>
          <w:szCs w:val="20"/>
          <w:vertAlign w:val="superscript"/>
          <w:rtl w:val="0"/>
          <w:cs w:val="0"/>
          <w:lang w:val="en-US"/>
        </w:rPr>
        <w:footnoteReference w:id="122"/>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hAnsi="Times New Roman" w:eastAsia="Times New Roman" w:cs="Times New Roman"/>
          <w:rStyle w:val="FootnoteReference"/>
          <w:sz w:val="20"/>
          <w:szCs w:val="20"/>
          <w:vertAlign w:val="superscript"/>
          <w:rtl w:val="0"/>
          <w:cs w:val="0"/>
          <w:lang w:val="en-US"/>
        </w:rPr>
        <w:footnoteReference w:id="118"/>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hAnsi="Times New Roman" w:eastAsia="Times New Roman" w:cs="Times New Roman"/>
          <w:rStyle w:val="FootnoteReference"/>
          <w:sz w:val="20"/>
          <w:szCs w:val="20"/>
          <w:vertAlign w:val="superscript"/>
          <w:rtl w:val="0"/>
          <w:cs w:val="0"/>
          <w:lang w:val="en-US"/>
        </w:rPr>
        <w:footnoteReference w:id="102"/>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hAnsi="Times New Roman" w:eastAsia="Times New Roman" w:cs="Times New Roman"/>
          <w:rStyle w:val="FootnoteReference"/>
          <w:sz w:val="20"/>
          <w:szCs w:val="20"/>
          <w:vertAlign w:val="superscript"/>
          <w:rtl w:val="0"/>
          <w:cs w:val="0"/>
          <w:lang w:val="en-US"/>
        </w:rPr>
        <w:footnoteReference w:id="126"/>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hAnsi="Times New Roman" w:eastAsia="Times New Roman" w:cs="Times New Roman"/>
          <w:rStyle w:val="FootnoteReference"/>
          <w:sz w:val="20"/>
          <w:szCs w:val="20"/>
          <w:vertAlign w:val="superscript"/>
          <w:rtl w:val="0"/>
          <w:cs w:val="0"/>
          <w:lang w:val="en-US"/>
        </w:rPr>
        <w:footnoteReference w:id="125"/>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Mikulincer</w:t>
      </w:r>
      <w:r>
        <w:rPr>
          <w:rFonts w:ascii="Times New Roman" w:hAnsi="Times New Roman" w:eastAsia="Times New Roman" w:cs="Times New Roman"/>
          <w:sz w:val="18"/>
          <w:szCs w:val="20"/>
          <w:rtl w:val="0"/>
          <w:lang w:val="en-US"/>
        </w:rPr>
        <w:t/>
      </w:r>
      <w:r>
        <w:rPr>
          <w:rFonts w:ascii="Times New Roman" w:hAnsi="Times New Roman" w:eastAsia="Times New Roman" w:cs="Times New Roman"/>
          <w:sz w:val="18"/>
          <w:szCs w:val="20"/>
          <w:rtl w:val="0"/>
          <w:lang w:val="en-US"/>
        </w:rPr>
        <w:t xml:space="preserve"/>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Fergus</w:t>
      </w:r>
      <w:r>
        <w:rPr>
          <w:rFonts w:ascii="Times New Roman" w:hAnsi="Times New Roman" w:eastAsia="Times New Roman" w:cs="Times New Roman"/>
          <w:sz w:val="18"/>
          <w:szCs w:val="20"/>
          <w:rtl w:val="0"/>
          <w:lang w:val="en-US"/>
        </w:rPr>
        <w:t xml:space="preserve"/>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Abramowitz</w:t>
      </w:r>
      <w:r>
        <w:rPr>
          <w:rFonts w:ascii="Times New Roman" w:hAnsi="Times New Roman" w:eastAsia="Times New Roman" w:cs="Times New Roman"/>
          <w:sz w:val="18"/>
          <w:szCs w:val="20"/>
          <w:rtl w:val="0"/>
          <w:lang w:val="en-US"/>
        </w:rPr>
        <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Beck</w:t>
      </w:r>
      <w:r>
        <w:rPr>
          <w:rFonts w:ascii="Times New Roman" w:hAnsi="Times New Roman" w:eastAsia="Times New Roman" w:cs="Times New Roman"/>
          <w:sz w:val="18"/>
          <w:szCs w:val="20"/>
          <w:rtl w:val="0"/>
          <w:lang w:val="en-US"/>
        </w:rPr>
        <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Yonker</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Mat Saad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Chlan</w:t>
      </w:r>
      <w:r>
        <w:rPr>
          <w:rFonts w:ascii="Times New Roman" w:hAnsi="Times New Roman" w:eastAsia="Times New Roman" w:cs="Times New Roman"/>
          <w:sz w:val="18"/>
          <w:szCs w:val="20"/>
          <w:lang w:bidi="fa-IR" w:val="en-US"/>
          <w:rtl w:val="0"/>
        </w:rPr>
        <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Thorson</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Moreira-Almeida</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r>
        <w:rPr>
          <w:rFonts w:ascii="Times New Roman" w:hAnsi="Times New Roman" w:eastAsia="Times New Roman" w:cs="Times New Roman"/>
          <w:sz w:val="18"/>
          <w:szCs w:val="20"/>
          <w:lang w:bidi="fa-IR" w:val="en-US"/>
          <w:rtl w:val="0"/>
        </w:rPr>
        <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Tomer</w:t>
      </w:r>
      <w:r>
        <w:rPr>
          <w:rFonts w:ascii="Times New Roman" w:hAnsi="Times New Roman" w:eastAsia="Times New Roman" w:cs="Times New Roman"/>
          <w:sz w:val="18"/>
          <w:szCs w:val="20"/>
          <w:lang w:bidi="fa-IR" w:val="en-US"/>
          <w:rtl w:val="0"/>
        </w:rPr>
        <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0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w:t>
      </w:r>
    </w:p>
  </w:footnote>
  <w:footnote w:id="10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w:t>
      </w:r>
    </w:p>
  </w:footnote>
  <w:footnote w:id="10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Bohlmeijer</w:t>
      </w:r>
    </w:p>
  </w:footnote>
  <w:footnote w:id="1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Chan</w:t>
      </w:r>
    </w:p>
  </w:footnote>
  <w:footnote w:id="1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w:t>
      </w:r>
    </w:p>
  </w:footnote>
  <w:footnote w:id="1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Florian</w:t>
      </w:r>
    </w:p>
  </w:footnote>
  <w:footnote w:id="1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Salovey</w:t>
      </w:r>
    </w:p>
  </w:footnote>
  <w:footnote w:id="1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Valentiner</w:t>
      </w:r>
    </w:p>
  </w:footnote>
  <w:footnote w:id="1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Braddock</w:t>
      </w:r>
    </w:p>
  </w:footnote>
  <w:footnote w:id="1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Schnabelrauch</w:t>
      </w:r>
    </w:p>
  </w:footnote>
  <w:footnote w:id="1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DeHaan</w:t>
      </w:r>
    </w:p>
  </w:footnote>
  <w:footnote w:id="1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Zebracki</w:t>
      </w:r>
    </w:p>
  </w:footnote>
  <w:footnote w:id="1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Vogel</w:t>
      </w:r>
    </w:p>
  </w:footnote>
  <w:footnote w:id="1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Purohit</w:t>
      </w:r>
    </w:p>
  </w:footnote>
  <w:footnote w:id="1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Powell</w:t>
      </w:r>
    </w:p>
  </w:footnote>
  <w:footnote w:id="1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Eliason</w:t>
      </w:r>
    </w:p>
  </w:footnote>
  <w:footnote w:id="1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Koenig</w:t>
      </w:r>
    </w:p>
  </w:footnote>
  <w:footnote w:id="1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Hatta</w:t>
      </w:r>
    </w:p>
  </w:footnote>
  <w:footnote w:id="1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Mohamad</w:t>
      </w:r>
    </w:p>
  </w:footnote>
  <w:footnote w:id="1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George</w:t>
      </w:r>
    </w:p>
  </w:footnote>
  <w:footnote w:id="1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Rice</w:t>
      </w:r>
    </w:p>
  </w:footnote>
  <w:footnote w:id="1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Warwick</w:t>
      </w:r>
    </w:p>
  </w:footnote>
  <w:footnote w:id="1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Halldórsson</w:t>
      </w:r>
    </w:p>
  </w:footnote>
  <w:footnote w:id="1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Bolton</w:t>
      </w:r>
    </w:p>
  </w:footnote>
  <w:footnote w:id="1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Gillett</w:t>
      </w:r>
    </w:p>
  </w:footnote>
  <w:footnote w:id="1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Çarıkçı-Özgül</w:t>
      </w:r>
    </w:p>
  </w:footnote>
  <w:footnote w:id="1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Işık</w:t>
      </w:r>
    </w:p>
  </w:footnote>
  <w:footnote w:id="13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Kikas</w:t>
      </w:r>
    </w:p>
  </w:footnote>
  <w:footnote w:id="14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Yang</w:t>
      </w:r>
    </w:p>
  </w:footnote>
  <w:footnote w:id="14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Younes</w:t>
      </w:r>
    </w:p>
  </w:footnote>
  <w:footnote w:id="14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Rahme</w:t>
      </w:r>
    </w:p>
  </w:footnote>
  <w:footnote w:id="14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Rajha</w:t>
      </w:r>
    </w:p>
  </w:footnote>
  <w:footnote w:id="14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Mzawak</w:t>
      </w:r>
    </w:p>
  </w:footnote>
  <w:footnote w:id="14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Killingsworth</w:t>
      </w:r>
    </w:p>
  </w:footnote>
  <w:footnote w:id="14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Haigh</w:t>
      </w:r>
    </w:p>
  </w:footnote>
  <w:footnote w:id="14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w:t>
      </w:r>
    </w:p>
  </w:footnote>
  <w:footnote w:id="14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Wang</w:t>
      </w:r>
    </w:p>
  </w:footnote>
  <w:footnote w:id="14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Gu</w:t>
      </w:r>
    </w:p>
  </w:footnote>
  <w:footnote w:id="15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Lou</w:t>
      </w:r>
    </w:p>
  </w:footnote>
  <w:footnote w:id="15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Ma</w:t>
      </w:r>
    </w:p>
  </w:footnote>
  <w:footnote w:id="15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