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bidi w:val="1"/>
        <w:jc w:val="center"/>
        <w:rPr>
          <w:b/>
          <w:bCs/>
          <w:color w:val="auto"/>
          <w:lang w:bidi="fa-IR"/>
        </w:rPr>
      </w:pPr>
    </w:p>
    <w:p w14:paraId="1BAF5A34" w14:textId="77777777">
      <w:pPr>
        <w:bidi w:val="1"/>
        <w:spacing w:line="240" w:lineRule="auto"/>
        <w:jc w:val="center"/>
        <w:rPr>
          <w:b/>
          <w:bCs/>
          <w:color w:val="auto"/>
          <w:lang w:bidi="fa-IR"/>
        </w:rPr>
      </w:pPr>
    </w:p>
    <w:p w14:paraId="31244712" w14:textId="77777777">
      <w:pPr>
        <w:bidi w:val="1"/>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bidi w:val="1"/>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bidi w:val="1"/>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bidi w:val="1"/>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bidi w:val="1"/>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bidi w:val="1"/>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bidi w:val="1"/>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bidi w:val="1"/>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bidi w:val="1"/>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bidi w:val="1"/>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bidi w:val="1"/>
        <w:adjustRightInd/>
        <w:spacing w:before="240" w:after="100" w:line="276" w:lineRule="auto"/>
        <w:jc w:val="right"/>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bidi w:val="1"/>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bidi w:val="1"/>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bidi w:val="1"/>
        <w:spacing w:before="240" w:after="100" w:line="276" w:lineRule="auto"/>
        <w:jc w:val="right"/>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bidi w:val="1"/>
        <w:spacing w:before="240" w:after="100" w:line="276" w:lineRule="auto"/>
        <w:jc w:val="right"/>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bidi w:val="1"/>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bidi w:val="1"/>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bidi w:val="1"/>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r>
        <w:rPr>
          <w:rFonts w:ascii="Times New Roman" w:hAnsi="Times New Roman" w:eastAsia="Times New Roman" w:cs="B Lotus"/>
          <w:color w:val="000000"/>
          <w:sz w:val="24"/>
          <w:szCs w:val="24"/>
          <w:rtl w:val="1"/>
          <w:cs w:val="1"/>
          <w:lang w:bidi="fa-IR"/>
        </w:rPr>
        <w:fldChar w:fldCharType="begin" w:dirty="true"/>
      </w:r>
      <w:r>
        <w:rPr>
          <w:rFonts w:cs="B Lotus" w:ascii="Times New Roman" w:hAnsi="Times New Roman" w:eastAsia="Times New Roman"/>
          <w:color w:val="000000"/>
          <w:sz w:val="24"/>
          <w:szCs w:val="24"/>
          <w:rtl w:val="1"/>
          <w:cs w:val="1"/>
          <w:lang w:bidi="fa-IR"/>
        </w:rPr>
        <w:instrText xml:space="preserve"> TOC \o "1-5" \h \z \u </w:instrText>
      </w:r>
      <w:r>
        <w:rPr>
          <w:rFonts w:ascii="Times New Roman" w:hAnsi="Times New Roman" w:eastAsia="Times New Roman" w:cs="B Lotus"/>
          <w:color w:val="000000"/>
          <w:sz w:val="24"/>
          <w:szCs w:val="24"/>
          <w:rtl w:val="1"/>
          <w:cs w:val="1"/>
          <w:lang w:bidi="fa-IR"/>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200" w:history="1">
        <w:r>
          <w:rPr>
            <w:rFonts w:ascii="Times New Roman" w:hAnsi="Times New Roman" w:cs="B Lotus" w:eastAsia="Times New Roman"/>
            <w:noProof/>
            <w:color w:val="000000"/>
            <w:sz w:val="24"/>
            <w:szCs w:val="24"/>
            <w:rtl/>
            <w:lang w:bidi="fa-IR"/>
          </w:rPr>
          <w:t xml:space="preserve">۲-۱-۲-۲-۴- نظریه انتخاب اجتماعی-هیجانی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_Toc238572200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مؤثر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201" w:history="1">
        <w:r>
          <w:rPr>
            <w:rFonts w:cs="B Lotus" w:ascii="Times New Roman" w:hAnsi="Times New Roman" w:eastAsia="Times New Roman"/>
            <w:kern w:val="32"/>
            <w:color w:val="000000"/>
            <w:sz w:val="24"/>
            <w:szCs w:val="24"/>
            <w:rtl/>
            <w:lang w:bidi="fa-IR"/>
          </w:rPr>
          <w:t xml:space="preserve">۲-۳-۴- مدل چهارعاملی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_Toc238572201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val="1"/>
        <w:jc w:val="right"/>
        <w:rPr>
          <w:rFonts w:ascii="Times New Roman" w:hAnsi="Times New Roman" w:eastAsia="Times New Roman" w:cs="B Lotus"/>
          <w:noProof/>
          <w:color w:val="000000"/>
          <w:kern w:val="2"/>
          <w:sz w:val="24"/>
          <w:szCs w:val="24"/>
          <w:rtl w:val="1"/>
          <w:cs w:val="1"/>
          <w:lang w:bidi="fa-IR" w:val="en-US"/>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val="1"/>
        <w:jc w:val="right"/>
        <w:rPr>
          <w:rFonts w:ascii="Times New Roman" w:hAnsi="Times New Roman" w:eastAsia="Times New Roman" w:cs="B Lotus"/>
          <w:color w:val="000000"/>
          <w:kern w:val="2"/>
          <w:sz w:val="24"/>
          <w:szCs w:val="24"/>
          <w:rtl w:val="1"/>
          <w:cs w:val="1"/>
          <w:lang w:bidi="fa-IR" w:val="en-US"/>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val="1"/>
        <w:jc w:val="right"/>
        <w:rPr>
          <w:rFonts w:ascii="Times New Roman" w:hAnsi="Times New Roman" w:eastAsia="Times New Roman" w:cs="B Lotus"/>
          <w:b/>
          <w:bCs/>
          <w:color w:val="000000"/>
          <w:kern w:val="2"/>
          <w:sz w:val="24"/>
          <w:szCs w:val="24"/>
          <w:rtl w:val="1"/>
          <w:cs w:val="1"/>
          <w:lang w:bidi="fa-IR" w:val="en-US"/>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bidi w:val="1"/>
        <w:jc w:val="right"/>
      </w:pPr>
      <w:r>
        <w:rPr>
          <w:rFonts w:ascii="Times New Roman" w:hAnsi="Times New Roman"/>
        </w:rPr>
        <w:fldChar w:fldCharType="end"/>
      </w:r>
    </w:p>
    <w:p w14:paraId="335678AD" w14:textId="77777777">
      <w:pPr>
        <w:pageBreakBefore/>
        <w:bidi w:val="1"/>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dirty="true"/>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val="1"/>
          <w:cs w:val="1"/>
          <w:lang w:bidi="fa-IR" w:val="en-US"/>
        </w:rPr>
      </w:pPr>
      <w:bookmarkStart w:id="5001" w:name="_TocChekideh"/>
      <w:r>
        <w:rPr>
          <w:rFonts w:ascii="Times New Roman" w:hAnsi="Times New Roman" w:hint="cs" w:eastAsia="Times New Roman" w:cs="B Titr"/>
          <w:b/>
          <w:bCs/>
          <w:sz w:val="56"/>
          <w:szCs w:val="56"/>
          <w:rtl w:val="1"/>
          <w:cs w:val="1"/>
          <w:lang w:bidi="fa-IR"/>
        </w:rPr>
        <w:t>چکیده</w:t>
      </w:r>
      <w:r>
        <w:rPr>
          <w:rFonts w:ascii="Times New Roman" w:eastAsia="Times New Roman" w:hAnsi="Times New Roman" w:hint="cs" w:cs="B Titr"/>
          <w:rtl w:val="1"/>
          <w:cs w:val="1"/>
          <w:lang w:bidi="fa-IR"/>
        </w:rPr>
        <w:t xml:space="preserve"> </w:t>
      </w:r>
      <w:bookmarkEnd w:id="5001"/>
    </w:p>
    <w:p>
      <w:pPr>
        <w:bidi w:val="1"/>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r=-</w:t>
      </w:r>
      <w:r>
        <w:rPr>
          <w:rFonts w:ascii="Times New Roman" w:hAnsi="Times New Roman" w:hint="cs"/>
          <w:lang w:bidi="fa-IR"/>
          <w:rtl/>
        </w:rPr>
        <w:t xml:space="preserve">۰.۴۶, </w:t>
      </w:r>
      <w:r>
        <w:rPr>
          <w:rFonts w:ascii="Times New Roman" w:hAnsi="Times New Roman" w:hint="cs"/>
          <w:lang w:bidi="fa-IR" w:val="en-US"/>
          <w:rtl w:val="0"/>
        </w:rPr>
        <w:t>p&lt;</w:t>
      </w:r>
      <w:r>
        <w:rPr>
          <w:rFonts w:ascii="Times New Roman" w:hAnsi="Times New Roman" w:hint="cs"/>
          <w:lang w:bidi="fa-IR"/>
          <w:rtl/>
        </w:rPr>
        <w:t>۰.۰۱) و بین اضطراب سلامتی و اضطراب مرگ رابطه مثبت و معنادار مشاهده شد (</w:t>
      </w:r>
      <w:r>
        <w:rPr>
          <w:rFonts w:ascii="Times New Roman" w:hAnsi="Times New Roman" w:hint="cs"/>
          <w:lang w:bidi="fa-IR" w:val="en-US"/>
          <w:rtl w:val="0"/>
        </w:rPr>
        <w:t>r=</w:t>
      </w:r>
      <w:r>
        <w:rPr>
          <w:rFonts w:ascii="Times New Roman" w:hAnsi="Times New Roman" w:hint="cs"/>
          <w:lang w:bidi="fa-IR"/>
          <w:rtl/>
        </w:rPr>
        <w:t xml:space="preserve">۰.۵۸, </w:t>
      </w:r>
      <w:r>
        <w:rPr>
          <w:rFonts w:ascii="Times New Roman" w:hAnsi="Times New Roman" w:hint="cs"/>
          <w:lang w:bidi="fa-IR" w:val="en-US"/>
          <w:rtl w:val="0"/>
        </w:rPr>
        <w:t>p&lt;</w:t>
      </w:r>
      <w:r>
        <w:rPr>
          <w:rFonts w:ascii="Times New Roman" w:hAnsi="Times New Roman" w:hint="cs"/>
          <w:lang w:bidi="fa-IR"/>
          <w:rtl/>
        </w:rPr>
        <w:t>۰.۰۱).</w:t>
      </w:r>
      <w:r>
        <w:rPr>
          <w:rFonts w:ascii="Times New Roman" w:hAnsi="Times New Roman" w:hint="cs"/>
          <w:lang w:bidi="fa-IR"/>
          <w:rtl/>
        </w:rPr>
        <w:t xml:space="preserve"> </w:t>
      </w:r>
      <w:r>
        <w:rPr>
          <w:rFonts w:ascii="Times New Roman" w:hAnsi="Times New Roman" w:hint="cs"/>
          <w:lang w:bidi="fa-IR"/>
          <w:rtl/>
        </w:rPr>
        <w:t>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R²=</w:t>
      </w:r>
      <w:r>
        <w:rPr>
          <w:rFonts w:ascii="Times New Roman" w:hAnsi="Times New Roman" w:hint="cs"/>
          <w:lang w:bidi="fa-IR"/>
          <w:rtl/>
        </w:rPr>
        <w:t xml:space="preserve">۰.۵۴, </w:t>
      </w:r>
      <w:r>
        <w:rPr>
          <w:rFonts w:ascii="Times New Roman" w:hAnsi="Times New Roman" w:hint="cs"/>
          <w:lang w:bidi="fa-IR" w:val="en-US"/>
          <w:rtl w:val="0"/>
        </w:rPr>
        <w:t>p&lt;</w:t>
      </w:r>
      <w:r>
        <w:rPr>
          <w:rFonts w:ascii="Times New Roman" w:hAnsi="Times New Roman" w:hint="cs"/>
          <w:lang w:bidi="fa-IR"/>
          <w:rtl/>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14:paraId="196E5BBD" w14:textId="77777777">
      <w:pPr>
        <w:bidi w:val="1"/>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 w:name="_Toc238572002"/>
      <w:r>
        <w:rPr>
          <w:rFonts w:ascii="Times New Roman" w:hAnsi="Times New Roman" w:cs="B Titr" w:eastAsia="Times New Roman"/>
          <w:b/>
          <w:bCs/>
          <w:color w:val="000000"/>
          <w:sz w:val="56"/>
          <w:szCs w:val="56"/>
          <w:rtl w:val="1"/>
          <w:cs w:val="1"/>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 w:name="_Toc238572003"/>
      <w:r>
        <w:rPr>
          <w:rFonts w:ascii="Times New Roman" w:hAnsi="Times New Roman" w:cs="B Titr" w:eastAsia="Times New Roman"/>
          <w:b/>
          <w:bCs/>
          <w:color w:val="000000"/>
          <w:sz w:val="30"/>
          <w:szCs w:val="30"/>
          <w:rtl w:val="1"/>
          <w:cs w:val="1"/>
          <w:lang w:bidi="fa-IR"/>
        </w:rPr>
        <w:lastRenderedPageBreak/>
        <w:t>۱-۱- مقدمه</w:t>
      </w:r>
      <w:bookmarkEnd w:id="2"/>
    </w:p>
    <w:p w14:paraId="5B22574B" w14:textId="77777777">
      <w:pPr>
        <w:bidi w:val="1"/>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pPr>
        <w:bidi w:val="1"/>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w:t>
      </w:r>
      <w:r>
        <w:rPr>
          <w:rFonts w:ascii="Times New Roman" w:hAnsi="Times New Roman" w:hint="cs"/>
          <w:lang w:bidi="fa-IR"/>
          <w:rtl/>
        </w:rPr>
        <w:t xml:space="preserve">،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pPr>
        <w:bidi w:val="1"/>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t xml:space="preserve">زندگی و بهزیستی وی اهمیت دارد.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 w:name="_Toc238572004"/>
      <w:r>
        <w:rPr>
          <w:rFonts w:ascii="Times New Roman" w:hAnsi="Times New Roman" w:cs="B Titr" w:eastAsia="Times New Roman"/>
          <w:b/>
          <w:bCs/>
          <w:color w:val="000000"/>
          <w:sz w:val="30"/>
          <w:szCs w:val="30"/>
          <w:rtl w:val="1"/>
          <w:cs w:val="1"/>
          <w:lang w:bidi="fa-IR"/>
        </w:rPr>
        <w:t>۱-۲- بیان مسأله</w:t>
      </w:r>
      <w:bookmarkEnd w:id="3"/>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w:t>
      </w:r>
      <w:r>
        <w:rPr>
          <w:rFonts w:ascii="Times New Roman" w:eastAsia="Times New Roman" w:hAnsi="Times New Roman" w:hint="cs"/>
          <w:lang w:bidi="fa-IR"/>
          <w:rtl/>
        </w:rPr>
        <w:t>،</w:t>
      </w:r>
      <w:r>
        <w:rPr>
          <w:rFonts w:ascii="Times New Roman" w:eastAsia="Times New Roman" w:hAnsi="Times New Roman" w:hint="cs"/>
          <w:lang w:bidi="fa-IR"/>
          <w:rtl/>
        </w:rPr>
        <w:t xml:space="preserve">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w:t>
      </w:r>
      <w:r>
        <w:rPr>
          <w:rFonts w:ascii="Times New Roman" w:eastAsia="Times New Roman" w:hAnsi="Times New Roman" w:hint="cs"/>
          <w:lang w:bidi="fa-IR"/>
          <w:rtl/>
        </w:rPr>
        <w:t xml:space="preserve">،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حمایت اجتماعی پایین و انزوای اجتماعی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w:t>
      </w:r>
      <w:r>
        <w:rPr>
          <w:rFonts w:ascii="Times New Roman" w:eastAsia="Times New Roman" w:hAnsi="Times New Roman" w:hint="cs"/>
          <w:lang w:bidi="fa-IR"/>
          <w:rtl/>
        </w:rPr>
        <w:t>،</w:t>
      </w:r>
      <w:r>
        <w:rPr>
          <w:rFonts w:ascii="Times New Roman" w:eastAsia="Times New Roman" w:hAnsi="Times New Roman" w:hint="cs"/>
          <w:lang w:bidi="fa-IR"/>
          <w:rtl/>
        </w:rPr>
        <w:t xml:space="preserve">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w:t>
      </w:r>
      <w:r>
        <w:rPr>
          <w:rFonts w:ascii="Times New Roman" w:eastAsia="Times New Roman" w:hAnsi="Times New Roman" w:hint="cs"/>
          <w:lang w:bidi="fa-IR"/>
          <w:rtl/>
        </w:rPr>
        <w:t>،</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 w:name="_Toc238572005"/>
      <w:r>
        <w:rPr>
          <w:rFonts w:ascii="Times New Roman" w:hAnsi="Times New Roman" w:cs="B Titr" w:eastAsia="Times New Roman"/>
          <w:b/>
          <w:bCs/>
          <w:color w:val="000000"/>
          <w:sz w:val="30"/>
          <w:szCs w:val="30"/>
          <w:rtl w:val="1"/>
          <w:cs w:val="1"/>
          <w:lang w:bidi="fa-IR"/>
        </w:rPr>
        <w:t>۱-۳- اهمیت و ضرورت پژوهش</w:t>
      </w:r>
      <w:bookmarkEnd w:id="5"/>
    </w:p>
    <w:p w14:paraId="420ABAB6"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w:t>
      </w:r>
      <w:r>
        <w:rPr>
          <w:rFonts w:ascii="Times New Roman" w:eastAsia="Times New Roman" w:hAnsi="Times New Roman" w:hint="cs"/>
          <w:lang w:bidi="fa-IR"/>
          <w:rtl/>
        </w:rPr>
        <w:t xml:space="preserve">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 w:name="_Toc238572006"/>
      <w:r>
        <w:rPr>
          <w:rFonts w:ascii="Times New Roman" w:hAnsi="Times New Roman" w:cs="B Titr" w:eastAsia="Times New Roman"/>
          <w:b/>
          <w:bCs/>
          <w:color w:val="000000"/>
          <w:sz w:val="30"/>
          <w:szCs w:val="30"/>
          <w:rtl w:val="1"/>
          <w:cs w:val="1"/>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 w:name="_Toc238572007"/>
      <w:r>
        <w:rPr>
          <w:rFonts w:ascii="Times New Roman" w:hAnsi="Times New Roman" w:cs="B Titr" w:eastAsia="Times New Roman"/>
          <w:b/>
          <w:bCs/>
          <w:color w:val="000000"/>
          <w:sz w:val="30"/>
          <w:szCs w:val="30"/>
          <w:rtl w:val="1"/>
          <w:cs w:val="1"/>
          <w:lang w:bidi="fa-IR"/>
        </w:rPr>
        <w:t>۱-۴-۱- هدف اصلی:</w:t>
      </w:r>
      <w:bookmarkEnd w:id="7"/>
    </w:p>
    <w:p w14:paraId="7AEEF4F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0" w:name="_Toc238572008"/>
      <w:r>
        <w:rPr>
          <w:rFonts w:ascii="Times New Roman" w:hAnsi="Times New Roman" w:cs="B Titr" w:eastAsia="Times New Roman"/>
          <w:b/>
          <w:bCs/>
          <w:color w:val="000000"/>
          <w:sz w:val="30"/>
          <w:szCs w:val="30"/>
          <w:rtl w:val="1"/>
          <w:cs w:val="1"/>
          <w:lang w:bidi="fa-IR"/>
        </w:rPr>
        <w:t>۱-۴-۲- اهداف فرعی:</w:t>
      </w:r>
      <w:bookmarkEnd w:id="10"/>
    </w:p>
    <w:p w14:paraId="402B10CB"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۱-۵- فرضیه‌های پژوهش</w:t>
      </w:r>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2" w:name="_Toc238572010"/>
      <w:r>
        <w:rPr>
          <w:rFonts w:ascii="Times New Roman" w:hAnsi="Times New Roman" w:cs="B Titr" w:eastAsia="Times New Roman"/>
          <w:b/>
          <w:bCs/>
          <w:color w:val="000000"/>
          <w:sz w:val="30"/>
          <w:szCs w:val="30"/>
          <w:rtl w:val="1"/>
          <w:cs w:val="1"/>
          <w:lang w:bidi="fa-IR"/>
        </w:rPr>
        <w:t>۱-۵-۱- فرضیه اصلی:</w:t>
      </w:r>
      <w:bookmarkEnd w:id="12"/>
    </w:p>
    <w:p w14:paraId="0331943C" w14:textId="77777777">
      <w:pPr>
        <w:bidi w:val="1"/>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۱-۵-۲- فرضیه‌های فرعی:</w:t>
      </w:r>
    </w:p>
    <w:p w14:paraId="319DF98C"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8" w:name="_Toc238572012"/>
      <w:r>
        <w:rPr>
          <w:rFonts w:ascii="Times New Roman" w:hAnsi="Times New Roman" w:cs="B Titr" w:eastAsia="Times New Roman"/>
          <w:b/>
          <w:bCs/>
          <w:color w:val="000000"/>
          <w:sz w:val="30"/>
          <w:szCs w:val="30"/>
          <w:rtl w:val="1"/>
          <w:cs w:val="1"/>
          <w:lang w:bidi="fa-IR"/>
        </w:rPr>
        <w:t xml:space="preserve">۱-۶- تعاریف نظری و عملیاتی </w:t>
      </w:r>
      <w:r>
        <w:rPr>
          <w:rFonts w:ascii="Times New Roman" w:hAnsi="Times New Roman" w:cs="B Titr" w:eastAsia="Times New Roman"/>
          <w:b/>
          <w:bCs/>
          <w:color w:val="000000"/>
          <w:sz w:val="30"/>
          <w:szCs w:val="30"/>
          <w:rtl w:val="1"/>
          <w:cs w:val="1"/>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val="1"/>
          <w:cs w:val="1"/>
          <w:lang w:bidi="fa-IR" w:val="en-US"/>
        </w:rPr>
      </w:pPr>
      <w:bookmarkStart w:id="19" w:name="_Toc238572013"/>
      <w:r>
        <w:rPr>
          <w:rFonts w:ascii="Times New Roman" w:hAnsi="Times New Roman" w:cs="B Titr" w:eastAsia="Times New Roman"/>
          <w:b/>
          <w:bCs/>
          <w:color w:val="000000"/>
          <w:sz w:val="30"/>
          <w:szCs w:val="30"/>
          <w:rtl w:val="1"/>
          <w:cs w:val="1"/>
          <w:lang w:bidi="fa-IR"/>
        </w:rPr>
        <w:t xml:space="preserve">۱-۶-۱- تعاریف نظری </w:t>
      </w:r>
      <w:r>
        <w:rPr>
          <w:rFonts w:ascii="Times New Roman" w:hAnsi="Times New Roman" w:cs="B Titr" w:eastAsia="Times New Roman"/>
          <w:b/>
          <w:bCs/>
          <w:color w:val="000000"/>
          <w:sz w:val="30"/>
          <w:szCs w:val="30"/>
          <w:rtl w:val="1"/>
          <w:cs w:val="1"/>
          <w:lang w:bidi="fa-IR"/>
        </w:rPr>
        <w:t>متغیرها</w:t>
      </w:r>
      <w:bookmarkEnd w:id="19"/>
    </w:p>
    <w:p w14:paraId="6DA708E3" w14:textId="77777777">
      <w:pPr>
        <w:bidi w:val="1"/>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20" w:name="_Toc238572014"/>
      <w:r>
        <w:rPr>
          <w:rFonts w:ascii="Times New Roman" w:hAnsi="Times New Roman" w:cs="B Titr" w:eastAsia="Times New Roman"/>
          <w:b/>
          <w:bCs/>
          <w:color w:val="000000"/>
          <w:sz w:val="30"/>
          <w:szCs w:val="30"/>
          <w:rtl w:val="1"/>
          <w:cs w:val="1"/>
          <w:lang w:bidi="fa-IR"/>
        </w:rPr>
        <w:t xml:space="preserve">۱-۶-۲- تعاریف عملیاتی </w:t>
      </w:r>
      <w:r>
        <w:rPr>
          <w:rFonts w:ascii="Times New Roman" w:hAnsi="Times New Roman" w:cs="B Titr" w:eastAsia="Times New Roman"/>
          <w:b/>
          <w:bCs/>
          <w:color w:val="000000"/>
          <w:sz w:val="30"/>
          <w:szCs w:val="30"/>
          <w:rtl w:val="1"/>
          <w:cs w:val="1"/>
          <w:lang w:bidi="fa-IR"/>
        </w:rPr>
        <w:t>متغیرها</w:t>
      </w:r>
      <w:bookmarkEnd w:id="20"/>
    </w:p>
    <w:p w14:paraId="68B0A26F" w14:textId="77777777">
      <w:pPr>
        <w:bidi w:val="1"/>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bidi w:val="1"/>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bidi w:val="1"/>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val="1"/>
          <w:cs w:val="1"/>
          <w:lang w:bidi="fa-IR" w:val="en-US"/>
        </w:rPr>
      </w:pPr>
      <w:bookmarkStart w:id="21" w:name="_Toc238572015"/>
      <w:r>
        <w:rPr>
          <w:rFonts w:ascii="Times New Roman" w:hAnsi="Times New Roman" w:cs="B Titr" w:eastAsia="Times New Roman"/>
          <w:b/>
          <w:bCs/>
          <w:color w:val="000000"/>
          <w:sz w:val="56"/>
          <w:szCs w:val="56"/>
          <w:rtl w:val="1"/>
          <w:cs w:val="1"/>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2" w:name="_Toc238572016"/>
      <w:r>
        <w:rPr>
          <w:rFonts w:ascii="Times New Roman" w:hAnsi="Times New Roman" w:cs="B Titr" w:eastAsia="Times New Roman"/>
          <w:b/>
          <w:bCs/>
          <w:color w:val="000000"/>
          <w:sz w:val="30"/>
          <w:szCs w:val="30"/>
          <w:rtl w:val="1"/>
          <w:cs w:val="1"/>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3" w:name="_Toc238572017"/>
      <w:r>
        <w:rPr>
          <w:rFonts w:ascii="Times New Roman" w:hAnsi="Times New Roman" w:cs="B Titr" w:eastAsia="Times New Roman"/>
          <w:b/>
          <w:bCs/>
          <w:color w:val="000000"/>
          <w:sz w:val="30"/>
          <w:szCs w:val="30"/>
          <w:rtl w:val="1"/>
          <w:cs w:val="1"/>
          <w:lang w:bidi="fa-IR"/>
        </w:rPr>
        <w:t>۲-۱-۱- مفهوم سالمندی</w:t>
      </w:r>
      <w:bookmarkEnd w:id="23"/>
    </w:p>
    <w:p w14:paraId="2CA3490E" w14:textId="77777777">
      <w:pPr>
        <w:bidi w:val="1"/>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سال‌های اخیر،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۲-۱-۲- نظریه‌های سالمندی</w:t>
      </w:r>
    </w:p>
    <w:p>
      <w:pPr>
        <w:bidi w:val="0"/>
        <w:jc w:val="center"/>
      </w:pPr>
      <w:r>
        <w:drawing xmlns:a="http://schemas.openxmlformats.org/drawingml/2006/main" xmlns:pic="http://schemas.openxmlformats.org/drawingml/2006/picture">
          <wp:inline distT="0" distB="0" distL="0" distR="0">
            <wp:extent cx="5669280" cy="3526015"/>
            <wp:effectExtent l="0" t="0" r="0" b="0"/>
            <wp:docPr id="100" name="tree1.png" descr="درختواره نظریه‌های سالمندی"/>
            <wp:cNvGraphicFramePr>
              <a:graphicFrameLocks noChangeAspect="1"/>
            </wp:cNvGraphicFramePr>
            <a:graphic>
              <a:graphicData uri="http://schemas.openxmlformats.org/drawingml/2006/picture">
                <pic:pic>
                  <pic:nvPicPr>
                    <pic:cNvPr id="0" name="tree1.png"/>
                    <pic:cNvPicPr>
                      <a:picLocks noChangeAspect="1" noChangeArrowheads="1"/>
                    </pic:cNvPicPr>
                  </pic:nvPicPr>
                  <pic:blipFill>
                    <a:blip r:embed="rIdTreePng1"/>
                    <a:stretch>
                      <a:fillRect/>
                    </a:stretch>
                  </pic:blipFill>
                  <pic:spPr bwMode="auto">
                    <a:xfrm>
                      <a:off x="0" y="0"/>
                      <a:ext cx="5669280" cy="3526015"/>
                    </a:xfrm>
                    <a:prstGeom prst="rect">
                      <a:avLst/>
                    </a:prstGeom>
                  </pic:spPr>
                </pic:pic>
              </a:graphicData>
            </a:graphic>
          </wp:inline>
        </w:drawing>
      </w:r>
    </w:p>
    <w:p>
      <w:pPr>
        <w:pStyle w:val="Caption"/>
        <w:keepNext/>
        <w:bidi w:val="1"/>
        <w:spacing w:after="120" w:line="276" w:lineRule="auto"/>
        <w:jc w:val="right"/>
        <w:rPr>
          <w:rFonts w:ascii="Times New Roman" w:hAnsi="Times New Roman" w:eastAsia="Times New Roman" w:cs="B Lotus"/>
          <w:rtl w:val="1"/>
          <w:cs w:val="1"/>
          <w:lang w:bidi="fa-IR" w:val="en-US"/>
        </w:rPr>
      </w:pPr>
      <w:r>
        <w:rPr>
          <w:rFonts w:ascii="Times New Roman" w:hAnsi="Times New Roman" w:eastAsia="Times New Roman" w:cs="B Lotus"/>
          <w:b/>
          <w:bCs/>
          <w:color w:val="1B7A3D"/>
          <w:sz w:val="28"/>
          <w:szCs w:val="28"/>
          <w:rtl w:val="1"/>
          <w:cs w:val="1"/>
          <w:lang w:bidi="fa-IR" w:val="en-US"/>
        </w:rPr>
        <w:t>شکل ۱- درختواره نظریه‌های سالمندی (شاخه زیست‌شناختی، روان‌شناختی و جامعه‌شناختی)</w:t>
      </w:r>
    </w:p>
    <w:p>
      <w:pPr>
        <w:bidi w:val="1"/>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این علم به بررسی تغییرات مرتبط با افزایش سن، عوامل مؤثر بر سالمندی، پیامدهای جسمی، روانی و اجتماعی آن و</w:t>
      </w:r>
      <w:r>
        <w:rPr>
          <w:rFonts w:ascii="Times New Roman" w:hAnsi="Times New Roman" w:hint="cs"/>
          <w:lang w:bidi="fa-IR"/>
          <w:rtl/>
        </w:rPr>
        <w:t xml:space="preserve"> </w:t>
      </w:r>
      <w:r>
        <w:rPr>
          <w:rFonts w:ascii="Times New Roman" w:hAnsi="Times New Roman" w:hint="cs"/>
          <w:lang w:bidi="fa-IR"/>
          <w:rtl/>
        </w:rPr>
        <w:t xml:space="preserve">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5" w:name="_Toc238572019"/>
      <w:r>
        <w:rPr>
          <w:rFonts w:ascii="Times New Roman" w:hAnsi="Times New Roman" w:cs="B Titr" w:eastAsia="Times New Roman"/>
          <w:b/>
          <w:bCs/>
          <w:color w:val="000000"/>
          <w:sz w:val="30"/>
          <w:szCs w:val="30"/>
          <w:rtl w:val="1"/>
          <w:cs w:val="1"/>
          <w:lang w:bidi="fa-IR"/>
        </w:rPr>
        <w:t xml:space="preserve">۲-۱-۲-۱- نظریه‌های زیست شناختی</w:t>
      </w:r>
      <w:bookmarkEnd w:id="25"/>
    </w:p>
    <w:p w14:paraId="484366E1"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7" w:name="_Toc238572020"/>
      <w:r>
        <w:rPr>
          <w:rFonts w:ascii="Times New Roman" w:hAnsi="Times New Roman" w:cs="B Titr" w:eastAsia="Times New Roman"/>
          <w:b/>
          <w:bCs/>
          <w:color w:val="000000"/>
          <w:sz w:val="30"/>
          <w:szCs w:val="30"/>
          <w:rtl w:val="1"/>
          <w:cs w:val="1"/>
          <w:lang w:bidi="fa-IR"/>
        </w:rPr>
        <w:lastRenderedPageBreak/>
        <w:t xml:space="preserve">۲-۱-۲-۱-۱- نظریه ایمنی</w:t>
      </w:r>
      <w:bookmarkEnd w:id="2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پژوهش‌های سال‌های اخیر، مفهوم «التهاب پیری» یا اینفلامجینگ</w:t>
      </w:r>
      <w:r>
        <w:rPr>
          <w:rStyle w:val="FootnoteReference"/>
          <w:rFonts w:ascii="Times New Roman" w:eastAsia="Times New Roman" w:hAnsi="Times New Roman" w:hint="cs" w:cs="Times New Roman"/>
          <w:lang w:bidi="fa-IR" w:val="en-US"/>
          <w:sz w:val="20"/>
          <w:szCs w:val="20"/>
          <w:vertAlign w:val="superscript"/>
          <w:rtl w:val="0"/>
        </w:rPr>
        <w:footnoteReference w:id="120"/>
      </w:r>
      <w:r>
        <w:rPr>
          <w:rFonts w:ascii="Times New Roman" w:hAnsi="Times New Roman" w:eastAsia="Times New Roman" w:cs="B Lotus"/>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Fonts w:ascii="Times New Roman" w:eastAsia="Times New Roman" w:hAnsi="Times New Roman" w:hint="cs" w:cs="Times New Roman"/>
          <w:lang w:bidi="fa-IR" w:val="en-US"/>
          <w:sz w:val="20"/>
          <w:szCs w:val="20"/>
          <w:vertAlign w:val="superscript"/>
          <w:rtl w:val="0"/>
        </w:rPr>
        <w:footnoteReference w:id="121"/>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۲۰۱۸؛ فولپ</w:t>
      </w:r>
      <w:r>
        <w:rPr>
          <w:rStyle w:val="FootnoteReference"/>
          <w:rFonts w:ascii="Times New Roman" w:eastAsia="Times New Roman" w:hAnsi="Times New Roman" w:hint="cs" w:cs="Times New Roman"/>
          <w:lang w:bidi="fa-IR" w:val="en-US"/>
          <w:sz w:val="20"/>
          <w:szCs w:val="20"/>
          <w:vertAlign w:val="superscript"/>
          <w:rtl w:val="0"/>
        </w:rPr>
        <w:footnoteReference w:id="12"/>
      </w:r>
      <w:r>
        <w:rPr>
          <w:rFonts w:ascii="Times New Roman" w:hAnsi="Times New Roman" w:eastAsia="Times New Roman" w:cs="B Lotus"/>
          <w:sz w:val="28"/>
          <w:szCs w:val="28"/>
          <w:rtl/>
          <w:cs/>
          <w:lang w:bidi="fa-IR" w:val="en-US"/>
        </w:rPr>
        <w:t xml:space="preserve"> و همکاران، ۲۰۲۳).</w:t>
      </w:r>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۲-۱-۲-۱-۲- نظریه پیر شدن سلولی</w:t>
      </w:r>
    </w:p>
    <w:p w14:paraId="5A7126E9" w14:textId="77777777">
      <w:pPr>
        <w:bidi w:val="1"/>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29" w:name="_Toc238572022"/>
      <w:r>
        <w:rPr>
          <w:rFonts w:ascii="Times New Roman" w:hAnsi="Times New Roman" w:cs="B Titr" w:eastAsia="Times New Roman"/>
          <w:b/>
          <w:bCs/>
          <w:color w:val="000000"/>
          <w:sz w:val="30"/>
          <w:szCs w:val="30"/>
          <w:rtl w:val="1"/>
          <w:cs w:val="1"/>
          <w:lang w:bidi="fa-IR"/>
        </w:rPr>
        <w:lastRenderedPageBreak/>
        <w:t xml:space="preserve">۲-۱-۲-۱-۳- نظریه رادیکال آزاد</w:t>
      </w:r>
      <w:bookmarkEnd w:id="29"/>
    </w:p>
    <w:p>
      <w:pPr>
        <w:bidi w:val="1"/>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Style w:val="FootnoteReference"/>
          <w:rFonts w:ascii="Times New Roman" w:eastAsia="Times New Roman" w:hAnsi="Times New Roman" w:hint="cs" w:cs="Times New Roman"/>
          <w:lang w:bidi="fa-IR" w:val="en-US"/>
          <w:sz w:val="20"/>
          <w:szCs w:val="20"/>
          <w:vertAlign w:val="superscript"/>
          <w:rtl w:val="0"/>
        </w:rPr>
        <w:footnoteReference w:id="13"/>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Style w:val="FootnoteReference"/>
          <w:rFonts w:ascii="Times New Roman" w:eastAsia="Times New Roman" w:hAnsi="Times New Roman" w:hint="cs" w:cs="Times New Roman"/>
          <w:lang w:bidi="fa-IR" w:val="en-US"/>
          <w:sz w:val="20"/>
          <w:szCs w:val="20"/>
          <w:vertAlign w:val="superscript"/>
          <w:rtl w:val="0"/>
        </w:rPr>
        <w:footnoteReference w:id="15"/>
      </w:r>
      <w:r>
        <w:rPr>
          <w:rFonts w:ascii="Times New Roman" w:hAnsi="Times New Roman" w:eastAsia="Times New Roman" w:cs="B Lotus"/>
          <w:sz w:val="28"/>
          <w:szCs w:val="28"/>
          <w:rtl/>
          <w:cs/>
          <w:lang w:bidi="fa-IR" w:val="en-US"/>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0" w:name="_Toc238572023"/>
      <w:r>
        <w:rPr>
          <w:rFonts w:ascii="Times New Roman" w:hAnsi="Times New Roman" w:cs="B Titr" w:eastAsia="Times New Roman"/>
          <w:b/>
          <w:bCs/>
          <w:color w:val="000000"/>
          <w:sz w:val="30"/>
          <w:szCs w:val="30"/>
          <w:rtl w:val="1"/>
          <w:cs w:val="1"/>
          <w:lang w:bidi="fa-IR"/>
        </w:rPr>
        <w:t xml:space="preserve">۲-۱-۲-۲- نظریه‌های روانشناختی</w:t>
      </w:r>
      <w:bookmarkEnd w:id="30"/>
    </w:p>
    <w:p w14:paraId="4520A324" w14:textId="77777777">
      <w:pPr>
        <w:bidi w:val="1"/>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۲۰۲۱).</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1" w:name="_Toc238572024"/>
      <w:r>
        <w:rPr>
          <w:rFonts w:ascii="Times New Roman" w:hAnsi="Times New Roman" w:cs="B Titr" w:eastAsia="Times New Roman"/>
          <w:b/>
          <w:bCs/>
          <w:color w:val="000000"/>
          <w:sz w:val="30"/>
          <w:szCs w:val="30"/>
          <w:rtl w:val="1"/>
          <w:cs w:val="1"/>
          <w:lang w:bidi="fa-IR"/>
        </w:rPr>
        <w:t xml:space="preserve">۲-۱-۲-۲-۱- نظریه گولد</w:t>
      </w:r>
      <w:bookmarkEnd w:id="31"/>
    </w:p>
    <w:p w14:paraId="20C23824" w14:textId="77777777">
      <w:pPr>
        <w:bidi w:val="1"/>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اگرچه صورت‌بندی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۲۰۲۱).</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2" w:name="_Toc238572025"/>
      <w:r>
        <w:rPr>
          <w:rFonts w:ascii="Times New Roman" w:hAnsi="Times New Roman" w:cs="B Titr" w:eastAsia="Times New Roman"/>
          <w:b/>
          <w:bCs/>
          <w:color w:val="000000"/>
          <w:sz w:val="30"/>
          <w:szCs w:val="30"/>
          <w:rtl w:val="1"/>
          <w:cs w:val="1"/>
          <w:lang w:bidi="fa-IR"/>
        </w:rPr>
        <w:t xml:space="preserve">۲-۱-۲-۲-۲- نظریه لوینسون و شی</w:t>
      </w:r>
      <w:bookmarkEnd w:id="32"/>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صورت‌بندی مرحله‌ای لوینسون</w:t>
      </w:r>
      <w:r>
        <w:rPr>
          <w:rStyle w:val="FootnoteReference"/>
          <w:rFonts w:ascii="Times New Roman" w:eastAsia="Times New Roman" w:hAnsi="Times New Roman" w:hint="cs" w:cs="Times New Roman"/>
          <w:lang w:bidi="fa-IR" w:val="en-US"/>
          <w:sz w:val="20"/>
          <w:szCs w:val="20"/>
          <w:vertAlign w:val="superscript"/>
          <w:rtl w:val="0"/>
        </w:rPr>
        <w:footnoteReference w:id="17"/>
      </w:r>
      <w:r>
        <w:rPr>
          <w:rFonts w:ascii="Times New Roman" w:hAnsi="Times New Roman" w:eastAsia="Times New Roman" w:cs="B Lotus"/>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۲۰۰۶).</w:t>
      </w:r>
    </w:p>
    <w:p w14:paraId="081CFB18" w14:textId="77777777">
      <w:pPr>
        <w:bidi w:val="1"/>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3" w:name="_Toc238572026"/>
      <w:r>
        <w:rPr>
          <w:rFonts w:ascii="Times New Roman" w:hAnsi="Times New Roman" w:cs="B Titr" w:eastAsia="Times New Roman"/>
          <w:b/>
          <w:bCs/>
          <w:color w:val="000000"/>
          <w:sz w:val="30"/>
          <w:szCs w:val="30"/>
          <w:rtl w:val="1"/>
          <w:cs w:val="1"/>
          <w:lang w:bidi="fa-IR"/>
        </w:rPr>
        <w:t xml:space="preserve">۲-۱-۲-۲-۳- نظریه اریکسون</w:t>
      </w:r>
      <w:bookmarkEnd w:id="33"/>
    </w:p>
    <w:p w14:paraId="624436C2" w14:textId="77777777">
      <w:pPr>
        <w:bidi w:val="1"/>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Style w:val="FootnoteReference"/>
          <w:rFonts w:ascii="Times New Roman" w:eastAsia="Times New Roman" w:hAnsi="Times New Roman" w:hint="cs" w:cs="Times New Roman"/>
          <w:lang w:bidi="fa-IR" w:val="en-US"/>
          <w:sz w:val="20"/>
          <w:szCs w:val="20"/>
          <w:vertAlign w:val="superscript"/>
          <w:rtl w:val="0"/>
        </w:rPr>
        <w:footnoteReference w:id="19"/>
      </w:r>
      <w:r>
        <w:rPr>
          <w:rFonts w:ascii="Times New Roman" w:hAnsi="Times New Roman" w:eastAsia="Times New Roman" w:cs="B Lotus"/>
          <w:sz w:val="28"/>
          <w:szCs w:val="28"/>
          <w:rtl/>
          <w:cs/>
          <w:lang w:bidi="fa-IR" w:val="en-US"/>
        </w:rPr>
        <w:t xml:space="preserve"> همچنان برای فهم سازگاری و سلامت روان سالمندان راهگشا است (وسترهاف</w:t>
      </w:r>
      <w:r>
        <w:rPr>
          <w:rStyle w:val="FootnoteReference"/>
          <w:rFonts w:ascii="Times New Roman" w:eastAsia="Times New Roman" w:hAnsi="Times New Roman" w:hint="cs" w:cs="Times New Roman"/>
          <w:lang w:bidi="fa-IR" w:val="en-US"/>
          <w:sz w:val="20"/>
          <w:szCs w:val="20"/>
          <w:vertAlign w:val="superscript"/>
          <w:rtl w:val="0"/>
        </w:rPr>
        <w:footnoteReference w:id="122"/>
      </w:r>
      <w:r>
        <w:rPr>
          <w:rFonts w:ascii="Times New Roman" w:hAnsi="Times New Roman" w:eastAsia="Times New Roman" w:cs="B Lotus"/>
          <w:sz w:val="28"/>
          <w:szCs w:val="28"/>
          <w:rtl/>
          <w:cs/>
          <w:lang w:bidi="fa-IR" w:val="en-US"/>
        </w:rPr>
        <w:t>، بولمایر</w:t>
      </w:r>
      <w:r>
        <w:rPr>
          <w:rStyle w:val="FootnoteReference"/>
          <w:rFonts w:ascii="Times New Roman" w:eastAsia="Times New Roman" w:hAnsi="Times New Roman" w:hint="cs" w:cs="Times New Roman"/>
          <w:lang w:bidi="fa-IR" w:val="en-US"/>
          <w:sz w:val="20"/>
          <w:szCs w:val="20"/>
          <w:vertAlign w:val="superscript"/>
          <w:rtl w:val="0"/>
        </w:rPr>
        <w:footnoteReference w:id="123"/>
      </w:r>
      <w:r>
        <w:rPr>
          <w:rFonts w:ascii="Times New Roman" w:hAnsi="Times New Roman" w:eastAsia="Times New Roman" w:cs="B Lotus"/>
          <w:sz w:val="28"/>
          <w:szCs w:val="28"/>
          <w:rtl/>
          <w:cs/>
          <w:lang w:bidi="fa-IR" w:val="en-US"/>
        </w:rPr>
        <w:t xml:space="preserve"> و مک‌آدامز</w:t>
      </w:r>
      <w:r>
        <w:rPr>
          <w:rStyle w:val="FootnoteReference"/>
          <w:rFonts w:ascii="Times New Roman" w:eastAsia="Times New Roman" w:hAnsi="Times New Roman" w:hint="cs" w:cs="Times New Roman"/>
          <w:lang w:bidi="fa-IR" w:val="en-US"/>
          <w:sz w:val="20"/>
          <w:szCs w:val="20"/>
          <w:vertAlign w:val="superscript"/>
          <w:rtl w:val="0"/>
        </w:rPr>
        <w:footnoteReference w:id="124"/>
      </w:r>
      <w:r>
        <w:rPr>
          <w:rFonts w:ascii="Times New Roman" w:hAnsi="Times New Roman" w:eastAsia="Times New Roman" w:cs="B Lotus"/>
          <w:sz w:val="28"/>
          <w:szCs w:val="28"/>
          <w:rtl/>
          <w:cs/>
          <w:lang w:bidi="fa-IR" w:val="en-US"/>
        </w:rPr>
        <w:t>، ۲۰۱۷).</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02" w:name="_Toc238572200"/>
      <w:r>
        <w:rPr>
          <w:rFonts w:ascii="Times New Roman" w:hAnsi="Times New Roman" w:cs="B Titr" w:eastAsia="Times New Roman"/>
          <w:b/>
          <w:bCs/>
          <w:color w:val="000000"/>
          <w:sz w:val="30"/>
          <w:szCs w:val="30"/>
          <w:rtl w:val="1"/>
          <w:cs w:val="1"/>
          <w:lang w:bidi="fa-IR"/>
        </w:rPr>
        <w:t>۲-۱-۲-۲-۴- نظریه انتخاب اجتماعی-هیجانی</w:t>
      </w:r>
      <w:bookmarkEnd w:id="5002"/>
    </w:p>
    <w:p>
      <w:pPr>
        <w:bidi w:val="1"/>
        <w:spacing w:after="0" w:line="276" w:lineRule="auto"/>
        <w:ind w:firstLine="397"/>
        <w:jc w:val="both"/>
        <w:rPr>
          <w:color w:val="auto"/>
          <w:lang w:bidi="fa-IR"/>
        </w:rPr>
      </w:pPr>
      <w:r>
        <w:rPr>
          <w:rFonts w:ascii="Times New Roman" w:hAnsi="Times New Roman" w:hint="cs"/>
          <w:lang w:bidi="fa-IR"/>
          <w:rtl/>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hint="cs"/>
          <w:lang w:bidi="fa-IR"/>
          <w:rtl/>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hint="cs"/>
          <w:lang w:bidi="fa-IR"/>
          <w:rtl/>
        </w:rPr>
        <w:t xml:space="preserve"> مطرح شد، انگیزش و تجربهٔ هیجانی سالمندی را بر پایهٔ ادراک افق زمانی باقی‌مانده تبیین می‌کند، نه صرفاً سن تقویمی. وقتی آینده گسترده تصور می‌شود، کسب دانش و گسترش شبکه اجتماعی اولویت دارد؛ وقتی زمان محدود ادراک می‌شود ــ وضعیتی که در سالمندی شایع‌تر است ــ افراد اهداف هیجانی و روابط نزدیک را ترجیح می‌دهند. این تغییر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hint="cs"/>
          <w:lang w:bidi="fa-IR"/>
          <w:rtl/>
        </w:rPr>
        <w:t xml:space="preserve"> در توجه و حافظه همراه دانسته شده است. بازنگری‌های بعدی نظریه بر نقش ادراک پایان‌ها در انگیزش تأکید کرده‌اند (کارستنسن،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hint="cs"/>
          <w:lang w:bidi="fa-IR"/>
          <w:rtl/>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hint="cs"/>
          <w:lang w:bidi="fa-IR"/>
          <w:rtl/>
        </w:rPr>
        <w:t>، ۱۹۹۹؛ کارستنسن،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hint="cs"/>
          <w:lang w:bidi="fa-IR"/>
          <w:rtl/>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hint="cs"/>
          <w:lang w:bidi="fa-IR"/>
          <w:rtl/>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hint="cs"/>
          <w:lang w:bidi="fa-IR"/>
          <w:rtl/>
        </w:rPr>
        <w:t>، ۲۰۱۴؛ کارستنسن،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4" w:name="_Toc238572027"/>
      <w:r>
        <w:rPr>
          <w:rFonts w:ascii="Times New Roman" w:hAnsi="Times New Roman" w:cs="B Titr" w:eastAsia="Times New Roman"/>
          <w:b/>
          <w:bCs/>
          <w:color w:val="000000"/>
          <w:sz w:val="30"/>
          <w:szCs w:val="30"/>
          <w:rtl w:val="1"/>
          <w:cs w:val="1"/>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6" w:name="_Toc238572028"/>
      <w:r>
        <w:rPr>
          <w:rFonts w:ascii="Times New Roman" w:hAnsi="Times New Roman" w:cs="B Titr" w:eastAsia="Times New Roman"/>
          <w:b/>
          <w:bCs/>
          <w:color w:val="000000"/>
          <w:sz w:val="30"/>
          <w:szCs w:val="30"/>
          <w:rtl w:val="1"/>
          <w:cs w:val="1"/>
          <w:lang w:bidi="fa-IR"/>
        </w:rPr>
        <w:t xml:space="preserve">۲-۱-۲-۳-۱- نظریه عدم تعهد</w:t>
      </w:r>
      <w:bookmarkEnd w:id="36"/>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۲۰۲۳).</w:t>
      </w:r>
    </w:p>
    <w:p w14:paraId="31775D5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7" w:name="_Toc238572029"/>
      <w:r>
        <w:rPr>
          <w:rFonts w:ascii="Times New Roman" w:hAnsi="Times New Roman" w:cs="B Titr" w:eastAsia="Times New Roman"/>
          <w:b/>
          <w:bCs/>
          <w:color w:val="000000"/>
          <w:sz w:val="30"/>
          <w:szCs w:val="30"/>
          <w:rtl w:val="1"/>
          <w:cs w:val="1"/>
          <w:lang w:bidi="fa-IR"/>
        </w:rPr>
        <w:t xml:space="preserve">۲-۱-۲-۳-۲- نظریه فعالیت</w:t>
      </w:r>
      <w:bookmarkEnd w:id="37"/>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Fonts w:ascii="Times New Roman" w:eastAsia="Times New Roman" w:hAnsi="Times New Roman" w:hint="cs" w:cs="Times New Roman"/>
          <w:lang w:bidi="fa-IR" w:val="en-US"/>
          <w:sz w:val="20"/>
          <w:szCs w:val="20"/>
          <w:vertAlign w:val="superscript"/>
          <w:rtl w:val="0"/>
        </w:rPr>
        <w:footnoteReference w:id="125"/>
      </w:r>
      <w:r>
        <w:rPr>
          <w:rFonts w:ascii="Times New Roman" w:hAnsi="Times New Roman" w:eastAsia="Times New Roman" w:cs="B Lotus"/>
          <w:sz w:val="28"/>
          <w:szCs w:val="28"/>
          <w:rtl/>
          <w:cs/>
          <w:lang w:bidi="fa-IR" w:val="en-US"/>
        </w:rPr>
        <w:t xml:space="preserve"> و کان</w:t>
      </w:r>
      <w:r>
        <w:rPr>
          <w:rStyle w:val="FootnoteReference"/>
          <w:rFonts w:ascii="Times New Roman" w:eastAsia="Times New Roman" w:hAnsi="Times New Roman" w:hint="cs" w:cs="Times New Roman"/>
          <w:lang w:bidi="fa-IR" w:val="en-US"/>
          <w:sz w:val="20"/>
          <w:szCs w:val="20"/>
          <w:vertAlign w:val="superscript"/>
          <w:rtl w:val="0"/>
        </w:rPr>
        <w:footnoteReference w:id="126"/>
      </w:r>
      <w:r>
        <w:rPr>
          <w:rFonts w:ascii="Times New Roman" w:hAnsi="Times New Roman" w:eastAsia="Times New Roman" w:cs="B Lotus"/>
          <w:sz w:val="28"/>
          <w:szCs w:val="28"/>
          <w:rtl/>
          <w:cs/>
          <w:lang w:bidi="fa-IR" w:val="en-US"/>
        </w:rPr>
        <w:t>، ۲۰۱۵).</w:t>
      </w:r>
    </w:p>
    <w:p w14:paraId="146A3D73" w14:textId="77777777">
      <w:pPr>
        <w:bidi w:val="1"/>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8" w:name="_Toc238572030"/>
      <w:r>
        <w:rPr>
          <w:rFonts w:ascii="Times New Roman" w:hAnsi="Times New Roman" w:cs="B Titr" w:eastAsia="Times New Roman"/>
          <w:b/>
          <w:bCs/>
          <w:color w:val="000000"/>
          <w:sz w:val="30"/>
          <w:szCs w:val="30"/>
          <w:rtl w:val="1"/>
          <w:cs w:val="1"/>
          <w:lang w:bidi="fa-IR"/>
        </w:rPr>
        <w:t xml:space="preserve">۲-۱-۲-۳-۳- نظریه مبادله یا تعامل</w:t>
      </w:r>
      <w:bookmarkEnd w:id="38"/>
    </w:p>
    <w:p w14:paraId="5EA435A4" w14:textId="77777777">
      <w:pPr>
        <w:bidi w:val="1"/>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39" w:name="_Toc238572031"/>
      <w:r>
        <w:rPr>
          <w:rFonts w:ascii="Times New Roman" w:hAnsi="Times New Roman" w:cs="B Titr" w:eastAsia="Times New Roman"/>
          <w:b/>
          <w:bCs/>
          <w:color w:val="000000"/>
          <w:sz w:val="30"/>
          <w:szCs w:val="30"/>
          <w:rtl w:val="1"/>
          <w:cs w:val="1"/>
          <w:lang w:bidi="fa-IR"/>
        </w:rPr>
        <w:t xml:space="preserve">۲-۱-۲-۳-۴- نظریه استمرار</w:t>
      </w:r>
      <w:bookmarkEnd w:id="39"/>
    </w:p>
    <w:p w14:paraId="1A70B65D" w14:textId="77777777">
      <w:pPr>
        <w:bidi w:val="1"/>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Style w:val="FootnoteReference"/>
          <w:rFonts w:ascii="Times New Roman" w:eastAsia="Times New Roman" w:hAnsi="Times New Roman" w:hint="cs" w:cs="Times New Roman"/>
          <w:lang w:bidi="fa-IR" w:val="en-US"/>
          <w:sz w:val="20"/>
          <w:szCs w:val="20"/>
          <w:vertAlign w:val="superscript"/>
          <w:rtl w:val="0"/>
        </w:rPr>
        <w:footnoteReference w:id="23"/>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0" w:name="_Toc238572032"/>
      <w:r>
        <w:rPr>
          <w:rFonts w:ascii="Times New Roman" w:hAnsi="Times New Roman" w:cs="B Titr" w:eastAsia="Times New Roman"/>
          <w:b/>
          <w:bCs/>
          <w:color w:val="000000"/>
          <w:sz w:val="30"/>
          <w:szCs w:val="30"/>
          <w:rtl w:val="1"/>
          <w:cs w:val="1"/>
          <w:lang w:bidi="fa-IR"/>
        </w:rPr>
        <w:t>۲-۲- گستره دوم: اضطراب مرگ</w:t>
      </w:r>
      <w:bookmarkEnd w:id="40"/>
    </w:p>
    <w:p>
      <w:pPr>
        <w:bidi w:val="0"/>
        <w:jc w:val="center"/>
      </w:pPr>
      <w:r>
        <w:drawing xmlns:a="http://schemas.openxmlformats.org/drawingml/2006/main" xmlns:pic="http://schemas.openxmlformats.org/drawingml/2006/picture">
          <wp:inline distT="0" distB="0" distL="0" distR="0">
            <wp:extent cx="5669280" cy="3526015"/>
            <wp:effectExtent l="0" t="0" r="0" b="0"/>
            <wp:docPr id="101" name="tree2.png" descr="درختواره اضطراب مرگ"/>
            <wp:cNvGraphicFramePr>
              <a:graphicFrameLocks noChangeAspect="1"/>
            </wp:cNvGraphicFramePr>
            <a:graphic>
              <a:graphicData uri="http://schemas.openxmlformats.org/drawingml/2006/picture">
                <pic:pic>
                  <pic:nvPicPr>
                    <pic:cNvPr id="0" name="tree2.png"/>
                    <pic:cNvPicPr>
                      <a:picLocks noChangeAspect="1" noChangeArrowheads="1"/>
                    </pic:cNvPicPr>
                  </pic:nvPicPr>
                  <pic:blipFill>
                    <a:blip r:embed="rIdTreePng2"/>
                    <a:stretch>
                      <a:fillRect/>
                    </a:stretch>
                  </pic:blipFill>
                  <pic:spPr bwMode="auto">
                    <a:xfrm>
                      <a:off x="0" y="0"/>
                      <a:ext cx="5669280" cy="3526015"/>
                    </a:xfrm>
                    <a:prstGeom prst="rect">
                      <a:avLst/>
                    </a:prstGeom>
                  </pic:spPr>
                </pic:pic>
              </a:graphicData>
            </a:graphic>
          </wp:inline>
        </w:drawing>
      </w:r>
    </w:p>
    <w:p>
      <w:pPr>
        <w:pStyle w:val="Caption"/>
        <w:keepNext/>
        <w:bidi w:val="1"/>
        <w:spacing w:after="120" w:line="276" w:lineRule="auto"/>
        <w:jc w:val="right"/>
        <w:rPr>
          <w:rFonts w:ascii="Times New Roman" w:hAnsi="Times New Roman" w:eastAsia="Times New Roman" w:cs="B Lotus"/>
          <w:rtl w:val="1"/>
          <w:cs w:val="1"/>
          <w:lang w:bidi="fa-IR" w:val="en-US"/>
        </w:rPr>
      </w:pPr>
      <w:r>
        <w:rPr>
          <w:rFonts w:ascii="Times New Roman" w:hAnsi="Times New Roman" w:eastAsia="Times New Roman" w:cs="B Lotus"/>
          <w:b/>
          <w:bCs/>
          <w:color w:val="1B7A3D"/>
          <w:sz w:val="28"/>
          <w:szCs w:val="28"/>
          <w:rtl w:val="1"/>
          <w:cs w:val="1"/>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1" w:name="_Toc238572033"/>
      <w:r>
        <w:rPr>
          <w:rFonts w:ascii="Times New Roman" w:hAnsi="Times New Roman" w:cs="B Titr" w:eastAsia="Times New Roman"/>
          <w:b/>
          <w:bCs/>
          <w:color w:val="000000"/>
          <w:sz w:val="30"/>
          <w:szCs w:val="30"/>
          <w:rtl w:val="1"/>
          <w:cs w:val="1"/>
          <w:lang w:bidi="fa-IR"/>
        </w:rPr>
        <w:t>۲-۲-۱- مفهوم اضطراب مرگ</w:t>
      </w:r>
      <w:bookmarkEnd w:id="41"/>
    </w:p>
    <w:p w14:paraId="5473E586"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3" w:name="_Toc238572034"/>
      <w:r>
        <w:rPr>
          <w:rFonts w:ascii="Times New Roman" w:hAnsi="Times New Roman" w:cs="B Titr" w:eastAsia="Times New Roman"/>
          <w:b/>
          <w:bCs/>
          <w:color w:val="000000"/>
          <w:sz w:val="30"/>
          <w:szCs w:val="30"/>
          <w:rtl w:val="1"/>
          <w:cs w:val="1"/>
          <w:lang w:bidi="fa-IR"/>
        </w:rPr>
        <w:lastRenderedPageBreak/>
        <w:t xml:space="preserve">۲-۲-۲- </w:t>
      </w:r>
      <w:r>
        <w:rPr>
          <w:rFonts w:ascii="Times New Roman" w:hAnsi="Times New Roman" w:cs="B Titr" w:eastAsia="Times New Roman"/>
          <w:b/>
          <w:bCs/>
          <w:color w:val="000000"/>
          <w:sz w:val="30"/>
          <w:szCs w:val="30"/>
          <w:rtl w:val="1"/>
          <w:cs w:val="1"/>
          <w:lang w:bidi="fa-IR"/>
        </w:rPr>
        <w:t>نظریه‌های</w:t>
      </w:r>
      <w:r>
        <w:rPr>
          <w:rFonts w:ascii="Times New Roman" w:hAnsi="Times New Roman" w:cs="B Titr" w:eastAsia="Times New Roman"/>
          <w:b/>
          <w:bCs/>
          <w:color w:val="000000"/>
          <w:sz w:val="30"/>
          <w:szCs w:val="30"/>
          <w:rtl w:val="1"/>
          <w:cs w:val="1"/>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4" w:name="_Toc238572035"/>
      <w:r>
        <w:rPr>
          <w:rFonts w:ascii="Times New Roman" w:hAnsi="Times New Roman" w:cs="B Titr" w:eastAsia="Times New Roman"/>
          <w:b/>
          <w:bCs/>
          <w:color w:val="000000"/>
          <w:sz w:val="30"/>
          <w:szCs w:val="30"/>
          <w:rtl w:val="1"/>
          <w:cs w:val="1"/>
          <w:lang w:bidi="fa-IR"/>
        </w:rPr>
        <w:t>۲-۲-۲-۱- نظریه فروید (</w:t>
      </w:r>
      <w:r>
        <w:rPr>
          <w:rFonts w:ascii="Times New Roman" w:hAnsi="Times New Roman" w:cs="B Titr" w:eastAsia="Times New Roman"/>
          <w:b/>
          <w:bCs/>
          <w:color w:val="000000"/>
          <w:sz w:val="30"/>
          <w:szCs w:val="30"/>
          <w:rtl w:val="1"/>
          <w:cs w:val="1"/>
          <w:lang w:bidi="fa-IR"/>
        </w:rPr>
        <w:t>روان‌تحلیل‌گری</w:t>
      </w:r>
      <w:r>
        <w:rPr>
          <w:rFonts w:ascii="Times New Roman" w:hAnsi="Times New Roman" w:cs="B Titr" w:eastAsia="Times New Roman"/>
          <w:b/>
          <w:bCs/>
          <w:color w:val="000000"/>
          <w:sz w:val="30"/>
          <w:szCs w:val="30"/>
          <w:rtl w:val="1"/>
          <w:cs w:val="1"/>
          <w:lang w:bidi="fa-IR"/>
        </w:rPr>
        <w:t>)</w:t>
      </w:r>
      <w:bookmarkEnd w:id="44"/>
    </w:p>
    <w:p w14:paraId="49CE6BEC" w14:textId="77777777">
      <w:pPr>
        <w:bidi w:val="1"/>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پژوهش‌های متأخر کمتر از تبیین کاملاً ناهشیار فروید</w:t>
      </w:r>
      <w:r>
        <w:rPr>
          <w:rStyle w:val="FootnoteReference"/>
          <w:rFonts w:ascii="Times New Roman" w:eastAsia="Times New Roman" w:hAnsi="Times New Roman" w:hint="cs" w:cs="Times New Roman"/>
          <w:lang w:bidi="fa-IR" w:val="en-US"/>
          <w:sz w:val="20"/>
          <w:szCs w:val="20"/>
          <w:vertAlign w:val="superscript"/>
          <w:rtl w:val="0"/>
        </w:rPr>
        <w:footnoteReference w:id="31"/>
      </w:r>
      <w:r>
        <w:rPr>
          <w:rFonts w:ascii="Times New Roman" w:hAnsi="Times New Roman" w:eastAsia="Times New Roman" w:cs="B Lotus"/>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6" w:name="_Toc238572036"/>
      <w:r>
        <w:rPr>
          <w:rFonts w:ascii="Times New Roman" w:hAnsi="Times New Roman" w:cs="B Titr" w:eastAsia="Times New Roman"/>
          <w:b/>
          <w:bCs/>
          <w:color w:val="000000"/>
          <w:sz w:val="30"/>
          <w:szCs w:val="30"/>
          <w:rtl w:val="1"/>
          <w:cs w:val="1"/>
          <w:lang w:bidi="fa-IR"/>
        </w:rPr>
        <w:t xml:space="preserve">۲-۲-۲-۲- نظریه </w:t>
      </w:r>
      <w:r>
        <w:rPr>
          <w:rFonts w:ascii="Times New Roman" w:hAnsi="Times New Roman" w:cs="B Titr" w:eastAsia="Times New Roman"/>
          <w:b/>
          <w:bCs/>
          <w:color w:val="000000"/>
          <w:sz w:val="30"/>
          <w:szCs w:val="30"/>
          <w:rtl w:val="1"/>
          <w:cs w:val="1"/>
          <w:lang w:bidi="fa-IR"/>
        </w:rPr>
        <w:t>یالوم</w:t>
      </w:r>
      <w:r>
        <w:rPr>
          <w:rFonts w:ascii="Times New Roman" w:hAnsi="Times New Roman" w:cs="B Titr" w:eastAsia="Times New Roman"/>
          <w:b/>
          <w:bCs/>
          <w:color w:val="000000"/>
          <w:sz w:val="30"/>
          <w:szCs w:val="30"/>
          <w:rtl w:val="1"/>
          <w:cs w:val="1"/>
          <w:lang w:bidi="fa-IR"/>
        </w:rPr>
        <w:t xml:space="preserve"> (</w:t>
      </w:r>
      <w:r>
        <w:rPr>
          <w:rFonts w:ascii="Times New Roman" w:hAnsi="Times New Roman" w:cs="B Titr" w:eastAsia="Times New Roman"/>
          <w:b/>
          <w:bCs/>
          <w:color w:val="000000"/>
          <w:sz w:val="30"/>
          <w:szCs w:val="30"/>
          <w:rtl w:val="1"/>
          <w:cs w:val="1"/>
          <w:lang w:bidi="fa-IR"/>
        </w:rPr>
        <w:t>وجودگرایی</w:t>
      </w:r>
      <w:r>
        <w:rPr>
          <w:rFonts w:ascii="Times New Roman" w:hAnsi="Times New Roman" w:cs="B Titr" w:eastAsia="Times New Roman"/>
          <w:b/>
          <w:bCs/>
          <w:color w:val="000000"/>
          <w:sz w:val="30"/>
          <w:szCs w:val="30"/>
          <w:rtl w:val="1"/>
          <w:cs w:val="1"/>
          <w:lang w:bidi="fa-IR"/>
        </w:rPr>
        <w:t>)</w:t>
      </w:r>
      <w:bookmarkEnd w:id="46"/>
    </w:p>
    <w:p w14:paraId="4FE7C253" w14:textId="77777777">
      <w:pPr>
        <w:bidi w:val="1"/>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رویکردهای وجودی معاصر همچنان بر چهار دغدغه یالوم</w:t>
      </w:r>
      <w:r>
        <w:rPr>
          <w:rStyle w:val="FootnoteReference"/>
          <w:rFonts w:ascii="Times New Roman" w:eastAsia="Times New Roman" w:hAnsi="Times New Roman" w:hint="cs" w:cs="Times New Roman"/>
          <w:lang w:bidi="fa-IR" w:val="en-US"/>
          <w:sz w:val="20"/>
          <w:szCs w:val="20"/>
          <w:vertAlign w:val="superscript"/>
          <w:rtl w:val="0"/>
        </w:rPr>
        <w:footnoteReference w:id="80"/>
      </w:r>
      <w:r>
        <w:rPr>
          <w:rFonts w:ascii="Times New Roman" w:hAnsi="Times New Roman" w:eastAsia="Times New Roman" w:cs="B Lotus"/>
          <w:sz w:val="28"/>
          <w:szCs w:val="28"/>
          <w:rtl/>
          <w:cs/>
          <w:lang w:bidi="fa-IR" w:val="en-US"/>
        </w:rPr>
        <w:t xml:space="preserve"> تأکید دارند؛ در کنار آن، نظریه مدیریت معنا</w:t>
      </w:r>
      <w:r>
        <w:rPr>
          <w:rStyle w:val="FootnoteReference"/>
          <w:rFonts w:ascii="Times New Roman" w:eastAsia="Times New Roman" w:hAnsi="Times New Roman" w:hint="cs" w:cs="Times New Roman"/>
          <w:lang w:bidi="fa-IR" w:val="en-US"/>
          <w:sz w:val="20"/>
          <w:szCs w:val="20"/>
          <w:vertAlign w:val="superscript"/>
          <w:rtl w:val="0"/>
        </w:rPr>
        <w:footnoteReference w:id="130"/>
      </w:r>
      <w:r>
        <w:rPr>
          <w:rFonts w:ascii="Times New Roman" w:hAnsi="Times New Roman" w:eastAsia="Times New Roman" w:cs="B Lotus"/>
          <w:sz w:val="28"/>
          <w:szCs w:val="28"/>
          <w:rtl/>
          <w:cs/>
          <w:lang w:bidi="fa-IR" w:val="en-US"/>
        </w:rPr>
        <w:t xml:space="preserve"> بیان می‌کند که معناجویی و پذیرش مرگ، مسیر سازگاری سالم‌تر در مواجهه با فناپذیری است (وانگ</w:t>
      </w:r>
      <w:r>
        <w:rPr>
          <w:rStyle w:val="FootnoteReference"/>
          <w:rFonts w:ascii="Times New Roman" w:eastAsia="Times New Roman" w:hAnsi="Times New Roman" w:hint="cs" w:cs="Times New Roman"/>
          <w:lang w:bidi="fa-IR" w:val="en-US"/>
          <w:sz w:val="20"/>
          <w:szCs w:val="20"/>
          <w:vertAlign w:val="superscript"/>
          <w:rtl w:val="0"/>
        </w:rPr>
        <w:footnoteReference w:id="131"/>
      </w:r>
      <w:r>
        <w:rPr>
          <w:rFonts w:ascii="Times New Roman" w:hAnsi="Times New Roman" w:eastAsia="Times New Roman" w:cs="B Lotus"/>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8" w:name="_Toc238572037"/>
      <w:r>
        <w:rPr>
          <w:rFonts w:ascii="Times New Roman" w:hAnsi="Times New Roman" w:cs="B Titr" w:eastAsia="Times New Roman"/>
          <w:b/>
          <w:bCs/>
          <w:color w:val="000000"/>
          <w:sz w:val="30"/>
          <w:szCs w:val="30"/>
          <w:rtl w:val="1"/>
          <w:cs w:val="1"/>
          <w:lang w:bidi="fa-IR"/>
        </w:rPr>
        <w:t>۲-۲-۲-۳- نظریه مدیریت وحشت (</w:t>
      </w:r>
      <w:r>
        <w:rPr>
          <w:rFonts w:ascii="Times New Roman" w:hAnsi="Times New Roman" w:cs="B Titr" w:eastAsia="Times New Roman"/>
          <w:b/>
          <w:bCs/>
          <w:color w:val="000000"/>
          <w:sz w:val="30"/>
          <w:szCs w:val="30"/>
          <w:rtl w:val="1"/>
          <w:cs w:val="1"/>
          <w:lang w:bidi="fa-IR" w:val="en-US"/>
        </w:rPr>
        <w:t>TMT)</w:t>
      </w:r>
      <w:bookmarkEnd w:id="48"/>
    </w:p>
    <w:p w14:paraId="4B5542D5" w14:textId="77777777">
      <w:pPr>
        <w:bidi w:val="1"/>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Fonts w:ascii="Times New Roman" w:eastAsia="Times New Roman" w:hAnsi="Times New Roman" w:hint="cs" w:cs="Times New Roman"/>
          <w:lang w:bidi="fa-IR" w:val="en-US"/>
          <w:sz w:val="20"/>
          <w:szCs w:val="20"/>
          <w:vertAlign w:val="superscript"/>
          <w:rtl w:val="0"/>
        </w:rPr>
        <w:footnoteReference w:id="127"/>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49" w:name="_Toc238572038"/>
      <w:r>
        <w:rPr>
          <w:rFonts w:ascii="Times New Roman" w:hAnsi="Times New Roman" w:cs="B Titr" w:eastAsia="Times New Roman"/>
          <w:b/>
          <w:bCs/>
          <w:color w:val="000000"/>
          <w:sz w:val="30"/>
          <w:szCs w:val="30"/>
          <w:rtl w:val="1"/>
          <w:cs w:val="1"/>
          <w:lang w:bidi="fa-IR"/>
        </w:rPr>
        <w:t>۲-۲-۲-۴- نظریه دلبستگی</w:t>
      </w:r>
      <w:bookmarkEnd w:id="49"/>
    </w:p>
    <w:p w14:paraId="7311123B" w14:textId="77777777">
      <w:pPr>
        <w:bidi w:val="1"/>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0" w:name="_Toc238572039"/>
      <w:r>
        <w:rPr>
          <w:rFonts w:ascii="Times New Roman" w:hAnsi="Times New Roman" w:cs="B Titr" w:eastAsia="Times New Roman"/>
          <w:b/>
          <w:bCs/>
          <w:color w:val="000000"/>
          <w:sz w:val="30"/>
          <w:szCs w:val="30"/>
          <w:rtl w:val="1"/>
          <w:cs w:val="1"/>
          <w:lang w:bidi="fa-IR"/>
        </w:rPr>
        <w:lastRenderedPageBreak/>
        <w:t>۲-۲-۳- ابعاد اضطراب مرگ</w:t>
      </w:r>
      <w:bookmarkEnd w:id="50"/>
    </w:p>
    <w:p>
      <w:pPr>
        <w:bidi w:val="1"/>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bidi w:val="1"/>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1" w:name="_Toc238572040"/>
      <w:r>
        <w:rPr>
          <w:rFonts w:ascii="Times New Roman" w:hAnsi="Times New Roman" w:cs="B Titr" w:eastAsia="Times New Roman"/>
          <w:b/>
          <w:bCs/>
          <w:color w:val="000000"/>
          <w:sz w:val="30"/>
          <w:szCs w:val="30"/>
          <w:rtl w:val="1"/>
          <w:cs w:val="1"/>
          <w:lang w:bidi="fa-IR"/>
        </w:rPr>
        <w:t>۲-۲-۴- عوامل مؤثر بر اضطراب مرگ در سالمندان</w:t>
      </w:r>
      <w:bookmarkEnd w:id="51"/>
    </w:p>
    <w:p w14:paraId="14442CB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bidi w:val="1"/>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2" w:name="_Toc238572041"/>
      <w:r>
        <w:rPr>
          <w:rFonts w:ascii="Times New Roman" w:hAnsi="Times New Roman" w:cs="B Titr" w:eastAsia="Times New Roman"/>
          <w:b/>
          <w:bCs/>
          <w:color w:val="000000"/>
          <w:sz w:val="30"/>
          <w:szCs w:val="30"/>
          <w:rtl w:val="1"/>
          <w:cs w:val="1"/>
          <w:lang w:bidi="fa-IR"/>
        </w:rPr>
        <w:t>۲-۲-۵- اضطراب مرگ و سالمندی</w:t>
      </w:r>
      <w:bookmarkEnd w:id="52"/>
    </w:p>
    <w:p w14:paraId="4A610D42"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bidi w:val="1"/>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3" w:name="_Toc238572042"/>
      <w:r>
        <w:rPr>
          <w:rFonts w:ascii="Times New Roman" w:hAnsi="Times New Roman" w:cs="B Titr" w:eastAsia="Times New Roman"/>
          <w:b/>
          <w:bCs/>
          <w:color w:val="000000"/>
          <w:sz w:val="30"/>
          <w:szCs w:val="30"/>
          <w:rtl w:val="1"/>
          <w:cs w:val="1"/>
          <w:lang w:bidi="fa-IR"/>
        </w:rPr>
        <w:t>۲-۲-۶- پیامدهای اضطراب مرگ</w:t>
      </w:r>
      <w:bookmarkEnd w:id="53"/>
    </w:p>
    <w:p w14:paraId="54DBB1F0"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bidi w:val="1"/>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bidi w:val="1"/>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Fonts w:ascii="Times New Roman" w:eastAsia="Times New Roman" w:hAnsi="Times New Roman" w:hint="cs" w:cs="Times New Roman"/>
          <w:lang w:bidi="fa-IR" w:val="en-US"/>
          <w:sz w:val="20"/>
          <w:szCs w:val="20"/>
          <w:vertAlign w:val="superscript"/>
          <w:rtl w:val="0"/>
        </w:rPr>
        <w:footnoteReference w:id="12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۲۰۱۴؛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xml:space="preserve"> و منزیس</w:t>
      </w:r>
      <w:r>
        <w:rPr>
          <w:rStyle w:val="FootnoteReference"/>
          <w:rFonts w:ascii="Times New Roman" w:eastAsia="Times New Roman" w:hAnsi="Times New Roman" w:hint="cs" w:cs="Times New Roman"/>
          <w:lang w:bidi="fa-IR" w:val="en-US"/>
          <w:sz w:val="20"/>
          <w:szCs w:val="20"/>
          <w:vertAlign w:val="superscript"/>
          <w:rtl w:val="0"/>
        </w:rPr>
        <w:footnoteReference w:id="129"/>
      </w:r>
      <w:r>
        <w:rPr>
          <w:rFonts w:ascii="Times New Roman" w:hAnsi="Times New Roman" w:eastAsia="Times New Roman" w:cs="B Lotus"/>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5" w:name="_Toc238572043"/>
      <w:r>
        <w:rPr>
          <w:rFonts w:ascii="Times New Roman" w:hAnsi="Times New Roman" w:cs="B Titr" w:eastAsia="Times New Roman"/>
          <w:b/>
          <w:bCs/>
          <w:color w:val="000000"/>
          <w:sz w:val="30"/>
          <w:szCs w:val="30"/>
          <w:rtl w:val="1"/>
          <w:cs w:val="1"/>
          <w:lang w:bidi="fa-IR"/>
        </w:rPr>
        <w:lastRenderedPageBreak/>
        <w:t>۲-۳- گستره سوم: هوش معنوی</w:t>
      </w:r>
      <w:bookmarkEnd w:id="55"/>
    </w:p>
    <w:p>
      <w:pPr>
        <w:bidi w:val="0"/>
        <w:jc w:val="center"/>
      </w:pPr>
      <w:r>
        <w:drawing xmlns:a="http://schemas.openxmlformats.org/drawingml/2006/main" xmlns:pic="http://schemas.openxmlformats.org/drawingml/2006/picture">
          <wp:inline distT="0" distB="0" distL="0" distR="0">
            <wp:extent cx="5669280" cy="3526015"/>
            <wp:effectExtent l="0" t="0" r="0" b="0"/>
            <wp:docPr id="102" name="tree3.png" descr="درختواره هوش معنوی"/>
            <wp:cNvGraphicFramePr>
              <a:graphicFrameLocks noChangeAspect="1"/>
            </wp:cNvGraphicFramePr>
            <a:graphic>
              <a:graphicData uri="http://schemas.openxmlformats.org/drawingml/2006/picture">
                <pic:pic>
                  <pic:nvPicPr>
                    <pic:cNvPr id="0" name="tree3.png"/>
                    <pic:cNvPicPr>
                      <a:picLocks noChangeAspect="1" noChangeArrowheads="1"/>
                    </pic:cNvPicPr>
                  </pic:nvPicPr>
                  <pic:blipFill>
                    <a:blip r:embed="rIdTreePng3"/>
                    <a:stretch>
                      <a:fillRect/>
                    </a:stretch>
                  </pic:blipFill>
                  <pic:spPr bwMode="auto">
                    <a:xfrm>
                      <a:off x="0" y="0"/>
                      <a:ext cx="5669280" cy="3526015"/>
                    </a:xfrm>
                    <a:prstGeom prst="rect">
                      <a:avLst/>
                    </a:prstGeom>
                  </pic:spPr>
                </pic:pic>
              </a:graphicData>
            </a:graphic>
          </wp:inline>
        </w:drawing>
      </w:r>
    </w:p>
    <w:p>
      <w:pPr>
        <w:pStyle w:val="Caption"/>
        <w:keepNext/>
        <w:bidi w:val="1"/>
        <w:spacing w:after="120" w:line="276" w:lineRule="auto"/>
        <w:jc w:val="right"/>
        <w:rPr>
          <w:rFonts w:ascii="Times New Roman" w:hAnsi="Times New Roman" w:eastAsia="Times New Roman" w:cs="B Lotus"/>
          <w:rtl w:val="1"/>
          <w:cs w:val="1"/>
          <w:lang w:bidi="fa-IR" w:val="en-US"/>
        </w:rPr>
      </w:pPr>
      <w:r>
        <w:rPr>
          <w:rFonts w:ascii="Times New Roman" w:hAnsi="Times New Roman" w:eastAsia="Times New Roman" w:cs="B Lotus"/>
          <w:b/>
          <w:bCs/>
          <w:color w:val="1B7A3D"/>
          <w:sz w:val="28"/>
          <w:szCs w:val="28"/>
          <w:rtl w:val="1"/>
          <w:cs w:val="1"/>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57" w:name="_Toc238572044"/>
      <w:r>
        <w:rPr>
          <w:rFonts w:ascii="Times New Roman" w:hAnsi="Times New Roman" w:cs="B Titr" w:eastAsia="Times New Roman"/>
          <w:b/>
          <w:bCs/>
          <w:color w:val="000000"/>
          <w:sz w:val="30"/>
          <w:szCs w:val="30"/>
          <w:rtl w:val="1"/>
          <w:cs w:val="1"/>
          <w:lang w:bidi="fa-IR"/>
        </w:rPr>
        <w:t>۲-۳-۱- مفهوم هوش معنوی</w:t>
      </w:r>
      <w:bookmarkEnd w:id="57"/>
    </w:p>
    <w:p w14:paraId="772319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rPr>
        <w:t>سؤال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rPr>
        <w:t>فرانکل،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val="1"/>
          <w:cs w:val="1"/>
          <w:lang w:bidi="fa-IR"/>
        </w:rPr>
        <w:t>۲-۳-۲- دیدگاه فضیلت گرایانه به هوش معنوی</w:t>
      </w:r>
      <w:bookmarkEnd w:id="59"/>
    </w:p>
    <w:p w14:paraId="6F06039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rPr>
        <w:t>بهزیستی هیجانی،</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rPr>
        <w:t>نقطه مقابل شکوفایی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در نقطه مقابل کمیت، قرار گرفته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rPr>
        <w:t>اپیکوری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rPr>
        <w:t>برای اولین بار 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 بر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rPr>
        <w:t>استقلال ساختاری</w:t>
      </w:r>
      <w:r>
        <w:rPr>
          <w:rFonts w:ascii="Times New Roman" w:eastAsia="Times New Roman" w:hAnsi="Times New Roman" w:hint="cs"/>
          <w:lang w:bidi="fa-IR"/>
          <w:rtl/>
        </w:rPr>
        <w:t xml:space="preserve">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rPr>
        <w:t>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تأکید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hAnsi="Times New Roman" w:eastAsia="Times New Roman" w:cs="B Lotus"/>
          <w:sz w:val="28"/>
          <w:szCs w:val="28"/>
          <w:rtl/>
          <w:cs/>
          <w:lang w:bidi="fa-IR" w:val="en-US"/>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Fonts w:ascii="Times New Roman" w:eastAsia="Times New Roman" w:hAnsi="Times New Roman" w:hint="cs" w:cs="Times New Roman"/>
          <w:lang w:bidi="fa-IR" w:val="en-US"/>
          <w:sz w:val="20"/>
          <w:szCs w:val="20"/>
          <w:vertAlign w:val="superscript"/>
          <w:rtl w:val="0"/>
        </w:rPr>
        <w:footnoteReference w:id="96"/>
      </w:r>
      <w:r>
        <w:rPr>
          <w:rFonts w:ascii="Times New Roman" w:hAnsi="Times New Roman" w:eastAsia="Times New Roman" w:cs="B Lotus"/>
          <w:sz w:val="28"/>
          <w:szCs w:val="28"/>
          <w:rtl/>
          <w:cs/>
          <w:lang w:bidi="fa-IR" w:val="en-US"/>
        </w:rPr>
        <w:t xml:space="preserve"> برمی‌آید که سلامت و بیماری را دو پیوستار جدا می‌داند؛ بنابراین وجود تنش لزوماً به معنای فقدان کامل سلامت نیست و چهار حالت از ترکیب دو بُعد سلامت معنوی (کامل/ناکامل) و تنش معنوی (کامل/ناکامل) به‌دست می‌آید (کیز، ۲۰۰۲).</w:t>
      </w:r>
    </w:p>
    <w:p w14:paraId="1877310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r>
        <w:rPr>
          <w:rFonts w:ascii="Times New Roman" w:hAnsi="Times New Roman" w:cs="B Titr" w:eastAsia="Times New Roman"/>
          <w:b/>
          <w:bCs/>
          <w:color w:val="000000"/>
          <w:kern w:val="32"/>
          <w:sz w:val="30"/>
          <w:szCs w:val="30"/>
          <w:rtl w:val="1"/>
          <w:cs w:val="1"/>
          <w:lang w:bidi="fa-IR"/>
        </w:rPr>
        <w:t>۲-۳-۳- عوامل مؤثر بر هوش معنوی</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w:t>
      </w:r>
      <w:r>
        <w:rPr>
          <w:rFonts w:ascii="Times New Roman" w:eastAsia="Times New Roman" w:hAnsi="Times New Roman" w:hint="cs"/>
          <w:lang w:bidi="fa-IR"/>
          <w:rtl/>
        </w:rPr>
        <w:t>،</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val="1"/>
          <w:cs w:val="1"/>
          <w:lang w:bidi="fa-IR" w:val="en-US"/>
        </w:rPr>
      </w:pPr>
      <w:bookmarkStart w:id="5003" w:name="_Toc238572201"/>
      <w:r>
        <w:rPr>
          <w:rFonts w:ascii="Times New Roman" w:hAnsi="Times New Roman" w:cs="B Titr" w:eastAsia="Times New Roman"/>
          <w:b/>
          <w:bCs/>
          <w:color w:val="000000"/>
          <w:kern w:val="32"/>
          <w:sz w:val="30"/>
          <w:szCs w:val="30"/>
          <w:rtl w:val="1"/>
          <w:cs w:val="1"/>
          <w:lang w:bidi="fa-IR"/>
        </w:rPr>
        <w:t>۲-۳-۴- مدل چهارعاملی هوش معنوی کینگ</w:t>
      </w:r>
      <w:bookmarkEnd w:id="5003"/>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کینگ</w:t>
      </w:r>
      <w:r>
        <w:rPr>
          <w:rStyle w:val="FootnoteReference"/>
          <w:rFonts w:ascii="Times New Roman" w:eastAsia="Times New Roman" w:hAnsi="Times New Roman" w:hint="cs" w:cs="Times New Roman"/>
          <w:lang w:bidi="fa-IR" w:val="en-US"/>
          <w:sz w:val="20"/>
          <w:szCs w:val="20"/>
          <w:vertAlign w:val="superscript"/>
          <w:rtl w:val="0"/>
        </w:rPr>
        <w:footnoteReference w:id="134"/>
      </w:r>
      <w:r>
        <w:rPr>
          <w:rFonts w:ascii="Times New Roman" w:eastAsia="Times New Roman" w:hAnsi="Times New Roman" w:hint="cs"/>
          <w:lang w:bidi="fa-IR"/>
          <w:rtl/>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eastAsia="Times New Roman" w:hAnsi="Times New Roman" w:hint="cs"/>
          <w:lang w:bidi="fa-IR"/>
          <w:rtl/>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1" w:name="_Toc238572047"/>
      <w:r>
        <w:rPr>
          <w:rFonts w:ascii="Times New Roman" w:hAnsi="Times New Roman" w:cs="B Titr" w:eastAsia="Times New Roman"/>
          <w:b/>
          <w:bCs/>
          <w:color w:val="000000"/>
          <w:sz w:val="30"/>
          <w:szCs w:val="30"/>
          <w:rtl w:val="1"/>
          <w:cs w:val="1"/>
          <w:lang w:bidi="fa-IR"/>
        </w:rPr>
        <w:t>۲-۴- گستره چهارم: اضطراب سلامتی</w:t>
      </w:r>
      <w:bookmarkEnd w:id="61"/>
    </w:p>
    <w:p>
      <w:pPr>
        <w:bidi w:val="0"/>
        <w:jc w:val="center"/>
      </w:pPr>
      <w:r>
        <w:drawing xmlns:a="http://schemas.openxmlformats.org/drawingml/2006/main" xmlns:pic="http://schemas.openxmlformats.org/drawingml/2006/picture">
          <wp:inline distT="0" distB="0" distL="0" distR="0">
            <wp:extent cx="5669280" cy="3526015"/>
            <wp:effectExtent l="0" t="0" r="0" b="0"/>
            <wp:docPr id="103" name="tree4.png" descr="درختواره اضطراب سلامت"/>
            <wp:cNvGraphicFramePr>
              <a:graphicFrameLocks noChangeAspect="1"/>
            </wp:cNvGraphicFramePr>
            <a:graphic>
              <a:graphicData uri="http://schemas.openxmlformats.org/drawingml/2006/picture">
                <pic:pic>
                  <pic:nvPicPr>
                    <pic:cNvPr id="0" name="tree4.png"/>
                    <pic:cNvPicPr>
                      <a:picLocks noChangeAspect="1" noChangeArrowheads="1"/>
                    </pic:cNvPicPr>
                  </pic:nvPicPr>
                  <pic:blipFill>
                    <a:blip r:embed="rIdTreePng4"/>
                    <a:stretch>
                      <a:fillRect/>
                    </a:stretch>
                  </pic:blipFill>
                  <pic:spPr bwMode="auto">
                    <a:xfrm>
                      <a:off x="0" y="0"/>
                      <a:ext cx="5669280" cy="3526015"/>
                    </a:xfrm>
                    <a:prstGeom prst="rect">
                      <a:avLst/>
                    </a:prstGeom>
                  </pic:spPr>
                </pic:pic>
              </a:graphicData>
            </a:graphic>
          </wp:inline>
        </w:drawing>
      </w:r>
    </w:p>
    <w:p>
      <w:pPr>
        <w:pStyle w:val="Caption"/>
        <w:keepNext/>
        <w:bidi w:val="1"/>
        <w:spacing w:after="120" w:line="276" w:lineRule="auto"/>
        <w:jc w:val="right"/>
        <w:rPr>
          <w:rFonts w:ascii="Times New Roman" w:hAnsi="Times New Roman" w:eastAsia="Times New Roman" w:cs="B Lotus"/>
          <w:rtl w:val="1"/>
          <w:cs w:val="1"/>
          <w:lang w:bidi="fa-IR" w:val="en-US"/>
        </w:rPr>
      </w:pPr>
      <w:r>
        <w:rPr>
          <w:rFonts w:ascii="Times New Roman" w:hAnsi="Times New Roman" w:eastAsia="Times New Roman" w:cs="B Lotus"/>
          <w:b/>
          <w:bCs/>
          <w:color w:val="1B7A3D"/>
          <w:sz w:val="28"/>
          <w:szCs w:val="28"/>
          <w:rtl w:val="1"/>
          <w:cs w:val="1"/>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2" w:name="_Toc238572048"/>
      <w:r>
        <w:rPr>
          <w:rFonts w:ascii="Times New Roman" w:hAnsi="Times New Roman" w:cs="B Titr" w:eastAsia="Times New Roman"/>
          <w:b/>
          <w:bCs/>
          <w:color w:val="000000"/>
          <w:sz w:val="30"/>
          <w:szCs w:val="30"/>
          <w:rtl w:val="1"/>
          <w:cs w:val="1"/>
          <w:lang w:bidi="fa-IR"/>
        </w:rPr>
        <w:t>۲-۴-۱- مفهوم اضطراب سلامتی</w:t>
      </w:r>
      <w:bookmarkEnd w:id="62"/>
    </w:p>
    <w:p w14:paraId="6DCB5BA4"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bidi w:val="1"/>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bidi w:val="1"/>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Style w:val="FootnoteReference"/>
          <w:rFonts w:ascii="Times New Roman" w:eastAsia="Times New Roman" w:hAnsi="Times New Roman" w:hint="cs" w:cs="Times New Roman"/>
          <w:lang w:bidi="fa-IR" w:val="en-US"/>
          <w:sz w:val="20"/>
          <w:szCs w:val="20"/>
          <w:vertAlign w:val="superscript"/>
          <w:rtl w:val="0"/>
        </w:rPr>
        <w:footnoteReference w:id="105"/>
      </w:r>
      <w:r>
        <w:rPr>
          <w:rFonts w:ascii="Times New Roman" w:hAnsi="Times New Roman" w:eastAsia="Times New Roman" w:cs="B Lotus"/>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Style w:val="FootnoteReference"/>
          <w:rFonts w:ascii="Times New Roman" w:eastAsia="Times New Roman" w:hAnsi="Times New Roman" w:hint="cs" w:cs="Times New Roman"/>
          <w:lang w:bidi="fa-IR" w:val="en-US"/>
          <w:sz w:val="20"/>
          <w:szCs w:val="20"/>
          <w:vertAlign w:val="superscript"/>
          <w:rtl w:val="0"/>
        </w:rPr>
        <w:footnoteReference w:id="56"/>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۲۰۲۲؛ 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hAnsi="Times New Roman" w:eastAsia="Times New Roman" w:cs="B Lotus"/>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65" w:name="_Toc238572049"/>
      <w:r>
        <w:rPr>
          <w:rFonts w:ascii="Times New Roman" w:hAnsi="Times New Roman" w:cs="B Titr" w:eastAsia="Times New Roman"/>
          <w:b/>
          <w:bCs/>
          <w:color w:val="000000"/>
          <w:sz w:val="30"/>
          <w:szCs w:val="30"/>
          <w:rtl w:val="1"/>
          <w:cs w:val="1"/>
          <w:lang w:bidi="fa-IR"/>
        </w:rPr>
        <w:lastRenderedPageBreak/>
        <w:t xml:space="preserve">۲-۴-۲- </w:t>
      </w:r>
      <w:r>
        <w:rPr>
          <w:rFonts w:ascii="Times New Roman" w:hAnsi="Times New Roman" w:cs="B Titr" w:eastAsia="Times New Roman"/>
          <w:b/>
          <w:bCs/>
          <w:color w:val="000000"/>
          <w:sz w:val="30"/>
          <w:szCs w:val="30"/>
          <w:rtl w:val="1"/>
          <w:cs w:val="1"/>
          <w:lang w:bidi="fa-IR"/>
        </w:rPr>
        <w:t>مدل‌های</w:t>
      </w:r>
      <w:r>
        <w:rPr>
          <w:rFonts w:ascii="Times New Roman" w:hAnsi="Times New Roman" w:cs="B Titr" w:eastAsia="Times New Roman"/>
          <w:b/>
          <w:bCs/>
          <w:color w:val="000000"/>
          <w:sz w:val="30"/>
          <w:szCs w:val="30"/>
          <w:rtl w:val="1"/>
          <w:cs w:val="1"/>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7" w:name="_Toc238572050"/>
      <w:r>
        <w:rPr>
          <w:rFonts w:ascii="Times New Roman" w:hAnsi="Times New Roman" w:cs="B Titr" w:eastAsia="Times New Roman"/>
          <w:b/>
          <w:bCs/>
          <w:color w:val="000000"/>
          <w:sz w:val="30"/>
          <w:szCs w:val="30"/>
          <w:rtl w:val="1"/>
          <w:cs w:val="1"/>
          <w:lang w:bidi="fa-IR"/>
        </w:rPr>
        <w:t>۲-۴-۲-۱- مدل شناختی-رفتاری</w:t>
      </w:r>
      <w:bookmarkEnd w:id="67"/>
    </w:p>
    <w:p w14:paraId="456B13ED"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صورت‌بندی کلاسیک این مدل را سالکوویس</w:t>
      </w:r>
      <w:r>
        <w:rPr>
          <w:rFonts w:ascii="Times New Roman" w:hAnsi="Times New Roman" w:eastAsia="Times New Roman" w:cs="Times New Roman"/>
          <w:rStyle w:val="FootnoteReference"/>
          <w:sz w:val="20"/>
          <w:szCs w:val="20"/>
          <w:vertAlign w:val="superscript"/>
          <w:rtl w:val="0"/>
          <w:cs w:val="0"/>
          <w:lang w:val="en-US"/>
        </w:rPr>
        <w:footnoteReference w:id="87"/>
      </w:r>
      <w:r>
        <w:rPr>
          <w:rFonts w:ascii="Times New Roman" w:hAnsi="Times New Roman" w:hint="cs"/>
          <w:lang w:bidi="fa-IR"/>
          <w:rtl/>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hint="cs"/>
          <w:lang w:bidi="fa-IR"/>
          <w:rtl/>
        </w:rPr>
        <w:t xml:space="preserve"> ارائه کردند. اضطراب سلامت وقتی پایدار می‌شود که باورهای ناکارآمد درباره بیماری فعال شوند. این باورها معمولاً در چهار محور جای می‌گیرند:</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۱- باور به احتمال بالا یا حتی قطعی بودن ابتلا به بیماری، یا وجود پنهان آن؛</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۲- باور به وحشتناکی پیامدهای بیماری؛</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۳- باور به ناتوانی فرد در مقابله با بیماری؛</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۴- باور به ناکافی‌بودن یا غیرقابل‌اعتماد بودن خدمات پزشکی (سالکوویس و وارویک، ۱۹۹۰؛ تیلور و آسموندسون</w:t>
      </w:r>
      <w:r>
        <w:rPr>
          <w:rFonts w:ascii="Times New Roman" w:hAnsi="Times New Roman" w:eastAsia="Times New Roman" w:cs="Times New Roman"/>
          <w:rStyle w:val="FootnoteReference"/>
          <w:sz w:val="20"/>
          <w:szCs w:val="20"/>
          <w:vertAlign w:val="superscript"/>
          <w:rtl w:val="0"/>
          <w:cs w:val="0"/>
          <w:lang w:val="en-US"/>
        </w:rPr>
        <w:footnoteReference w:id="54"/>
      </w:r>
      <w:r>
        <w:rPr>
          <w:rFonts w:ascii="Times New Roman" w:hAnsi="Times New Roman" w:hint="cs"/>
          <w:lang w:bidi="fa-IR"/>
          <w:rtl/>
        </w:rPr>
        <w:t>، ۲۰۲۱).</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این باورها با چهار سازوکار درهم‌تنیده تداوم می‌یابند. توجه انتخابی به حس‌های بدنی و سوگیری تأیید، اطلاعات ناسازگار با تهدید را کنار می‌گذارد. برانگیختگی فیزیولوژیک خودش به نشانهٔ تازه بدل می‌شود. ترس دامنهٔ پردازش را تنگ می‌کند. بررسی مکرر بدن، اطمینان‌خواهی پزشکی، اجتناب و جست‌وجوی اطلاعات اضطراب را کوتاه‌مدت کم می‌کنند، اما فرصت آزمون باور را می‌گیرند. اطمینان‌خواهی از این منظر تأمین اطلاعات نیست؛ رفتار ایمنی‌بخش است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hint="cs"/>
          <w:lang w:bidi="fa-IR"/>
          <w:rtl/>
        </w:rPr>
        <w:t xml:space="preserve"> و سالکوویس، ۲۰۲۳؛ کیکاس</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hint="cs"/>
          <w:lang w:bidi="fa-IR"/>
          <w:rtl/>
        </w:rPr>
        <w:t xml:space="preserve"> و همکاران، ۲۰۲۴).</w:t>
      </w:r>
    </w:p>
    <w:p>
      <w:pPr>
        <w:bidi w:val="1"/>
        <w:spacing w:after="0" w:line="276" w:lineRule="auto"/>
        <w:ind w:firstLine="397"/>
        <w:jc w:val="both"/>
        <w:rPr>
          <w:rFonts w:ascii="Times New Roman" w:hAnsi="Times New Roman"/>
          <w:lang w:bidi="fa-IR"/>
        </w:rPr>
      </w:pPr>
      <w:r>
        <w:rPr>
          <w:rFonts w:ascii="Times New Roman" w:hAnsi="Times New Roman" w:eastAsia="Times New Roman" w:cs="B Lotus"/>
          <w:sz w:val="28"/>
          <w:szCs w:val="28"/>
          <w:rtl/>
          <w:cs/>
          <w:lang w:bidi="fa-IR" w:val="en-US"/>
        </w:rPr>
        <w:t>در سالمندی همین چرخه غالباً بر بستر نشانه‌های جسمانی واقعی، بیماری مزمن و مراجعات پزشکی مکرر عمل می‌کند؛ بنابراین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نشان می‌دهد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۲۰۲۳؛ گولد</w:t>
      </w:r>
      <w:r>
        <w:rPr>
          <w:rStyle w:val="FootnoteReference"/>
          <w:rFonts w:ascii="Times New Roman" w:eastAsia="Times New Roman" w:hAnsi="Times New Roman" w:hint="cs" w:cs="Times New Roman"/>
          <w:lang w:bidi="fa-IR" w:val="en-US"/>
          <w:sz w:val="20"/>
          <w:szCs w:val="20"/>
          <w:vertAlign w:val="superscript"/>
          <w:rtl w:val="0"/>
        </w:rPr>
        <w:footnoteReference w:id="64"/>
      </w:r>
      <w:r>
        <w:rPr>
          <w:rFonts w:ascii="Times New Roman" w:hAnsi="Times New Roman" w:eastAsia="Times New Roman" w:cs="B Lotus"/>
          <w:sz w:val="28"/>
          <w:szCs w:val="28"/>
          <w:rtl/>
          <w:cs/>
          <w:lang w:bidi="fa-IR" w:val="en-US"/>
        </w:rPr>
        <w:t xml:space="preserve"> و همکاران، ۲۰۲۲؛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 بک</w:t>
      </w:r>
      <w:r>
        <w:rPr>
          <w:rStyle w:val="FootnoteReference"/>
          <w:rFonts w:ascii="Times New Roman" w:eastAsia="Times New Roman" w:hAnsi="Times New Roman" w:hint="cs" w:cs="Times New Roman"/>
          <w:lang w:bidi="fa-IR" w:val="en-US"/>
          <w:sz w:val="20"/>
          <w:szCs w:val="20"/>
          <w:vertAlign w:val="superscript"/>
          <w:rtl w:val="0"/>
        </w:rPr>
        <w:footnoteReference w:id="63"/>
      </w:r>
      <w:r>
        <w:rPr>
          <w:rFonts w:ascii="Times New Roman" w:hAnsi="Times New Roman" w:eastAsia="Times New Roman" w:cs="B Lotus"/>
          <w:sz w:val="28"/>
          <w:szCs w:val="28"/>
          <w:rtl/>
          <w:cs/>
          <w:lang w:bidi="fa-IR" w:val="en-US"/>
        </w:rPr>
        <w:t xml:space="preserve"> و هایگ</w:t>
      </w:r>
      <w:r>
        <w:rPr>
          <w:rStyle w:val="FootnoteReference"/>
          <w:rFonts w:ascii="Times New Roman" w:eastAsia="Times New Roman" w:hAnsi="Times New Roman" w:hint="cs" w:cs="Times New Roman"/>
          <w:lang w:bidi="fa-IR" w:val="en-US"/>
          <w:sz w:val="20"/>
          <w:szCs w:val="20"/>
          <w:vertAlign w:val="superscript"/>
          <w:rtl w:val="0"/>
        </w:rPr>
        <w:footnoteReference w:id="133"/>
      </w:r>
      <w:r>
        <w:rPr>
          <w:rFonts w:ascii="Times New Roman" w:hAnsi="Times New Roman" w:eastAsia="Times New Roman" w:cs="B Lotus"/>
          <w:sz w:val="28"/>
          <w:szCs w:val="28"/>
          <w:rtl/>
          <w:cs/>
          <w:lang w:bidi="fa-IR" w:val="en-US"/>
        </w:rPr>
        <w:t>، ۲۰۱۴).</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Style w:val="FootnoteReference"/>
          <w:rFonts w:ascii="Times New Roman" w:eastAsia="Times New Roman" w:hAnsi="Times New Roman" w:hint="cs" w:cs="Times New Roman"/>
          <w:lang w:bidi="fa-IR" w:val="en-US"/>
          <w:sz w:val="20"/>
          <w:szCs w:val="20"/>
          <w:vertAlign w:val="superscript"/>
          <w:rtl w:val="0"/>
        </w:rPr>
        <w:footnoteReference w:id="47"/>
      </w:r>
      <w:r>
        <w:rPr>
          <w:rFonts w:ascii="Times New Roman" w:hAnsi="Times New Roman" w:eastAsia="Times New Roman" w:cs="B Lotus"/>
          <w:sz w:val="28"/>
          <w:szCs w:val="28"/>
          <w:rtl/>
          <w:cs/>
          <w:lang w:bidi="fa-IR" w:val="en-US"/>
        </w:rPr>
        <w:t xml:space="preserve"> و برادوک</w:t>
      </w:r>
      <w:r>
        <w:rPr>
          <w:rStyle w:val="FootnoteReference"/>
          <w:rFonts w:ascii="Times New Roman" w:eastAsia="Times New Roman" w:hAnsi="Times New Roman" w:hint="cs" w:cs="Times New Roman"/>
          <w:lang w:bidi="fa-IR" w:val="en-US"/>
          <w:sz w:val="20"/>
          <w:szCs w:val="20"/>
          <w:vertAlign w:val="superscript"/>
          <w:rtl w:val="0"/>
        </w:rPr>
        <w:footnoteReference w:id="132"/>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۲۰۲۳؛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برای روشن شدن چرخه، سالمندی را در نظر بگیرید که پس از یک تپش قلب ساده چند بار به اورژانس می‌رود. هر بار با شنیدن «قلب‌تان مشکلی ندارد» آرام می‌شود، ولی تا نوبت بعد همان ترس برمی‌گردد. پایش پزشکی لازم است؛ تکرار مراجعه فقط برای خاموش کردن ترس، رفتار ایمنی‌بخش است نه مراقبت ضروری.</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در سالمندی همین چرخه غالباً روی نشانه‌های جسمانی واقعی و بیماری مزمن سوار می‌شود. تمایز پایش ضروری از رفتار ایمنی‌بخش دشوارتر است و اصلاح تفسیر فاجعه‌آمیز نباید به معنای نادیده‌گرفتن بیماری باشد. بازسازی همان چهار باور، کاهش تدریجی رفتارهای ایمنی‌بخش و آزمایش‌های رفتاری، محور مداخله‌اند. درمان شناختی ـ رفتاری در اضطراب اواخر عمر مؤثر گزارش شده، هرچند همبودی پزشکی و چنددارویی کار را کندتر می‌کند (آبراموویتز و برادوک</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hAnsi="Times New Roman" w:hint="cs"/>
          <w:lang w:bidi="fa-IR"/>
          <w:rtl/>
        </w:rPr>
        <w:t>، ۲۰۲۳؛ گولد</w:t>
      </w:r>
      <w:r>
        <w:rPr>
          <w:rFonts w:ascii="Times New Roman" w:hAnsi="Times New Roman" w:eastAsia="Times New Roman" w:cs="Times New Roman"/>
          <w:rStyle w:val="FootnoteReference"/>
          <w:sz w:val="20"/>
          <w:szCs w:val="20"/>
          <w:vertAlign w:val="superscript"/>
          <w:rtl w:val="0"/>
          <w:cs w:val="0"/>
          <w:lang w:val="en-US"/>
        </w:rPr>
        <w:footnoteReference w:id="64"/>
      </w:r>
      <w:r>
        <w:rPr>
          <w:rFonts w:ascii="Times New Roman" w:hAnsi="Times New Roman" w:hint="cs"/>
          <w:lang w:bidi="fa-IR"/>
          <w:rtl/>
        </w:rPr>
        <w:t xml:space="preserve"> و همکاران، ۲۰۲۲؛ انجمن روان‌شناسی آمریکا</w:t>
      </w:r>
      <w:r>
        <w:rPr>
          <w:rFonts w:ascii="Times New Roman" w:hAnsi="Times New Roman" w:eastAsia="Times New Roman" w:cs="Times New Roman"/>
          <w:rStyle w:val="FootnoteReference"/>
          <w:sz w:val="20"/>
          <w:szCs w:val="20"/>
          <w:vertAlign w:val="superscript"/>
          <w:rtl w:val="0"/>
          <w:cs w:val="0"/>
          <w:lang w:val="en-US"/>
        </w:rPr>
        <w:footnoteReference w:id="101"/>
      </w:r>
      <w:r>
        <w:rPr>
          <w:rFonts w:ascii="Times New Roman" w:hAnsi="Times New Roman" w:hint="cs"/>
          <w:lang w:bidi="fa-IR"/>
          <w:rtl/>
        </w:rPr>
        <w:t>، ۲۰۲۳؛ بک و هایگ</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hAnsi="Times New Roman" w:hint="cs"/>
          <w:lang w:bidi="fa-IR"/>
          <w:rtl/>
        </w:rPr>
        <w:t>، ۲۰۱۴).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69" w:name="_Toc238572051"/>
      <w:r>
        <w:rPr>
          <w:rFonts w:ascii="Times New Roman" w:hAnsi="Times New Roman" w:cs="B Titr" w:eastAsia="Times New Roman"/>
          <w:b/>
          <w:bCs/>
          <w:color w:val="000000"/>
          <w:sz w:val="30"/>
          <w:szCs w:val="30"/>
          <w:rtl w:val="1"/>
          <w:cs w:val="1"/>
          <w:lang w:bidi="fa-IR"/>
        </w:rPr>
        <w:t>۲-۴-۲-۲- مدل زیستی-روانی-اجتماعی</w:t>
      </w:r>
      <w:bookmarkEnd w:id="69"/>
    </w:p>
    <w:p>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۲۰۲۰؛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0" w:name="_Toc238572052"/>
      <w:r>
        <w:rPr>
          <w:rFonts w:ascii="Times New Roman" w:hAnsi="Times New Roman" w:cs="B Titr" w:eastAsia="Times New Roman"/>
          <w:b/>
          <w:bCs/>
          <w:color w:val="000000"/>
          <w:sz w:val="30"/>
          <w:szCs w:val="30"/>
          <w:rtl w:val="1"/>
          <w:cs w:val="1"/>
          <w:lang w:bidi="fa-IR"/>
        </w:rPr>
        <w:t>۲-۴-۲-۳- مدل دلبستگی</w:t>
      </w:r>
      <w:bookmarkEnd w:id="70"/>
    </w:p>
    <w:p w14:paraId="4B22398F"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hint="cs"/>
          <w:lang w:bidi="fa-IR"/>
          <w:rtl/>
        </w:rPr>
        <w:t xml:space="preserve"> و </w:t>
      </w:r>
      <w:r>
        <w:rPr>
          <w:rFonts w:ascii="Times New Roman" w:hAnsi="Times New Roman" w:hint="cs"/>
          <w:lang w:bidi="fa-IR"/>
          <w:rtl/>
        </w:rPr>
        <w:t>ایشیک</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eastAsia="Times New Roman" w:cs="B Lotus"/>
          <w:sz w:val="28"/>
          <w:szCs w:val="28"/>
          <w:rtl/>
          <w:cs/>
          <w:lang w:bidi="fa-IR" w:val="en-US"/>
        </w:rPr>
        <w:t xml:space="preserve"> و ایشیک</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نظریه دلبستگی بالبی</w:t>
      </w:r>
      <w:r>
        <w:rPr>
          <w:rFonts w:ascii="Times New Roman" w:hAnsi="Times New Roman" w:eastAsia="Times New Roman" w:cs="Times New Roman"/>
          <w:rStyle w:val="FootnoteReference"/>
          <w:sz w:val="20"/>
          <w:szCs w:val="20"/>
          <w:vertAlign w:val="superscript"/>
          <w:rtl w:val="0"/>
          <w:cs w:val="0"/>
          <w:lang w:val="en-US"/>
        </w:rPr>
        <w:footnoteReference w:id="98"/>
      </w:r>
      <w:r>
        <w:rPr>
          <w:rFonts w:ascii="Times New Roman" w:hAnsi="Times New Roman" w:hint="cs"/>
          <w:lang w:bidi="fa-IR"/>
          <w:rtl/>
        </w:rPr>
        <w:t xml:space="preserve"> نظام دلبستگی را در برابر تهدید فعال می‌داند؛ ابهام درباره بیماری هم می‌تواند همین نظام را برانگیزد. این تبیین برای اضطراب سلامت است و با نقش دلبستگی در تحمل اضطراب مرگ که پیش‌تر آمد یکی گرفته نمی‌شود. دو مسیر ناایمن قابل تمایز است:</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۱- مسیر اضطرابی با بیش‌فعال‌سازی همراه است: فرد در ابهام بدنی به مراقبت‌طلبی و اطمینان‌خواهی از نزدیکان و پزشک روی می‌آورد و حمایت را غالباً ناکافی می‌بیند؛</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۲- مسیر اجتنابی با غیرفعال‌سازی نیاز به نزدیکی همراه است: کمک‌طلبی به تأخیر می‌افتد، ناراحتی انکار می‌شود یا نگرانی بیشتر به‌صورت شکایت بدنی دیده می‌شود تا درخواست آشکار مراقبت.</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hint="cs"/>
          <w:lang w:bidi="fa-IR"/>
          <w:rtl/>
        </w:rPr>
        <w:t xml:space="preserve"> و نویز</w:t>
      </w:r>
      <w:r>
        <w:rPr>
          <w:rFonts w:ascii="Times New Roman" w:hAnsi="Times New Roman" w:eastAsia="Times New Roman" w:cs="Times New Roman"/>
          <w:rStyle w:val="FootnoteReference"/>
          <w:sz w:val="20"/>
          <w:szCs w:val="20"/>
          <w:vertAlign w:val="superscript"/>
          <w:rtl w:val="0"/>
          <w:cs w:val="0"/>
          <w:lang w:val="en-US"/>
        </w:rPr>
        <w:footnoteReference w:id="78"/>
      </w:r>
      <w:r>
        <w:rPr>
          <w:rFonts w:ascii="Times New Roman" w:hAnsi="Times New Roman" w:hint="cs"/>
          <w:lang w:bidi="fa-IR"/>
          <w:rtl/>
        </w:rPr>
        <w:t xml:space="preserve"> صورت‌بندی کردند، شکایت از بیماری را نوعی ارتباط مراقبت‌طلب می‌داند. اطمینان‌خواهی مکرر در درازمدت به ادراک طرد از دیگران ــ حتی پزشک ــ می‌انجامد و نگرانی را دوباره بالا می‌برد. در بیماران مراقبت اولیه، نشانه‌های خودبیمارانگاری با دلبستگی ناایمن، به‌ویژه سبک ترسناک، و با نارضایتی از رابطهٔ درمانی همبسته بود (استوارت و نویز، ۱۹۹۹؛ نویز و همکاران، ۲۰۰۳).</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eastAsia="Times New Roman" w:cs="B Lotus"/>
          <w:sz w:val="28"/>
          <w:szCs w:val="28"/>
          <w:rtl/>
          <w:cs/>
          <w:lang w:bidi="fa-IR" w:val="en-US"/>
        </w:rPr>
        <w:t xml:space="preserve"> و نویز</w:t>
      </w:r>
      <w:r>
        <w:rPr>
          <w:rStyle w:val="FootnoteReference"/>
          <w:rFonts w:ascii="Times New Roman" w:eastAsia="Times New Roman" w:hAnsi="Times New Roman" w:hint="cs" w:cs="Times New Roman"/>
          <w:lang w:bidi="fa-IR" w:val="en-US"/>
          <w:sz w:val="20"/>
          <w:szCs w:val="20"/>
          <w:vertAlign w:val="superscript"/>
          <w:rtl w:val="0"/>
        </w:rPr>
        <w:footnoteReference w:id="85"/>
      </w:r>
      <w:r>
        <w:rPr>
          <w:rFonts w:ascii="Times New Roman" w:hAnsi="Times New Roman" w:eastAsia="Times New Roman" w:cs="B Lotus"/>
          <w:sz w:val="28"/>
          <w:szCs w:val="28"/>
          <w:rtl/>
          <w:cs/>
          <w:lang w:bidi="fa-IR" w:val="en-US"/>
        </w:rPr>
        <w:t>، ۱۹۹۹؛ نویز و همکاران، ۲۰۰۳).</w:t>
      </w:r>
    </w:p>
    <w:p>
      <w:pPr>
        <w:bidi w:val="1"/>
        <w:spacing w:after="0" w:line="276" w:lineRule="auto"/>
        <w:ind w:firstLine="397"/>
        <w:jc w:val="both"/>
        <w:rPr>
          <w:rFonts w:ascii="Times New Roman" w:hAnsi="Times New Roman"/>
          <w:lang w:bidi="fa-IR"/>
        </w:rPr>
      </w:pPr>
      <w:r>
        <w:rPr>
          <w:rFonts w:ascii="Times New Roman" w:hAnsi="Times New Roman" w:hint="cs"/>
          <w:lang w:bidi="fa-IR"/>
          <w:rtl/>
        </w:rPr>
        <w:t>سالمندی که همسرش را از دست داده، ممکن است پزشک درمانگاه را تنها مأمن بداند و با هر تپش یا درد مبهم به او زنگ بزند. دیگری شاید همان درد را هفته‌ها برای فرزندش نگوید تا «سربار» نشود. اولی مسیر اضطرابی است؛ دومی اجتنابی. کارکرد بین‌فردی اطمینان‌خواهی مراقبت‌طلبی است و با تبیین شناختی ـ رفتاری آن به‌عنوان رفتار ایمنی‌بخش جمع‌پذیر است (استوارت و نویز،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1" w:name="_Toc238572053"/>
      <w:r>
        <w:rPr>
          <w:rFonts w:ascii="Times New Roman" w:hAnsi="Times New Roman" w:cs="B Titr" w:eastAsia="Times New Roman"/>
          <w:b/>
          <w:bCs/>
          <w:color w:val="000000"/>
          <w:sz w:val="30"/>
          <w:szCs w:val="30"/>
          <w:rtl w:val="1"/>
          <w:cs w:val="1"/>
          <w:lang w:bidi="fa-IR"/>
        </w:rPr>
        <w:t>۲-۴-۳- سالمندی و اضطراب سلامت</w:t>
      </w:r>
      <w:bookmarkEnd w:id="71"/>
    </w:p>
    <w:p w14:paraId="5786D2C2" w14:textId="77777777">
      <w:pPr>
        <w:bidi w:val="1"/>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شفیعی و همکاران، ۲۰۲۵).</w:t>
      </w:r>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w:t>
      </w:r>
      <w:r>
        <w:rPr>
          <w:rFonts w:ascii="Times New Roman" w:hAnsi="Times New Roman" w:hint="cs"/>
          <w:lang w:bidi="fa-IR"/>
          <w:rtl/>
        </w:rPr>
        <w:t xml:space="preserve">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bidi w:val="1"/>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3" w:name="_Toc238572054"/>
      <w:r>
        <w:rPr>
          <w:rFonts w:ascii="Times New Roman" w:hAnsi="Times New Roman" w:cs="B Titr" w:eastAsia="Times New Roman"/>
          <w:b/>
          <w:bCs/>
          <w:color w:val="000000"/>
          <w:sz w:val="30"/>
          <w:szCs w:val="30"/>
          <w:rtl w:val="1"/>
          <w:cs w:val="1"/>
          <w:lang w:bidi="fa-IR"/>
        </w:rPr>
        <w:t xml:space="preserve">۲-۴-۴- عوامل </w:t>
      </w:r>
      <w:r>
        <w:rPr>
          <w:rFonts w:ascii="Times New Roman" w:hAnsi="Times New Roman" w:cs="B Titr" w:eastAsia="Times New Roman"/>
          <w:b/>
          <w:bCs/>
          <w:color w:val="000000"/>
          <w:sz w:val="30"/>
          <w:szCs w:val="30"/>
          <w:rtl w:val="1"/>
          <w:cs w:val="1"/>
          <w:lang w:bidi="fa-IR"/>
        </w:rPr>
        <w:t>زمینه‌ساز</w:t>
      </w:r>
      <w:r>
        <w:rPr>
          <w:rFonts w:ascii="Times New Roman" w:hAnsi="Times New Roman" w:cs="B Titr" w:eastAsia="Times New Roman"/>
          <w:b/>
          <w:bCs/>
          <w:color w:val="000000"/>
          <w:sz w:val="30"/>
          <w:szCs w:val="30"/>
          <w:rtl w:val="1"/>
          <w:cs w:val="1"/>
          <w:lang w:bidi="fa-IR"/>
        </w:rPr>
        <w:t xml:space="preserve"> اضطراب</w:t>
      </w:r>
      <w:bookmarkEnd w:id="73"/>
    </w:p>
    <w:p>
      <w:pPr>
        <w:bidi w:val="1"/>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bidi w:val="1"/>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bidi w:val="1"/>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bidi w:val="1"/>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4" w:name="_Toc238572055"/>
      <w:r>
        <w:rPr>
          <w:rFonts w:ascii="Times New Roman" w:hAnsi="Times New Roman" w:cs="B Titr" w:eastAsia="Times New Roman"/>
          <w:b/>
          <w:bCs/>
          <w:color w:val="000000"/>
          <w:sz w:val="30"/>
          <w:szCs w:val="30"/>
          <w:rtl w:val="1"/>
          <w:cs w:val="1"/>
          <w:lang w:bidi="fa-IR"/>
        </w:rPr>
        <w:t>۲-۴-۵- مداخلات معطوف به کاهش اضطراب سلامت سالمندان</w:t>
      </w:r>
      <w:bookmarkEnd w:id="74"/>
    </w:p>
    <w:p w14:paraId="51F54099" w14:textId="77777777">
      <w:pPr>
        <w:bidi w:val="1"/>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bidi w:val="1"/>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bidi w:val="1"/>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bidi w:val="1"/>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bidi w:val="1"/>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bidi w:val="1"/>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Style w:val="FootnoteReference"/>
          <w:rFonts w:ascii="Times New Roman" w:eastAsia="Times New Roman" w:hAnsi="Times New Roman" w:hint="cs" w:cs="Times New Roman"/>
          <w:lang w:bidi="fa-IR" w:val="en-US"/>
          <w:sz w:val="20"/>
          <w:szCs w:val="20"/>
          <w:vertAlign w:val="superscript"/>
          <w:rtl w:val="0"/>
        </w:rPr>
        <w:footnoteReference w:id="5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۲۰۲۴؛ انجمن روان‌شناسی آمریکا</w:t>
      </w:r>
      <w:r>
        <w:rPr>
          <w:rStyle w:val="FootnoteReference"/>
          <w:rFonts w:ascii="Times New Roman" w:eastAsia="Times New Roman" w:hAnsi="Times New Roman" w:hint="cs" w:cs="Times New Roman"/>
          <w:lang w:bidi="fa-IR" w:val="en-US"/>
          <w:sz w:val="20"/>
          <w:szCs w:val="20"/>
          <w:vertAlign w:val="superscript"/>
          <w:rtl w:val="0"/>
        </w:rPr>
        <w:footnoteReference w:id="101"/>
      </w:r>
      <w:r>
        <w:rPr>
          <w:rFonts w:ascii="Times New Roman" w:hAnsi="Times New Roman" w:eastAsia="Times New Roman" w:cs="B Lotus"/>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75" w:name="_Toc238572056"/>
      <w:r>
        <w:rPr>
          <w:rFonts w:ascii="Times New Roman" w:hAnsi="Times New Roman" w:cs="B Titr" w:eastAsia="Times New Roman"/>
          <w:b/>
          <w:bCs/>
          <w:color w:val="000000"/>
          <w:sz w:val="30"/>
          <w:szCs w:val="30"/>
          <w:rtl w:val="1"/>
          <w:cs w:val="1"/>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6" w:name="_Toc238572057"/>
      <w:r>
        <w:rPr>
          <w:rFonts w:ascii="Times New Roman" w:hAnsi="Times New Roman" w:cs="B Titr" w:eastAsia="Times New Roman"/>
          <w:b/>
          <w:bCs/>
          <w:color w:val="000000"/>
          <w:sz w:val="30"/>
          <w:szCs w:val="30"/>
          <w:rtl w:val="1"/>
          <w:cs w:val="1"/>
          <w:lang w:bidi="fa-IR"/>
        </w:rPr>
        <w:t xml:space="preserve">۲-۵-۱- پیشینه داخلی</w:t>
      </w:r>
      <w:bookmarkEnd w:id="76"/>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7" w:name="_Toc238572058"/>
      <w:r>
        <w:rPr>
          <w:rFonts w:ascii="Times New Roman" w:hAnsi="Times New Roman" w:cs="B Titr" w:eastAsia="Times New Roman"/>
          <w:b/>
          <w:bCs/>
          <w:color w:val="000000"/>
          <w:sz w:val="30"/>
          <w:szCs w:val="30"/>
          <w:rtl w:val="1"/>
          <w:cs w:val="1"/>
          <w:lang w:bidi="fa-IR"/>
        </w:rPr>
        <w:t>۲-۵-۲- پیشینه خارجی</w:t>
      </w:r>
      <w:bookmarkEnd w:id="77"/>
    </w:p>
    <w:p w14:paraId="320E3D12"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bidi w:val="1"/>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w:t>
      </w:r>
      <w:r>
        <w:rPr>
          <w:rFonts w:ascii="Times New Roman" w:eastAsia="Times New Roman" w:hAnsi="Times New Roman" w:hint="cs"/>
          <w:lang w:bidi="fa-IR"/>
          <w:rtl/>
        </w:rPr>
        <w:t xml:space="preserve"> </w:t>
      </w:r>
      <w:r>
        <w:rPr>
          <w:rFonts w:ascii="Times New Roman" w:eastAsia="Times New Roman" w:hAnsi="Times New Roman" w:hint="cs"/>
          <w:lang w:bidi="fa-IR"/>
          <w:rtl/>
        </w:rPr>
        <w:t>یافته ها حاکی از این بودند که هوش معنوی به طور مثبتی با سلامت عمومی رابطه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ind w:firstLine="397"/>
        <w:jc w:val="both"/>
      </w:pPr>
      <w:r>
        <w:rPr>
          <w:rFonts w:ascii="Times New Roman" w:hAnsi="Times New Roman" w:eastAsia="Times New Roman" w:cs="B Lotus"/>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Style w:val="FootnoteReference"/>
          <w:rFonts w:ascii="Times New Roman" w:eastAsia="Times New Roman" w:hAnsi="Times New Roman" w:hint="cs" w:cs="Times New Roman"/>
          <w:lang w:bidi="fa-IR" w:val="en-US"/>
          <w:sz w:val="20"/>
          <w:szCs w:val="20"/>
          <w:vertAlign w:val="superscript"/>
          <w:rtl w:val="0"/>
        </w:rPr>
        <w:footnoteReference w:id="134"/>
      </w:r>
      <w:r>
        <w:rPr>
          <w:rFonts w:ascii="Times New Roman" w:hAnsi="Times New Roman" w:eastAsia="Times New Roman" w:cs="B Lotus"/>
          <w:sz w:val="28"/>
          <w:szCs w:val="28"/>
          <w:rtl/>
          <w:cs/>
          <w:lang w:bidi="fa-IR" w:val="en-US"/>
        </w:rPr>
        <w:t xml:space="preserve"> است.</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78" w:name="_Toc238572059"/>
      <w:r>
        <w:rPr>
          <w:rFonts w:ascii="Times New Roman" w:hAnsi="Times New Roman" w:cs="B Titr" w:eastAsia="Times New Roman"/>
          <w:b/>
          <w:bCs/>
          <w:color w:val="000000"/>
          <w:sz w:val="56"/>
          <w:szCs w:val="56"/>
          <w:rtl w:val="1"/>
          <w:cs w:val="1"/>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79" w:name="_Toc238572060"/>
      <w:r>
        <w:rPr>
          <w:rFonts w:ascii="Times New Roman" w:hAnsi="Times New Roman" w:cs="B Titr" w:eastAsia="Times New Roman"/>
          <w:b/>
          <w:bCs/>
          <w:color w:val="000000"/>
          <w:sz w:val="30"/>
          <w:szCs w:val="30"/>
          <w:rtl w:val="1"/>
          <w:cs w:val="1"/>
          <w:lang w:bidi="fa-IR"/>
        </w:rPr>
        <w:lastRenderedPageBreak/>
        <w:t>۳-۱- طرح پژوهش</w:t>
      </w:r>
      <w:bookmarkEnd w:id="79"/>
    </w:p>
    <w:p w14:paraId="2981B68E" w14:textId="77777777">
      <w:pPr>
        <w:bidi w:val="1"/>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۳-۲- جامعه، نمونه و روش نمونه‌گیری</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1" w:name="_Toc238572062"/>
      <w:r>
        <w:rPr>
          <w:rFonts w:ascii="Times New Roman" w:hAnsi="Times New Roman" w:cs="B Titr" w:eastAsia="Times New Roman"/>
          <w:b/>
          <w:bCs/>
          <w:color w:val="000000"/>
          <w:sz w:val="30"/>
          <w:szCs w:val="30"/>
          <w:rtl w:val="1"/>
          <w:cs w:val="1"/>
          <w:lang w:bidi="fa-IR"/>
        </w:rPr>
        <w:t>۳-۳- ابزار پژوهش</w:t>
      </w:r>
      <w:bookmarkEnd w:id="81"/>
    </w:p>
    <w:p w14:paraId="42209556" w14:textId="77777777">
      <w:pPr>
        <w:bidi w:val="1"/>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82" w:name="_Toc238572063"/>
      <w:r>
        <w:rPr>
          <w:rFonts w:ascii="Times New Roman" w:hAnsi="Times New Roman" w:cs="B Titr" w:eastAsia="Times New Roman"/>
          <w:b/>
          <w:bCs/>
          <w:color w:val="000000"/>
          <w:sz w:val="30"/>
          <w:szCs w:val="30"/>
          <w:rtl w:val="1"/>
          <w:cs w:val="1"/>
          <w:lang w:bidi="fa-IR"/>
        </w:rPr>
        <w:t>۳-۳-۱- پرسشنامه هوش معنوی کینگ:</w:t>
      </w:r>
      <w:bookmarkEnd w:id="82"/>
    </w:p>
    <w:p>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w:t>
      </w:r>
      <w:r>
        <w:rPr>
          <w:rFonts w:ascii="Times New Roman" w:hAnsi="Times New Roman" w:hint="cs"/>
          <w:lang w:bidi="fa-IR"/>
          <w:rtl/>
        </w:rPr>
        <w:t xml:space="preserve">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۳-۳-۲- پرسشنامه اضطراب مرگ (DAS)</w:t>
      </w:r>
    </w:p>
    <w:p w14:paraId="5A9676E0" w14:textId="77777777">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۳-۳-۳- پرسشنامه اضطراب سلامتی (HAI)</w:t>
      </w:r>
    </w:p>
    <w:p w14:paraId="228F810E" w14:textId="77777777">
      <w:pPr>
        <w:bidi w:val="1"/>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5" w:name="_Toc107794912"/>
      <w:bookmarkStart w:id="86" w:name="_Toc238572066"/>
      <w:r>
        <w:rPr>
          <w:rFonts w:ascii="Times New Roman" w:hAnsi="Times New Roman" w:cs="B Titr" w:eastAsia="Times New Roman"/>
          <w:b/>
          <w:bCs/>
          <w:color w:val="000000"/>
          <w:sz w:val="30"/>
          <w:szCs w:val="30"/>
          <w:rtl w:val="1"/>
          <w:cs w:val="1"/>
          <w:lang w:bidi="fa-IR"/>
        </w:rPr>
        <w:t xml:space="preserve">۳-۴- روش اجرای پژوهش</w:t>
      </w:r>
      <w:bookmarkEnd w:id="85"/>
      <w:bookmarkEnd w:id="86"/>
    </w:p>
    <w:p w14:paraId="766EA293" w14:textId="13CE6418">
      <w:pPr>
        <w:bidi w:val="1"/>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88" w:name="_Toc238572067"/>
      <w:r>
        <w:rPr>
          <w:rFonts w:ascii="Times New Roman" w:hAnsi="Times New Roman" w:cs="B Titr" w:eastAsia="Times New Roman"/>
          <w:b/>
          <w:bCs/>
          <w:color w:val="000000"/>
          <w:sz w:val="30"/>
          <w:szCs w:val="30"/>
          <w:rtl w:val="1"/>
          <w:cs w:val="1"/>
          <w:lang w:bidi="fa-IR"/>
        </w:rPr>
        <w:t xml:space="preserve">۳-۵- روش تجزیه و تحلیل داده‌ها</w:t>
      </w:r>
      <w:bookmarkEnd w:id="87"/>
      <w:bookmarkEnd w:id="88"/>
    </w:p>
    <w:p w14:paraId="326A488A"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89" w:name="_Toc238572068"/>
      <w:r>
        <w:rPr>
          <w:rFonts w:ascii="Times New Roman" w:hAnsi="Times New Roman" w:cs="B Titr" w:eastAsia="Times New Roman"/>
          <w:b/>
          <w:bCs/>
          <w:color w:val="000000"/>
          <w:sz w:val="56"/>
          <w:szCs w:val="56"/>
          <w:rtl w:val="1"/>
          <w:cs w:val="1"/>
          <w:lang w:bidi="fa-IR"/>
        </w:rPr>
        <w:lastRenderedPageBreak/>
        <w:t>فصل چهارم: تجزیه و تحلیل داده ها</w:t>
      </w:r>
      <w:bookmarkEnd w:id="89"/>
    </w:p>
    <w:p w14:paraId="33866655" w14:textId="77777777">
      <w:pPr>
        <w:pageBreakBefore/>
        <w:bidi w:val="1"/>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pPr>
        <w:pStyle w:val="Heading2"/>
        <w:bidi w:val="1"/>
        <w:spacing w:before="240" w:after="100" w:line="276" w:lineRule="auto"/>
        <w:jc w:val="right"/>
        <w:rPr>
          <w:rFonts w:cs="B Titr" w:ascii="Times New Roman"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۴-۱- یافته‌های توصیفی</w:t>
      </w:r>
    </w:p>
    <w:p w14:paraId="03618880" w14:textId="77777777">
      <w:pPr>
        <w:bidi w:val="1"/>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t>۱</w:t>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bidi w:val="1"/>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۲</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5" w:name="_Toc238572106"/>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۳</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فراوانی و درصد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bidi w:val="1"/>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val="1"/>
          <w:cs w:val="1"/>
          <w:lang w:bidi="fa-IR" w:val="en-US"/>
        </w:rPr>
      </w:pPr>
      <w:bookmarkStart w:id="97" w:name="_Toc238572107"/>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۴</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شاخص‌های</w:t>
      </w:r>
      <w:r>
        <w:rPr>
          <w:rFonts w:cs="B Lotus" w:ascii="Times New Roman" w:hAnsi="Times New Roman" w:eastAsia="Times New Roman"/>
          <w:b/>
          <w:bCs/>
          <w:color w:val="000000"/>
          <w:sz w:val="24"/>
          <w:szCs w:val="24"/>
          <w:rtl w:val="1"/>
          <w:cs w:val="1"/>
          <w:lang w:bidi="fa-IR"/>
        </w:rPr>
        <w:t xml:space="preserve"> توصیفی مربوط به سن شرکت </w:t>
      </w:r>
      <w:r>
        <w:rPr>
          <w:rFonts w:cs="B Lotus" w:ascii="Times New Roman" w:hAnsi="Times New Roman" w:eastAsia="Times New Roman"/>
          <w:b/>
          <w:bCs/>
          <w:color w:val="000000"/>
          <w:sz w:val="24"/>
          <w:szCs w:val="24"/>
          <w:rtl w:val="1"/>
          <w:cs w:val="1"/>
          <w:lang w:bidi="fa-IR"/>
        </w:rPr>
        <w:t>کنندگان</w:t>
      </w:r>
      <w:r>
        <w:rPr>
          <w:rFonts w:cs="B Lotus" w:ascii="Times New Roman" w:hAnsi="Times New Roman" w:eastAsia="Times New Roman"/>
          <w:b/>
          <w:bCs/>
          <w:color w:val="000000"/>
          <w:sz w:val="24"/>
          <w:szCs w:val="24"/>
          <w:rtl w:val="1"/>
          <w:cs w:val="1"/>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bidi w:val="1"/>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13" w:name="_Toc238572108"/>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۵</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bidi w:val="1"/>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pPr>
        <w:pStyle w:val="Heading2"/>
        <w:bidi w:val="1"/>
        <w:spacing w:before="240" w:after="100" w:line="276" w:lineRule="auto"/>
        <w:ind w:firstLine="397"/>
        <w:jc w:val="right"/>
        <w:rPr>
          <w:rFonts w:cs="B Titr" w:ascii="Times New Roman" w:hAnsi="Times New Roman" w:eastAsia="Times New Roman"/>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۴-۲- یافته‌های استنباطی</w:t>
      </w:r>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val="1"/>
          <w:cs w:val="1"/>
          <w:lang w:bidi="fa-IR" w:val="en-US"/>
        </w:rPr>
      </w:pPr>
      <w:bookmarkStart w:id="138" w:name="_Toc238572092"/>
      <w:r>
        <w:rPr>
          <w:rFonts w:ascii="Times New Roman" w:hAnsi="Times New Roman" w:cs="B Titr" w:eastAsia="Times New Roman"/>
          <w:b/>
          <w:bCs/>
          <w:color w:val="000000"/>
          <w:sz w:val="30"/>
          <w:szCs w:val="30"/>
          <w:rtl w:val="1"/>
          <w:cs w:val="1"/>
          <w:lang w:bidi="fa-IR"/>
        </w:rPr>
        <w:t>۴-۲-۱- بررسی فرضیه فرعی اول پژوهش: بین هوش معنوی و اضطراب مرگ در سالمندان رابطه وجود دارد.</w:t>
      </w:r>
      <w:bookmarkEnd w:id="138"/>
    </w:p>
    <w:p w14:paraId="3D5129CE"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39" w:name="_Toc238572109"/>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۶</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xml:space="preserve">- </w:t>
      </w:r>
      <w:r>
        <w:rPr>
          <w:rFonts w:cs="B Lotus" w:ascii="Times New Roman" w:hAnsi="Times New Roman" w:eastAsia="Times New Roman"/>
          <w:b/>
          <w:bCs/>
          <w:color w:val="000000"/>
          <w:sz w:val="24"/>
          <w:szCs w:val="24"/>
          <w:rtl w:val="1"/>
          <w:cs w:val="1"/>
          <w:lang w:bidi="fa-IR"/>
        </w:rPr>
        <w:t>ضرایب</w:t>
      </w:r>
      <w:r>
        <w:rPr>
          <w:rFonts w:cs="B Lotus" w:ascii="Times New Roman" w:hAnsi="Times New Roman" w:eastAsia="Times New Roman"/>
          <w:b/>
          <w:bCs/>
          <w:color w:val="000000"/>
          <w:sz w:val="24"/>
          <w:szCs w:val="24"/>
          <w:rtl w:val="1"/>
          <w:cs w:val="1"/>
          <w:lang w:bidi="fa-IR"/>
        </w:rPr>
        <w:t xml:space="preserve"> همبستگی </w:t>
      </w:r>
      <w:r>
        <w:rPr>
          <w:rFonts w:cs="B Lotus" w:ascii="Times New Roman" w:hAnsi="Times New Roman" w:eastAsia="Times New Roman"/>
          <w:b/>
          <w:bCs/>
          <w:color w:val="000000"/>
          <w:sz w:val="24"/>
          <w:szCs w:val="24"/>
          <w:rtl w:val="1"/>
          <w:cs w:val="1"/>
          <w:lang w:bidi="fa-IR"/>
        </w:rPr>
        <w:t>پیرسون</w:t>
      </w:r>
      <w:r>
        <w:rPr>
          <w:rFonts w:cs="B Lotus" w:ascii="Times New Roman" w:hAnsi="Times New Roman" w:eastAsia="Times New Roman"/>
          <w:b/>
          <w:bCs/>
          <w:color w:val="000000"/>
          <w:sz w:val="24"/>
          <w:szCs w:val="24"/>
          <w:rtl w:val="1"/>
          <w:cs w:val="1"/>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0" w:name="_Toc238572093"/>
      <w:r>
        <w:rPr>
          <w:rFonts w:ascii="Times New Roman" w:hAnsi="Times New Roman" w:cs="B Titr" w:eastAsia="Times New Roman"/>
          <w:b/>
          <w:bCs/>
          <w:color w:val="000000"/>
          <w:sz w:val="30"/>
          <w:szCs w:val="30"/>
          <w:rtl w:val="1"/>
          <w:cs w:val="1"/>
          <w:lang w:bidi="fa-IR"/>
        </w:rPr>
        <w:t>۴-۲-۲- بررسی فرضیه فرعی دوم پژوهش: بین اضطراب سلامتی و اضطراب مرگ در سالمندان رابطه وجود دارد.</w:t>
      </w:r>
      <w:bookmarkEnd w:id="140"/>
    </w:p>
    <w:p w14:paraId="347B8B69"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5" w:name="_Toc238572110"/>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۷</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bidi w:val="1"/>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bidi w:val="1"/>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val="1"/>
          <w:cs w:val="1"/>
          <w:lang w:bidi="fa-IR" w:val="en-US"/>
        </w:rPr>
      </w:pPr>
      <w:bookmarkStart w:id="146" w:name="_Toc238572094"/>
      <w:r>
        <w:rPr>
          <w:rFonts w:ascii="Times New Roman" w:hAnsi="Times New Roman" w:cs="B Titr" w:eastAsia="Times New Roman"/>
          <w:b/>
          <w:bCs/>
          <w:color w:val="000000"/>
          <w:sz w:val="30"/>
          <w:szCs w:val="30"/>
          <w:rtl w:val="1"/>
          <w:cs w:val="1"/>
          <w:lang w:bidi="fa-IR"/>
        </w:rPr>
        <w:t>۴-۲-۳- بررسی فرضیه اصلی پژوهش: بین هوش معنوی و اضطراب سلامتی با اضطراب مرگ در سالمندان رابطه وجود دارد.</w:t>
      </w:r>
      <w:bookmarkEnd w:id="146"/>
    </w:p>
    <w:p w14:paraId="19E4176B" w14:textId="77777777">
      <w:pPr>
        <w:bidi w:val="1"/>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49" w:name="_Toc238572111"/>
      <w:r>
        <w:rPr>
          <w:rFonts w:cs="B Lotus" w:ascii="Times New Roman" w:hAnsi="Times New Roman" w:eastAsia="Times New Roman"/>
          <w:b/>
          <w:bCs/>
          <w:color w:val="000000"/>
          <w:sz w:val="24"/>
          <w:szCs w:val="24"/>
          <w:rtl w:val="1"/>
          <w:cs w:val="1"/>
          <w:lang w:bidi="fa-IR"/>
        </w:rPr>
        <w:lastRenderedPageBreak/>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۸</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bidi w:val="1"/>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val="1"/>
          <w:cs w:val="1"/>
          <w:lang w:bidi="fa-IR" w:val="en-US"/>
        </w:rPr>
      </w:pPr>
      <w:bookmarkStart w:id="150" w:name="_Toc238572112"/>
      <w:r>
        <w:rPr>
          <w:rFonts w:cs="B Lotus" w:ascii="Times New Roman" w:hAnsi="Times New Roman" w:eastAsia="Times New Roman"/>
          <w:b/>
          <w:bCs/>
          <w:color w:val="000000"/>
          <w:sz w:val="24"/>
          <w:szCs w:val="24"/>
          <w:rtl w:val="1"/>
          <w:cs w:val="1"/>
          <w:lang w:bidi="fa-IR"/>
        </w:rPr>
        <w:t>جدول ۴-</w:t>
      </w:r>
      <w:r>
        <w:rPr>
          <w:rFonts w:cs="B Lotus" w:ascii="Times New Roman" w:hAnsi="Times New Roman" w:eastAsia="Times New Roman"/>
          <w:b/>
          <w:bCs/>
          <w:color w:val="000000"/>
          <w:sz w:val="24"/>
          <w:szCs w:val="24"/>
          <w:rtl w:val="1"/>
          <w:cs w:val="1"/>
          <w:lang w:bidi="fa-IR"/>
        </w:rPr>
        <w:fldChar w:fldCharType="begin" w:dirty="true"/>
      </w:r>
      <w:r>
        <w:rPr>
          <w:rFonts w:cs="B Lotus" w:ascii="Times New Roman" w:hAnsi="Times New Roman" w:eastAsia="Times New Roman"/>
          <w:b/>
          <w:bCs/>
          <w:color w:val="000000"/>
          <w:sz w:val="24"/>
          <w:szCs w:val="24"/>
          <w:rtl w:val="1"/>
          <w:cs w:val="1"/>
          <w:lang w:bidi="fa-IR"/>
        </w:rPr>
        <w:instrText xml:space="preserve"> SEQ جدول \* ARABIC </w:instrText>
      </w:r>
      <w:r>
        <w:rPr>
          <w:rFonts w:cs="B Lotus" w:ascii="Times New Roman" w:hAnsi="Times New Roman" w:eastAsia="Times New Roman"/>
          <w:b/>
          <w:bCs/>
          <w:color w:val="000000"/>
          <w:sz w:val="24"/>
          <w:szCs w:val="24"/>
          <w:rtl w:val="1"/>
          <w:cs w:val="1"/>
          <w:lang w:bidi="fa-IR"/>
        </w:rPr>
        <w:fldChar w:fldCharType="separate"/>
      </w:r>
      <w:r>
        <w:rPr>
          <w:rFonts w:cs="B Lotus" w:ascii="Times New Roman" w:hAnsi="Times New Roman" w:eastAsia="Times New Roman"/>
          <w:b/>
          <w:bCs/>
          <w:noProof/>
          <w:color w:val="000000"/>
          <w:sz w:val="24"/>
          <w:szCs w:val="24"/>
          <w:rtl w:val="1"/>
          <w:cs w:val="1"/>
          <w:lang w:bidi="fa-IR"/>
        </w:rPr>
        <w:t>۹</w:t>
      </w:r>
      <w:r>
        <w:rPr>
          <w:rFonts w:cs="B Lotus" w:ascii="Times New Roman" w:hAnsi="Times New Roman" w:eastAsia="Times New Roman"/>
          <w:b/>
          <w:bCs/>
          <w:color w:val="000000"/>
          <w:sz w:val="24"/>
          <w:szCs w:val="24"/>
          <w:rtl w:val="1"/>
          <w:cs w:val="1"/>
          <w:lang w:bidi="fa-IR"/>
        </w:rPr>
        <w:fldChar w:fldCharType="end"/>
      </w:r>
      <w:r>
        <w:rPr>
          <w:rFonts w:cs="B Lotus" w:ascii="Times New Roman" w:hAnsi="Times New Roman" w:eastAsia="Times New Roman"/>
          <w:b/>
          <w:bCs/>
          <w:color w:val="000000"/>
          <w:sz w:val="24"/>
          <w:szCs w:val="24"/>
          <w:rtl w:val="1"/>
          <w:cs w:val="1"/>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bidi w:val="1"/>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bidi w:val="1"/>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val="1"/>
          <w:cs w:val="1"/>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val="1"/>
          <w:cs w:val="1"/>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val="1"/>
          <w:cs w:val="1"/>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bidi w:val="1"/>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bidi w:val="1"/>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لرزش، لرزیدن، تحریک پذیری، تعریق، حالت تهوع و... است.</w:t>
      </w:r>
      <w:r>
        <w:rPr>
          <w:rFonts w:ascii="Times New Roman" w:hAnsi="Times New Roman" w:hint="cs"/>
          <w:lang w:bidi="fa-IR"/>
          <w:rtl/>
        </w:rPr>
        <w:t xml:space="preserve">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از منظر نظری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r>
        <w:rPr>
          <w:rFonts w:ascii="Times New Roman" w:hAnsi="Times New Roman" w:cs="B Titr" w:eastAsia="Times New Roman"/>
          <w:b/>
          <w:bCs/>
          <w:color w:val="000000"/>
          <w:sz w:val="30"/>
          <w:szCs w:val="30"/>
          <w:rtl w:val="1"/>
          <w:cs w:val="1"/>
          <w:lang w:bidi="fa-IR"/>
        </w:rPr>
        <w:t>۵-۲- محدودیت‌های تحقیق</w:t>
      </w:r>
    </w:p>
    <w:p w14:paraId="7A14D2B7" w14:textId="77777777">
      <w:pPr>
        <w:bidi w:val="1"/>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val="1"/>
          <w:cs w:val="1"/>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val="1"/>
          <w:cs w:val="1"/>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val="1"/>
          <w:cs w:val="1"/>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val="1"/>
          <w:cs w:val="1"/>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bidi w:val="1"/>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val="1"/>
          <w:cs w:val="1"/>
          <w:lang w:bidi="fa-IR" w:val="en-US"/>
        </w:rPr>
      </w:pPr>
      <w:bookmarkStart w:id="235" w:name="_Toc238572101"/>
      <w:r>
        <w:rPr>
          <w:rFonts w:ascii="Times New Roman" w:hAnsi="Times New Roman" w:cs="B Titr" w:eastAsia="Times New Roman"/>
          <w:b/>
          <w:bCs/>
          <w:color w:val="000000"/>
          <w:sz w:val="56"/>
          <w:szCs w:val="56"/>
          <w:rtl w:val="1"/>
          <w:cs w:val="1"/>
          <w:lang w:bidi="fa-IR"/>
        </w:rPr>
        <w:lastRenderedPageBreak/>
        <w:t>منابع فارسی</w:t>
      </w:r>
      <w:bookmarkEnd w:id="235"/>
    </w:p>
    <w:p w14:paraId="6655392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bidi w:val="1"/>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bidi w:val="1"/>
        <w:adjustRightInd/>
        <w:spacing w:after="0" w:line="276" w:lineRule="auto"/>
        <w:ind w:firstLine="397"/>
        <w:jc w:val="right"/>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bidi w:val="1"/>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val="1"/>
          <w:cs w:val="1"/>
          <w:lang w:bidi="fa-IR" w:val="en-US"/>
        </w:rPr>
      </w:pPr>
      <w:bookmarkStart w:id="236" w:name="_Toc238572102"/>
      <w:r>
        <w:rPr>
          <w:rFonts w:ascii="Times New Roman" w:hAnsi="Times New Roman" w:cs="B Titr" w:eastAsia="Times New Roman"/>
          <w:b/>
          <w:bCs/>
          <w:color w:val="000000"/>
          <w:sz w:val="56"/>
          <w:szCs w:val="56"/>
          <w:rtl w:val="1"/>
          <w:cs w:val="1"/>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rPr>
          <w:rFonts w:ascii="Times New Roman" w:hAnsi="Times New Roman" w:eastAsia="Times New Roman" w:cs="Times New Roman"/>
          <w:rtl w:val="0"/>
          <w:cs w:val="0"/>
          <w:lang w:val="en-US"/>
        </w:rP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c18" w:history="1">
        <w:r>
          <w:rPr>
            <w:rFonts w:ascii="Times New Roman" w:hAnsi="Times New Roman" w:eastAsia="Times New Roman" w:cs="B Lotus"/>
            <w:rStyle w:val="Hyperlink"/>
            <w:sz w:val="28"/>
            <w:szCs w:val="28"/>
            <w:rtl w:val="0"/>
            <w:cs w:val="0"/>
            <w:lang w:val="en-US"/>
          </w:rPr>
          <w:t xml:space="preserve">https://doi.org/10.1038/s41574-018-0059-4</w:t>
        </w:r>
      </w:hyperlink>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Gerontologist.</w:t>
      </w:r>
      <w:r>
        <w:rPr>
          <w:rFonts w:ascii="Times New Roman" w:eastAsia="Times New Roman" w:hAnsi="Times New Roman" w:cs="Times New Roman"/>
          <w:sz w:val="24"/>
          <w:szCs w:val="24"/>
          <w:rtl w:val="0"/>
          <w:cs w:val="0"/>
          <w:lang w:val="en-US"/>
        </w:rPr>
        <w:t/>
      </w:r>
      <w:r>
        <w:rPr>
          <w:rFonts w:ascii="Times New Roman" w:eastAsia="Times New Roman" w:hAnsi="Times New Roman" w:cs="Times New Roman"/>
          <w:rtl w:val="0"/>
          <w:cs w:val="0"/>
          <w:lang w:val="en-US"/>
        </w:rPr>
        <w:t/>
      </w:r>
      <w:r>
        <w:rPr>
          <w:rFonts w:ascii="Times New Roman" w:eastAsia="Times New Roman" w:hAnsi="Times New Roman" w:cs="Times New Roman"/>
          <w:rtl w:val="0"/>
          <w:cs w:val="0"/>
          <w:lang w:val="en-US"/>
        </w:rPr>
        <w:t/>
      </w:r>
      <w:r>
        <w:rPr>
          <w:rFonts w:ascii="Times New Roman" w:hAnsi="Times New Roman" w:eastAsia="Times New Roman" w:cs="Times New Roman"/>
          <w:rtl w:val="0"/>
          <w:cs w:val="0"/>
          <w:lang w:val="en-US"/>
        </w:rPr>
        <w:t xml:space="preserve"> </w:t>
      </w:r>
      <w:hyperlink r:id="rIdDoiHav61" w:history="1">
        <w:r>
          <w:rPr>
            <w:rFonts w:ascii="Times New Roman" w:hAnsi="Times New Roman" w:eastAsia="Times New Roman" w:cs="B Lotus"/>
            <w:rStyle w:val="Hyperlink"/>
            <w:sz w:val="28"/>
            <w:szCs w:val="28"/>
            <w:rtl w:val="0"/>
            <w:cs w:val="0"/>
            <w:lang w:val="en-US"/>
          </w:rPr>
          <w:t>https://doi.org/10.1093/geront/1.1.8</w:t>
        </w:r>
      </w:hyperlink>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14" w:history="1">
        <w:r>
          <w:rPr>
            <w:rFonts w:ascii="Times New Roman" w:hAnsi="Times New Roman" w:eastAsia="Times New Roman" w:cs="B Lotus"/>
            <w:rStyle w:val="Hyperlink"/>
            <w:sz w:val="28"/>
            <w:szCs w:val="28"/>
            <w:rtl w:val="0"/>
            <w:cs w:val="0"/>
            <w:lang w:val="en-US"/>
          </w:rPr>
          <w:t xml:space="preserve">https://doi.org/10.1016/j.cpr.2014.09.002</w:t>
        </w:r>
      </w:hyperlink>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r>
        <w:rPr>
          <w:rFonts w:ascii="Times New Roman" w:hAnsi="Times New Roman" w:eastAsia="Times New Roman" w:cs="Times New Roman"/>
          <w:rtl w:val="0"/>
          <w:cs w:val="0"/>
          <w:lang w:val="en-US"/>
        </w:rPr>
        <w:t xml:space="preserve"> </w:t>
      </w:r>
      <w:hyperlink r:id="rIdDoiLopez23" w:history="1">
        <w:r>
          <w:rPr>
            <w:rFonts w:ascii="Times New Roman" w:hAnsi="Times New Roman" w:eastAsia="Times New Roman" w:cs="B Lotus"/>
            <w:rStyle w:val="Hyperlink"/>
            <w:sz w:val="28"/>
            <w:szCs w:val="28"/>
            <w:rtl w:val="0"/>
            <w:cs w:val="0"/>
            <w:lang w:val="en-US"/>
          </w:rPr>
          <w:t>https://doi.org/10.1016/j.cell.2022.11.001</w:t>
        </w:r>
      </w:hyperlink>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Menzies, R. E., &amp; Menzies, R. G. (2020). Death anxiety in the time of COVID-19: Theoretical explanations and clinical implications. The Cognitive Behaviour Therapist, 13, e19. </w:t>
      </w:r>
      <w:hyperlink r:id="rIdDoiMenz20" w:history="1">
        <w:r>
          <w:rPr>
            <w:rFonts w:ascii="Times New Roman" w:hAnsi="Times New Roman" w:eastAsia="Times New Roman" w:cs="B Lotus"/>
            <w:rStyle w:val="Hyperlink"/>
            <w:sz w:val="28"/>
            <w:szCs w:val="28"/>
            <w:rtl w:val="0"/>
            <w:cs w:val="0"/>
            <w:lang w:val="en-US"/>
          </w:rPr>
          <w:t xml:space="preserve">https://doi.org/10.1017/S1754470X20000215</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Noyes, R., Jr., Stuart, S. P., Langbehn, D. R., Happel, R. L., Longley, S. L., Muller, B. A., &amp; Yagla, S. J. (2003). Test of an interpersonal model of hypochondriasis. Psychosomatic Medicine, 65(2), 292–300. </w:t>
      </w:r>
      <w:hyperlink r:id="rIdDoiNoyes03" w:history="1">
        <w:r>
          <w:rPr>
            <w:rFonts w:ascii="Times New Roman" w:hAnsi="Times New Roman" w:eastAsia="Times New Roman" w:cs="B Lotus"/>
            <w:rStyle w:val="Hyperlink"/>
            <w:sz w:val="28"/>
            <w:szCs w:val="28"/>
            <w:rtl w:val="0"/>
            <w:cs w:val="0"/>
            <w:lang w:val="en-US"/>
          </w:rPr>
          <w:t xml:space="preserve">https://doi.org/10.1097/01.PSY.0000058377.50240.64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Pyszczynski, T., Lockett, M., Greenberg, J., &amp; Solomon, S. (2021). Terror management theory and the COVID-19 pandemic. Journal of Humanistic Psychology, 61(2), 173–189. </w:t>
      </w:r>
      <w:hyperlink r:id="rIdDoiPysz21" w:history="1">
        <w:r>
          <w:rPr>
            <w:rFonts w:ascii="Times New Roman" w:hAnsi="Times New Roman" w:eastAsia="Times New Roman" w:cs="B Lotus"/>
            <w:rStyle w:val="Hyperlink"/>
            <w:sz w:val="28"/>
            <w:szCs w:val="28"/>
            <w:rtl w:val="0"/>
            <w:cs w:val="0"/>
            <w:lang w:val="en-US"/>
          </w:rPr>
          <w:t xml:space="preserve">https://doi.org/10.1177/0022167820959488</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Rowe, J. W., &amp; Kahn, R. L. (2015). Successful aging 2.0: Conceptual expansions for the 21st century. The Journals of Gerontology, Series B, 70(4), 593–596. </w:t>
      </w:r>
      <w:hyperlink r:id="rIdDoiRowe15" w:history="1">
        <w:r>
          <w:rPr>
            <w:rFonts w:ascii="Times New Roman" w:hAnsi="Times New Roman" w:eastAsia="Times New Roman" w:cs="B Lotus"/>
            <w:rStyle w:val="Hyperlink"/>
            <w:sz w:val="28"/>
            <w:szCs w:val="28"/>
            <w:rtl w:val="0"/>
            <w:cs w:val="0"/>
            <w:lang w:val="en-US"/>
          </w:rPr>
          <w:t xml:space="preserve">https://doi.org/10.1093/geronb/gbv025</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17" w:history="1">
        <w:r>
          <w:rPr>
            <w:rFonts w:ascii="Times New Roman" w:hAnsi="Times New Roman" w:eastAsia="Times New Roman" w:cs="B Lotus"/>
            <w:rStyle w:val="Hyperlink"/>
            <w:sz w:val="28"/>
            <w:szCs w:val="28"/>
            <w:rtl w:val="0"/>
            <w:cs w:val="0"/>
            <w:lang w:val="en-US"/>
          </w:rPr>
          <w:t xml:space="preserve">https://doi.org/10.1093/geronb/gbv062</w:t>
        </w:r>
      </w:hyperlink>
    </w:p>
    <w:p>
      <w:pPr>
        <w:pStyle w:val="Bibliography"/>
        <w:bidi w:val="0"/>
        <w:spacing w:after="120" w:line="276"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sz w:val="28"/>
          <w:szCs w:val="28"/>
          <w:rtl w:val="0"/>
          <w:cs w:val="0"/>
          <w:lang w:val="en-US"/>
        </w:rPr>
        <w:t>Wong, P. T. P. (2008). Meaning management theory and death acceptance. In A. Tomer, G. T. Eliason, &amp; P. T. P. Wong (Eds.), Existential and spiritual issues in death attitudes (pp. 65–87). Erlbaum.</w:t>
      </w:r>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jc w:val="right"/>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w:t>
      </w: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Noyes, R., Jr., Stuart, S., Longley, S. L., Langbehn, D. R., &amp; Happel, R. L. (2002). Hypochondriasis and fear of death. Journal of Nervous and Mental Disease, 190(8), 503–509. https://doi.org/10.1097/00005053-200208000-00002</w:t>
      </w:r>
      <w:r>
        <w:rPr>
          <w:rFonts w:ascii="Times New Roman" w:hAnsi="Times New Roman" w:eastAsia="Times New Roman" w:cs="Times New Roman"/>
          <w:rtl w:val="0"/>
          <w:cs w:val="0"/>
          <w:lang w:val="en-US"/>
        </w:rPr>
        <w:t xml:space="preserve"> </w:t>
      </w:r>
      <w:hyperlink r:id="rIdU117" w:history="1">
        <w:r>
          <w:rPr>
            <w:rFonts w:ascii="Times New Roman" w:hAnsi="Times New Roman" w:eastAsia="Times New Roman" w:cs="B Lotus"/>
            <w:rStyle w:val="Hyperlink"/>
            <w:sz w:val="28"/>
            <w:szCs w:val="28"/>
            <w:rtl w:val="0"/>
            <w:cs w:val="0"/>
            <w:lang w:val="en-US"/>
          </w:rPr>
          <w:t>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cs w:val="0"/>
          <w:lang w:val="en-US"/>
        </w:rPr>
        <w:t>Fereshteghan</w:t>
      </w:r>
      <w:r>
        <w:rPr>
          <w:rFonts w:ascii="Times New Roman" w:eastAsia="Times New Roman" w:hAnsi="Times New Roman" w:cs="Times New Roman" w:hint="cs"/>
          <w:sz w:val="24"/>
          <w:szCs w:val="24"/>
          <w:rtl w:val="0"/>
          <w:cs w:val="0"/>
          <w:lang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cs w:val="0"/>
          <w:lang w:val="en-US"/>
        </w:rPr>
        <w:t>Salkoskis</w:t>
      </w:r>
      <w:r>
        <w:rPr>
          <w:rFonts w:ascii="Times New Roman" w:eastAsia="Times New Roman" w:hAnsi="Times New Roman" w:cs="Times New Roman" w:hint="cs"/>
          <w:sz w:val="24"/>
          <w:szCs w:val="24"/>
          <w:rtl w:val="0"/>
          <w:cs w:val="0"/>
          <w:lang w:val="en-US"/>
        </w:rPr>
        <w:t xml:space="preserve"> and Warwick's Health Anxiety Questionnaire (2002), and </w:t>
      </w:r>
      <w:r>
        <w:rPr>
          <w:rFonts w:ascii="Times New Roman" w:eastAsia="Times New Roman" w:hAnsi="Times New Roman" w:cs="Times New Roman" w:hint="cs"/>
          <w:sz w:val="24"/>
          <w:szCs w:val="24"/>
          <w:rtl w:val="0"/>
          <w:cs w:val="0"/>
          <w:lang w:val="en-US"/>
        </w:rPr>
        <w:t>Templer's</w:t>
      </w:r>
      <w:r>
        <w:rPr>
          <w:rFonts w:ascii="Times New Roman" w:eastAsia="Times New Roman" w:hAnsi="Times New Roman" w:cs="Times New Roman" w:hint="cs"/>
          <w:sz w:val="24"/>
          <w:szCs w:val="24"/>
          <w:rtl w:val="0"/>
          <w:cs w:val="0"/>
          <w:lang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pStyle w:val="EnglishText"/>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Keywords: Spiritual intelligence, health anxiety, death anxiety, elderly.</w:t>
      </w:r>
    </w:p>
    <w:p>
      <w:pPr>
        <w:pStyle w:val="EnglishText"/>
        <w:pageBreakBefore/>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eastAsia="Times New Roman" w:cs="Times New Roman"/>
          <w:b/>
          <w:bCs/>
          <w:noProof/>
          <w:sz w:val="36"/>
          <w:szCs w:val="36"/>
          <w:rtl w:val="0"/>
          <w:cs w:val="0"/>
          <w:lang w:val="en-US"/>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sz w:val="32"/>
          <w:szCs w:val="32"/>
          <w:rtl w:val="0"/>
          <w:cs w:val="0"/>
          <w:lang w:val="en-US"/>
        </w:rPr>
        <w:t xml:space="preserve">Payame Noor University</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Sari Center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Master's Thesis</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Psychology Major, Islamic Psychology Major, Positive Psychology Major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Title</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36"/>
          <w:szCs w:val="36"/>
          <w:rtl w:val="0"/>
          <w:cs w:val="0"/>
          <w:lang w:val="en-US"/>
        </w:rPr>
        <w:t xml:space="preserve">Relationship between Spiritual Intelligence and Health Anxiety with Death Anxiety in the Elderly</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 xml:space="preserve">Fereshtegan Nursing Home, Eslamshahr</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Supervisor</w:t>
      </w:r>
    </w:p>
    <w:p>
      <w:pPr>
        <w:pStyle w:val="EnglishText"/>
        <w:bidi w:val="0"/>
        <w:spacing w:before="0" w:after="36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Babollah Bakhshipour Joibari</w:t>
      </w:r>
    </w:p>
    <w:p>
      <w:pPr>
        <w:pStyle w:val="EnglishText"/>
        <w:bidi w:val="0"/>
        <w:spacing w:before="0" w:after="12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Author</w:t>
      </w:r>
    </w:p>
    <w:p>
      <w:pPr>
        <w:pStyle w:val="EnglishText"/>
        <w:bidi w:val="0"/>
        <w:spacing w:before="0" w:after="48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Fatemeh Bayat</w:t>
      </w:r>
    </w:p>
    <w:p>
      <w:pPr>
        <w:pStyle w:val="EnglishText"/>
        <w:bidi w:val="0"/>
        <w:spacing w:before="0" w:after="0" w:line="240"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8"/>
          <w:szCs w:val="28"/>
          <w:rtl w:val="0"/>
          <w:cs w:val="0"/>
          <w:lang w:val="en-US"/>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 w:id="12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Inflammaging</w:t>
      </w:r>
    </w:p>
  </w:footnote>
  <w:footnote w:id="12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Franceschi</w:t>
      </w:r>
    </w:p>
  </w:footnote>
  <w:footnote w:id="12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Westerhof</w:t>
      </w:r>
    </w:p>
  </w:footnote>
  <w:footnote w:id="12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Bohlmeijer</w:t>
      </w:r>
    </w:p>
  </w:footnote>
  <w:footnote w:id="12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McAdams</w:t>
      </w:r>
    </w:p>
  </w:footnote>
  <w:footnote w:id="12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Rowe</w:t>
      </w:r>
    </w:p>
  </w:footnote>
  <w:footnote w:id="12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Kahn</w:t>
      </w:r>
    </w:p>
  </w:footnote>
  <w:footnote w:id="12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Pyszczynski, Lockett, Greenberg &amp; Solomon</w:t>
      </w:r>
    </w:p>
  </w:footnote>
  <w:footnote w:id="12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Iverach</w:t>
      </w:r>
    </w:p>
  </w:footnote>
  <w:footnote w:id="12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Menzies</w:t>
      </w:r>
    </w:p>
  </w:footnote>
  <w:footnote w:id="13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Meaning Management Theory</w:t>
      </w:r>
    </w:p>
  </w:footnote>
  <w:footnote w:id="13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Wong</w:t>
      </w:r>
    </w:p>
  </w:footnote>
  <w:footnote w:id="13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Braddock</w:t>
      </w:r>
    </w:p>
  </w:footnote>
  <w:footnote w:id="13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Haigh</w:t>
      </w:r>
    </w:p>
  </w:footnote>
  <w:footnote w:id="13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val="1"/>
        <w:cs w:val="1"/>
        <w:lang w:val="en-US" w:eastAsia="en-US" w:bidi="fa-IR"/>
      </w:rPr>
    </w:rPrDefault>
    <w:pPrDefault>
      <w:pPr>
        <w:bidi w:val="1"/>
        <w:jc w:val="right"/>
      </w:pPr>
    </w:pPrDefault>
  </w:docDefaults>
  <w:latentStyles w:defLockedState="0" w:defUIPriority="99" w:defSemiHidden="0" w:defUnhideWhenUsed="0" w:defQFormat="0" w:count="377">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English Text" w:qFormat="1" w:uiPriority="99"/>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val="1"/>
      <w:cs w:val="1"/>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EnglishText">
    <w:name w:val="English Text"/>
    <w:basedOn w:val="Normal"/>
    <w:next w:val="EnglishText"/>
    <w:qFormat/>
    <w:pPr>
      <w:bidi w:val="0"/>
      <w:jc w:val="left"/>
    </w:pPr>
    <w:rPr>
      <w:rFonts w:ascii="Times New Roman" w:hAnsi="Times New Roman" w:eastAsia="Times New Roman" w:cs="Times New Roman"/>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val="1"/>
      <w:cs w:val="1"/>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val="1"/>
      <w:cs w:val="1"/>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val="1"/>
      <w:cs w:val="1"/>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val="1"/>
      <w:cs w:val="1"/>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val="1"/>
      <w:cs w:val="1"/>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val="1"/>
      <w:cs w:val="1"/>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bidi w:val="1"/>
      <w:spacing w:after="0" w:line="240" w:lineRule="auto"/>
      <w:jc w:val="right"/>
    </w:pPr>
    <w:rPr>
      <w:rFonts w:ascii="Times New Roman" w:hAnsi="Times New Roman" w:eastAsia="Times New Roman" w:cs="B Lotus"/>
      <w:rtl w:val="1"/>
      <w:cs w:val="1"/>
      <w:lang w:bidi="fa-IR" w:val="en-US"/>
    </w:r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bidi w:val="1"/>
      <w:spacing w:after="100"/>
      <w:jc w:val="right"/>
    </w:pPr>
    <w:rPr>
      <w:rFonts w:ascii="Times New Roman" w:hAnsi="Times New Roman" w:cs="B Lotus" w:eastAsia="Times New Roman"/>
      <w:b/>
      <w:bCs/>
      <w:noProof/>
      <w:color w:val="000000"/>
      <w:sz w:val="24"/>
      <w:szCs w:val="24"/>
      <w:rtl w:val="1"/>
      <w:cs w:val="1"/>
      <w:lang w:bidi="fa-IR" w:val="en-US"/>
    </w:rPr>
  </w:style>
  <w:style w:type="paragraph" w:styleId="TOC2">
    <w:name w:val="toc 2"/>
    <w:basedOn w:val="Normal"/>
    <w:next w:val="Normal"/>
    <w:autoRedefine/>
    <w:uiPriority w:val="39"/>
    <w:unhideWhenUsed/>
    <w:qFormat/>
    <w:pPr>
      <w:bidi w:val="1"/>
      <w:spacing w:after="100"/>
      <w:ind w:left="200"/>
      <w:jc w:val="right"/>
    </w:pPr>
    <w:rPr>
      <w:rFonts w:ascii="Times New Roman" w:hAnsi="Times New Roman" w:cs="B Lotus" w:eastAsia="Times New Roman"/>
      <w:color w:val="000000"/>
      <w:sz w:val="24"/>
      <w:szCs w:val="24"/>
      <w:rtl w:val="1"/>
      <w:cs w:val="1"/>
      <w:lang w:bidi="fa-IR" w:val="en-US"/>
    </w:rPr>
  </w:style>
  <w:style w:type="paragraph" w:styleId="TOC3">
    <w:name w:val="toc 3"/>
    <w:basedOn w:val="Normal"/>
    <w:next w:val="Normal"/>
    <w:autoRedefine/>
    <w:uiPriority w:val="39"/>
    <w:unhideWhenUsed/>
    <w:qFormat/>
    <w:pPr>
      <w:tabs>
        <w:tab w:val="right" w:leader="dot" w:pos="8494"/>
      </w:tabs>
      <w:bidi w:val="1"/>
      <w:spacing w:after="100"/>
      <w:ind w:left="400" w:right="400"/>
      <w:jc w:val="right"/>
    </w:pPr>
    <w:rPr>
      <w:rFonts w:ascii="Times New Roman" w:hAnsi="Times New Roman" w:cs="B Lotus" w:eastAsia="Times New Roman"/>
      <w:noProof/>
      <w:color w:val="000000"/>
      <w:sz w:val="24"/>
      <w:szCs w:val="24"/>
      <w:rtl w:val="1"/>
      <w:cs w:val="1"/>
      <w:lang w:bidi="fa-IR" w:val="en-US"/>
    </w:rPr>
  </w:style>
  <w:style w:type="paragraph" w:styleId="TOC4">
    <w:name w:val="toc 4"/>
    <w:basedOn w:val="Normal"/>
    <w:next w:val="Normal"/>
    <w:autoRedefine/>
    <w:uiPriority w:val="39"/>
    <w:unhideWhenUsed/>
    <w:pPr>
      <w:bidi w:val="1"/>
      <w:spacing w:after="100"/>
      <w:ind w:left="660"/>
      <w:jc w:val="right"/>
    </w:pPr>
    <w:rPr>
      <w:rFonts w:ascii="Times New Roman" w:eastAsia="Times New Roman" w:hAnsi="Times New Roman" w:cs="B Lotus"/>
      <w:color w:val="000000"/>
      <w:sz w:val="24"/>
      <w:szCs w:val="24"/>
      <w:rtl w:val="1"/>
      <w:cs w:val="1"/>
      <w:lang w:bidi="fa-IR" w:val="en-US"/>
    </w:rPr>
  </w:style>
  <w:style w:type="paragraph" w:styleId="TOC5">
    <w:name w:val="toc 5"/>
    <w:basedOn w:val="Normal"/>
    <w:next w:val="Normal"/>
    <w:autoRedefine/>
    <w:uiPriority w:val="39"/>
    <w:unhideWhenUsed/>
    <w:pPr>
      <w:bidi w:val="1"/>
      <w:spacing w:after="100"/>
      <w:ind w:left="880"/>
      <w:jc w:val="right"/>
    </w:pPr>
    <w:rPr>
      <w:rFonts w:ascii="Times New Roman" w:eastAsia="Times New Roman" w:hAnsi="Times New Roman" w:cs="B Lotus"/>
      <w:color w:val="000000"/>
      <w:sz w:val="24"/>
      <w:szCs w:val="24"/>
      <w:rtl w:val="1"/>
      <w:cs w:val="1"/>
      <w:lang w:bidi="fa-IR" w:val="en-US"/>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val="1"/>
      <w:cs w:val="1"/>
      <w:lang w:bidi="fa-IR" w:val="en-US"/>
    </w:rPr>
  </w:style>
  <w:style w:type="paragraph" w:styleId="TableofFigures">
    <w:name w:val="table of figures"/>
    <w:basedOn w:val="Normal"/>
    <w:next w:val="Normal"/>
    <w:uiPriority w:val="99"/>
    <w:qFormat/>
    <w:pPr>
      <w:tabs>
        <w:tab w:val="right" w:leader="dot" w:pos="8778"/>
      </w:tabs>
      <w:bidi w:val="1"/>
      <w:spacing w:before="0" w:after="40"/>
      <w:jc w:val="right"/>
    </w:pPr>
    <w:rPr>
      <w:rFonts w:ascii="Times New Roman" w:eastAsia="Times New Roman" w:hAnsi="Times New Roman" w:cs="B Lotus"/>
      <w:color w:val="000000"/>
      <w:sz w:val="24"/>
      <w:szCs w:val="24"/>
      <w:rtl w:val="1"/>
      <w:cs w:val="1"/>
      <w:lang w:eastAsia="en-US" w:bidi="fa-IR"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Atchley89" Type="http://schemas.openxmlformats.org/officeDocument/2006/relationships/hyperlink" Target="https://doi.org/10.1093/geront/29.2.183" TargetMode="External"/><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14" Type="http://schemas.openxmlformats.org/officeDocument/2006/relationships/hyperlink" Target="https://doi.org/10.1037/a0035194" TargetMode="External"/><Relationship Id="rIdDoiLopez23" Type="http://schemas.openxmlformats.org/officeDocument/2006/relationships/hyperlink" Target="https://doi.org/10.1016/j.cell.2022.11.001" TargetMode="External"/><Relationship Id="rIdTreePng1" Type="http://schemas.openxmlformats.org/officeDocument/2006/relationships/image" Target="media/tree1.png" TargetMode="External"/><Relationship Id="rIdTreePng2" Type="http://schemas.openxmlformats.org/officeDocument/2006/relationships/image" Target="media/tree2.png" TargetMode="External"/><Relationship Id="rIdTreePng3" Type="http://schemas.openxmlformats.org/officeDocument/2006/relationships/image" Target="media/tree3.png" TargetMode="External"/><Relationship Id="rIdTreePng4" Type="http://schemas.openxmlformats.org/officeDocument/2006/relationships/image" Target="media/tree4.png" TargetMode="External"/><Relationship Id="rIdDoiFranc18" Type="http://schemas.openxmlformats.org/officeDocument/2006/relationships/hyperlink" Target="https://doi.org/10.1038/s41574-018-0059-4" TargetMode="External"/><Relationship Id="rIdDoiRowe15" Type="http://schemas.openxmlformats.org/officeDocument/2006/relationships/hyperlink" Target="https://doi.org/10.1093/geronb/gbv025" TargetMode="External"/><Relationship Id="rIdDoiWest17" Type="http://schemas.openxmlformats.org/officeDocument/2006/relationships/hyperlink" Target="https://doi.org/10.1093/geronb/gbv062" TargetMode="External"/><Relationship Id="rIdDoiIver14" Type="http://schemas.openxmlformats.org/officeDocument/2006/relationships/hyperlink" Target="https://doi.org/10.1016/j.cpr.2014.09.002" TargetMode="External"/><Relationship Id="rIdDoiMenz20" Type="http://schemas.openxmlformats.org/officeDocument/2006/relationships/hyperlink" Target="https://doi.org/10.1017/S1754470X20000215" TargetMode="External"/><Relationship Id="rIdDoiPysz21" Type="http://schemas.openxmlformats.org/officeDocument/2006/relationships/hyperlink" Target="https://doi.org/10.1177/0022167820959488" TargetMode="External"/><Relationship Id="rIdDoiHav61" Type="http://schemas.openxmlformats.org/officeDocument/2006/relationships/hyperlink" Target="https://doi.org/10.1093/geront/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