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bidi/>
        <w:shd w:val="clear" w:fill="FDE7E9"/>
        <w:spacing w:before="0" w:after="200" w:line="360" w:lineRule="auto"/>
        <w:ind w:left="0" w:right="0"/>
        <w:jc w:val="center"/>
      </w:pPr>
      <w:r>
        <w:rPr>
          <w:rFonts w:cs="B Nazanin" w:hint="cs"/>
          <w:b/>
          <w:bCs/>
          <w:color w:val="9C0006"/>
          <w:sz w:val="24"/>
          <w:szCs w:val="24"/>
          <w:rtl/>
          <w:lang w:bidi="fa-IR"/>
        </w:rPr>
        <w:t xml:space="preserve">نمونهٔ پیش‌نمایش — این فایل نسخهٔ نهایی نیست</w:t>
      </w:r>
    </w:p>
    <w:p>
      <w:pPr>
        <w:keepNext/>
        <w:keepLines/>
        <w:widowControl/>
        <w:bidi/>
        <w:spacing w:before="0" w:after="160" w:line="360" w:lineRule="auto"/>
        <w:ind w:left="0" w:right="0"/>
        <w:jc w:val="right"/>
      </w:pPr>
      <w:r>
        <w:rPr>
          <w:rFonts w:cs="B Nazanin" w:hint="cs"/>
          <w:b/>
          <w:bCs/>
          <w:sz w:val="30"/>
          <w:szCs w:val="30"/>
          <w:rtl/>
          <w:lang w:bidi="fa-IR"/>
        </w:rPr>
        <w:t xml:space="preserve">صفحهٔ ۱ — نمای واقعی متن پایان‌نامه با پانویس‌های اصلاح‌شده</w:t>
      </w:r>
    </w:p>
    <w:p>
      <w:pPr>
        <w:widowControl/>
        <w:bidi/>
        <w:spacing w:before="0" w:after="200" w:line="360" w:lineRule="auto"/>
        <w:ind w:left="0" w:right="0"/>
        <w:jc w:val="both"/>
      </w:pPr>
      <w:r>
        <w:rPr>
          <w:rFonts w:cs="B Nazanin" w:hint="cs"/>
          <w:color w:val="595959"/>
          <w:sz w:val="24"/>
          <w:szCs w:val="24"/>
          <w:rtl/>
          <w:lang w:bidi="fa-IR"/>
        </w:rPr>
        <w:t xml:space="preserve">متن زیر عیناً از فصل دوم پایان‌نامه برداشته شده و تنها پانویس‌ها اصلاح شده‌اند. هدف این صفحه آن است که ببینید شکل ظاهری پانویس‌ها و تناسب آن‌ها با متن چگونه می‌شود.</w:t>
      </w:r>
    </w:p>
    <w:p>
      <w:pPr>
        <w:keepNext/>
        <w:keepLines/>
        <w:widowControl/>
        <w:bidi/>
        <w:spacing w:before="0" w:after="120" w:line="360" w:lineRule="auto"/>
        <w:ind w:left="0" w:right="0"/>
        <w:jc w:val="right"/>
      </w:pPr>
      <w:r>
        <w:rPr>
          <w:rFonts w:cs="B Nazanin" w:hint="cs"/>
          <w:b/>
          <w:bCs/>
          <w:sz w:val="30"/>
          <w:szCs w:val="30"/>
          <w:rtl/>
          <w:lang w:bidi="fa-IR"/>
        </w:rPr>
        <w:t xml:space="preserve">۲-۱-۲-۲- نظریه‌های روان‌شناختی</w:t>
      </w:r>
    </w:p>
    <w:p>
      <w:pPr>
        <w:widowControl/>
        <w:bidi/>
        <w:spacing w:before="0" w:after="160" w:line="360" w:lineRule="auto"/>
        <w:ind w:left="0" w:right="0" w:firstLine="397"/>
        <w:jc w:val="both"/>
      </w:pPr>
      <w:r>
        <w:rPr>
          <w:rFonts w:cs="B Nazanin" w:hint="cs"/>
          <w:sz w:val="28"/>
          <w:szCs w:val="28"/>
          <w:rtl/>
          <w:lang w:bidi="fa-IR"/>
        </w:rPr>
        <w:t xml:space="preserve"/>
      </w:r>
      <w:r>
        <w:rPr>
          <w:rFonts w:cs="B Nazanin" w:hint="cs"/>
          <w:sz w:val="28"/>
          <w:szCs w:val="28"/>
          <w:rtl/>
          <w:lang w:bidi="fa-IR"/>
        </w:rPr>
        <w:t xml:space="preserve">راجر گولد</w:t>
      </w:r>
      <w:r>
        <w:rPr>
          <w:rStyle w:val="FootnoteReference"/>
          <w:rFonts w:ascii="Times New Roman" w:hAnsi="Times New Roman" w:cs="Times New Roman"/>
          <w:sz w:val="28"/>
          <w:szCs w:val="28"/>
          <w:rtl w:val="0"/>
          <w:lang w:val="en-US"/>
        </w:rPr>
        <w:footnoteReference w:id="1"/>
      </w:r>
      <w:r>
        <w:rPr>
          <w:rFonts w:cs="B Nazanin" w:hint="cs"/>
          <w:sz w:val="28"/>
          <w:szCs w:val="28"/>
          <w:rtl/>
          <w:lang w:bidi="fa-IR"/>
        </w:rPr>
        <w:t xml:space="preserve"> سالمندی را مرحله‌ای از زندگی می‌داند که با افزایش نرم‌خویی، گرمی عاطفی و بازنگری در روابط با والدین همراه است. </w:t>
      </w:r>
      <w:r>
        <w:rPr>
          <w:rFonts w:cs="B Nazanin" w:hint="cs"/>
          <w:sz w:val="28"/>
          <w:szCs w:val="28"/>
          <w:rtl/>
          <w:lang w:bidi="fa-IR"/>
        </w:rPr>
        <w:t xml:space="preserve">دانیل لوینسون</w:t>
      </w:r>
      <w:r>
        <w:rPr>
          <w:rStyle w:val="FootnoteReference"/>
          <w:rFonts w:ascii="Times New Roman" w:hAnsi="Times New Roman" w:cs="Times New Roman"/>
          <w:sz w:val="28"/>
          <w:szCs w:val="28"/>
          <w:rtl w:val="0"/>
          <w:lang w:val="en-US"/>
        </w:rPr>
        <w:footnoteReference w:id="2"/>
      </w:r>
      <w:r>
        <w:rPr>
          <w:rFonts w:cs="B Nazanin" w:hint="cs"/>
          <w:sz w:val="28"/>
          <w:szCs w:val="28"/>
          <w:rtl/>
          <w:lang w:bidi="fa-IR"/>
        </w:rPr>
        <w:t xml:space="preserve"> سالمندی را مواجهه با خود و زندگی می‌داند و </w:t>
      </w:r>
      <w:r>
        <w:rPr>
          <w:rFonts w:cs="B Nazanin" w:hint="cs"/>
          <w:sz w:val="28"/>
          <w:szCs w:val="28"/>
          <w:rtl/>
          <w:lang w:bidi="fa-IR"/>
        </w:rPr>
        <w:t xml:space="preserve">شی</w:t>
      </w:r>
      <w:r>
        <w:rPr>
          <w:rStyle w:val="FootnoteReference"/>
          <w:rFonts w:ascii="Times New Roman" w:hAnsi="Times New Roman" w:cs="Times New Roman"/>
          <w:sz w:val="28"/>
          <w:szCs w:val="28"/>
          <w:rtl w:val="0"/>
          <w:lang w:val="en-US"/>
        </w:rPr>
        <w:footnoteReference w:id="3"/>
      </w:r>
      <w:r>
        <w:rPr>
          <w:rFonts w:cs="B Nazanin" w:hint="cs"/>
          <w:sz w:val="28"/>
          <w:szCs w:val="28"/>
          <w:rtl/>
          <w:lang w:bidi="fa-IR"/>
        </w:rPr>
        <w:t xml:space="preserve"> آن را مرحلهٔ ایجاد وحدت و تمامیت می‌شمارد. از دیدگاه </w:t>
      </w:r>
      <w:r>
        <w:rPr>
          <w:rFonts w:cs="B Nazanin" w:hint="cs"/>
          <w:sz w:val="28"/>
          <w:szCs w:val="28"/>
          <w:rtl/>
          <w:lang w:bidi="fa-IR"/>
        </w:rPr>
        <w:t xml:space="preserve">اریکسون</w:t>
      </w:r>
      <w:r>
        <w:rPr>
          <w:rStyle w:val="FootnoteReference"/>
          <w:rFonts w:ascii="Times New Roman" w:hAnsi="Times New Roman" w:cs="Times New Roman"/>
          <w:sz w:val="28"/>
          <w:szCs w:val="28"/>
          <w:rtl w:val="0"/>
          <w:lang w:val="en-US"/>
        </w:rPr>
        <w:footnoteReference w:id="4"/>
      </w:r>
      <w:r>
        <w:rPr>
          <w:rFonts w:cs="B Nazanin" w:hint="cs"/>
          <w:sz w:val="28"/>
          <w:szCs w:val="28"/>
          <w:rtl/>
          <w:lang w:bidi="fa-IR"/>
        </w:rPr>
        <w:t xml:space="preserve">، واپسین مرحلهٔ رشد روانی ـ اجتماعی با تعارض «انسجام من در برابر ناامیدی» مشخص می‌شود.</w:t>
      </w:r>
    </w:p>
    <w:p>
      <w:pPr>
        <w:keepNext/>
        <w:keepLines/>
        <w:widowControl/>
        <w:bidi/>
        <w:spacing w:before="0" w:after="120" w:line="360" w:lineRule="auto"/>
        <w:ind w:left="0" w:right="0"/>
        <w:jc w:val="right"/>
      </w:pPr>
      <w:r>
        <w:rPr>
          <w:rFonts w:cs="B Nazanin" w:hint="cs"/>
          <w:b/>
          <w:bCs/>
          <w:sz w:val="30"/>
          <w:szCs w:val="30"/>
          <w:rtl/>
          <w:lang w:bidi="fa-IR"/>
        </w:rPr>
        <w:t xml:space="preserve">۲-۲-۲-۳- نظریه مدیریت وحشت</w:t>
      </w:r>
    </w:p>
    <w:p>
      <w:pPr>
        <w:widowControl/>
        <w:bidi/>
        <w:spacing w:before="0" w:after="160" w:line="360" w:lineRule="auto"/>
        <w:ind w:left="0" w:right="0" w:firstLine="397"/>
        <w:jc w:val="both"/>
      </w:pPr>
      <w:r>
        <w:rPr>
          <w:rFonts w:cs="B Nazanin" w:hint="cs"/>
          <w:sz w:val="28"/>
          <w:szCs w:val="28"/>
          <w:rtl/>
          <w:lang w:bidi="fa-IR"/>
        </w:rPr>
        <w:t xml:space="preserve"/>
      </w:r>
      <w:r>
        <w:rPr>
          <w:rFonts w:cs="B Nazanin" w:hint="cs"/>
          <w:sz w:val="28"/>
          <w:szCs w:val="28"/>
          <w:rtl/>
          <w:lang w:bidi="fa-IR"/>
        </w:rPr>
        <w:t xml:space="preserve">طبق این نظریه، که توسط </w:t>
      </w:r>
      <w:r>
        <w:rPr>
          <w:rFonts w:cs="B Nazanin" w:hint="cs"/>
          <w:sz w:val="28"/>
          <w:szCs w:val="28"/>
          <w:rtl/>
          <w:lang w:bidi="fa-IR"/>
        </w:rPr>
        <w:t xml:space="preserve">گرینبرگ و همکاران</w:t>
      </w:r>
      <w:r>
        <w:rPr>
          <w:rStyle w:val="FootnoteReference"/>
          <w:rFonts w:ascii="Times New Roman" w:hAnsi="Times New Roman" w:cs="Times New Roman"/>
          <w:sz w:val="28"/>
          <w:szCs w:val="28"/>
          <w:rtl w:val="0"/>
          <w:lang w:val="en-US"/>
        </w:rPr>
        <w:footnoteReference w:id="5"/>
      </w:r>
      <w:r>
        <w:rPr>
          <w:rFonts w:cs="B Nazanin" w:hint="cs"/>
          <w:sz w:val="28"/>
          <w:szCs w:val="28"/>
          <w:rtl/>
          <w:lang w:bidi="fa-IR"/>
        </w:rPr>
        <w:t xml:space="preserve"> مطرح شده است، انسان‌ها برای مقابله با اضطراب مرگ به سیستم‌های دفاعی فرهنگی و عزت‌نفس متوسل می‌شوند. یادآوری مرگ باعث می‌شود افراد بکوشند بیشتر با ارزش‌های فرهنگی خود همسو شوند تا احساس جاودانگی نمادین پیدا کنند.</w:t>
      </w:r>
    </w:p>
    <w:p>
      <w:pPr>
        <w:keepNext/>
        <w:keepLines/>
        <w:widowControl/>
        <w:bidi/>
        <w:spacing w:before="0" w:after="120" w:line="360" w:lineRule="auto"/>
        <w:ind w:left="0" w:right="0"/>
        <w:jc w:val="right"/>
      </w:pPr>
      <w:r>
        <w:rPr>
          <w:rFonts w:cs="B Nazanin" w:hint="cs"/>
          <w:b/>
          <w:bCs/>
          <w:sz w:val="30"/>
          <w:szCs w:val="30"/>
          <w:rtl/>
          <w:lang w:bidi="fa-IR"/>
        </w:rPr>
        <w:t xml:space="preserve">۲-۵-۲- پیشینه خارجی</w:t>
      </w:r>
    </w:p>
    <w:p>
      <w:pPr>
        <w:widowControl/>
        <w:bidi/>
        <w:spacing w:before="0" w:after="160" w:line="360" w:lineRule="auto"/>
        <w:ind w:left="0" w:right="0" w:firstLine="397"/>
        <w:jc w:val="both"/>
      </w:pPr>
      <w:r>
        <w:rPr>
          <w:rFonts w:cs="B Nazanin" w:hint="cs"/>
          <w:sz w:val="28"/>
          <w:szCs w:val="28"/>
          <w:rtl/>
          <w:lang w:bidi="fa-IR"/>
        </w:rPr>
        <w:t xml:space="preserve"/>
      </w:r>
      <w:r>
        <w:rPr>
          <w:rFonts w:cs="B Nazanin" w:hint="cs"/>
          <w:sz w:val="28"/>
          <w:szCs w:val="28"/>
          <w:rtl/>
          <w:lang w:bidi="fa-IR"/>
        </w:rPr>
        <w:t xml:space="preserve">یانکر، اسنابلروچ و دهان</w:t>
      </w:r>
      <w:r>
        <w:rPr>
          <w:rStyle w:val="FootnoteReference"/>
          <w:rFonts w:ascii="Times New Roman" w:hAnsi="Times New Roman" w:cs="Times New Roman"/>
          <w:sz w:val="28"/>
          <w:szCs w:val="28"/>
          <w:rtl w:val="0"/>
          <w:lang w:val="en-US"/>
        </w:rPr>
        <w:footnoteReference w:id="6"/>
      </w:r>
      <w:r>
        <w:rPr>
          <w:rFonts w:cs="B Nazanin" w:hint="cs"/>
          <w:sz w:val="28"/>
          <w:szCs w:val="28"/>
          <w:rtl/>
          <w:lang w:bidi="fa-IR"/>
        </w:rPr>
        <w:t xml:space="preserve"> (۲۰۱۲) در پژوهشی با عنوان رابطهٔ مذهبی بودن و پیامدهای روان‌شناختی به این نتیجه رسیدند که مذهبی و معنوی بودن بر بروز افسردگی و عزت نفس تأثیر می‌گذارد. </w:t>
      </w:r>
      <w:r>
        <w:rPr>
          <w:rFonts w:cs="B Nazanin" w:hint="cs"/>
          <w:sz w:val="28"/>
          <w:szCs w:val="28"/>
          <w:rtl/>
          <w:lang w:bidi="fa-IR"/>
        </w:rPr>
        <w:t xml:space="preserve">مت سعد، حتا و محمد</w:t>
      </w:r>
      <w:r>
        <w:rPr>
          <w:rStyle w:val="FootnoteReference"/>
          <w:rFonts w:ascii="Times New Roman" w:hAnsi="Times New Roman" w:cs="Times New Roman"/>
          <w:sz w:val="28"/>
          <w:szCs w:val="28"/>
          <w:rtl w:val="0"/>
          <w:lang w:val="en-US"/>
        </w:rPr>
        <w:footnoteReference w:id="7"/>
      </w:r>
      <w:r>
        <w:rPr>
          <w:rFonts w:cs="B Nazanin" w:hint="cs"/>
          <w:sz w:val="28"/>
          <w:szCs w:val="28"/>
          <w:rtl/>
          <w:lang w:bidi="fa-IR"/>
        </w:rPr>
        <w:t xml:space="preserve"> (۲۰۱۰) در مطالعه‌ای بر ۳۷۸ فرد مسن نشان دادند هوش معنوی با سلامت عمومی رابطهٔ مثبت دارد. </w:t>
      </w:r>
      <w:r>
        <w:rPr>
          <w:rFonts w:cs="B Nazanin" w:hint="cs"/>
          <w:sz w:val="28"/>
          <w:szCs w:val="28"/>
          <w:rtl/>
          <w:lang w:bidi="fa-IR"/>
        </w:rPr>
        <w:t xml:space="preserve">جین و پوروحیت</w:t>
      </w:r>
      <w:r>
        <w:rPr>
          <w:rStyle w:val="FootnoteReference"/>
          <w:rFonts w:ascii="Times New Roman" w:hAnsi="Times New Roman" w:cs="Times New Roman"/>
          <w:sz w:val="28"/>
          <w:szCs w:val="28"/>
          <w:rtl w:val="0"/>
          <w:lang w:val="en-US"/>
        </w:rPr>
        <w:footnoteReference w:id="8"/>
      </w:r>
      <w:r>
        <w:rPr>
          <w:rFonts w:cs="B Nazanin" w:hint="cs"/>
          <w:sz w:val="28"/>
          <w:szCs w:val="28"/>
          <w:rtl/>
          <w:lang w:bidi="fa-IR"/>
        </w:rPr>
        <w:t xml:space="preserve"> (۲۰۰۶) هوش معنوی ۲۰۰ سالمند را در دو گروه ساکن خانواده و خانهٔ سالمندان مقایسه کردند.</w:t>
      </w:r>
    </w:p>
    <w:p>
      <w:pPr>
        <w:widowControl/>
        <w:bidi/>
        <w:spacing w:before="0" w:after="160" w:line="360" w:lineRule="auto"/>
        <w:ind w:left="0" w:right="0" w:firstLine="397"/>
        <w:jc w:val="both"/>
      </w:pPr>
      <w:r>
        <w:rPr>
          <w:rFonts w:cs="B Nazanin" w:hint="cs"/>
          <w:sz w:val="28"/>
          <w:szCs w:val="28"/>
          <w:rtl/>
          <w:lang w:bidi="fa-IR"/>
        </w:rPr>
        <w:t xml:space="preserve"/>
      </w:r>
      <w:r>
        <w:rPr>
          <w:rFonts w:cs="B Nazanin" w:hint="cs"/>
          <w:sz w:val="28"/>
          <w:szCs w:val="28"/>
          <w:rtl/>
          <w:lang w:bidi="fa-IR"/>
        </w:rPr>
        <w:t xml:space="preserve">تورسون و پاوول</w:t>
      </w:r>
      <w:r>
        <w:rPr>
          <w:rStyle w:val="FootnoteReference"/>
          <w:rFonts w:ascii="Times New Roman" w:hAnsi="Times New Roman" w:cs="Times New Roman"/>
          <w:sz w:val="28"/>
          <w:szCs w:val="28"/>
          <w:rtl w:val="0"/>
          <w:lang w:val="en-US"/>
        </w:rPr>
        <w:footnoteReference w:id="9"/>
      </w:r>
      <w:r>
        <w:rPr>
          <w:rFonts w:cs="B Nazanin" w:hint="cs"/>
          <w:sz w:val="28"/>
          <w:szCs w:val="28"/>
          <w:rtl/>
          <w:lang w:bidi="fa-IR"/>
        </w:rPr>
        <w:t xml:space="preserve"> (۱۹۸۸) در پژوهشی با عنوان «عناصر اضطراب مرگ و معانی مرگ» با مشارکت ۵۹۹ نفر نشان دادند زنان سطوح بالاتری از اضطراب مرگ را گزارش می‌کنند. </w:t>
      </w:r>
      <w:r>
        <w:rPr>
          <w:rFonts w:cs="B Nazanin" w:hint="cs"/>
          <w:sz w:val="28"/>
          <w:szCs w:val="28"/>
          <w:rtl/>
          <w:lang w:bidi="fa-IR"/>
        </w:rPr>
        <w:t xml:space="preserve">موریرا-آلمیدا و کوئینگ</w:t>
      </w:r>
      <w:r>
        <w:rPr>
          <w:rStyle w:val="FootnoteReference"/>
          <w:rFonts w:ascii="Times New Roman" w:hAnsi="Times New Roman" w:cs="Times New Roman"/>
          <w:sz w:val="28"/>
          <w:szCs w:val="28"/>
          <w:rtl w:val="0"/>
          <w:lang w:val="en-US"/>
        </w:rPr>
        <w:footnoteReference w:id="10"/>
      </w:r>
      <w:r>
        <w:rPr>
          <w:rFonts w:cs="B Nazanin" w:hint="cs"/>
          <w:sz w:val="28"/>
          <w:szCs w:val="28"/>
          <w:rtl/>
          <w:lang w:bidi="fa-IR"/>
        </w:rPr>
        <w:t xml:space="preserve"> (۲۰۰۶) با تحلیل بیش از ۲۰۰۰ پژوهش دریافتند بین معنویت و بهزیستی ذهنی رابطه وجود دارد. </w:t>
      </w:r>
      <w:r>
        <w:rPr>
          <w:rFonts w:cs="B Nazanin" w:hint="cs"/>
          <w:sz w:val="28"/>
          <w:szCs w:val="28"/>
          <w:rtl/>
          <w:lang w:bidi="fa-IR"/>
        </w:rPr>
        <w:t xml:space="preserve">تامر و الیسون</w:t>
      </w:r>
      <w:r>
        <w:rPr>
          <w:rStyle w:val="FootnoteReference"/>
          <w:rFonts w:ascii="Times New Roman" w:hAnsi="Times New Roman" w:cs="Times New Roman"/>
          <w:sz w:val="28"/>
          <w:szCs w:val="28"/>
          <w:rtl w:val="0"/>
          <w:lang w:val="en-US"/>
        </w:rPr>
        <w:footnoteReference w:id="11"/>
      </w:r>
      <w:r>
        <w:rPr>
          <w:rFonts w:cs="B Nazanin" w:hint="cs"/>
          <w:sz w:val="28"/>
          <w:szCs w:val="28"/>
          <w:rtl/>
          <w:lang w:bidi="fa-IR"/>
        </w:rPr>
        <w:t xml:space="preserve"> (۲۰۰۰) تأکید کردند دیدگاه فرد نسبت به مرگ تحت‌تأثیر نگرانی‌های سلامت است.</w:t>
      </w:r>
    </w:p>
    <w:p>
      <w:pPr>
        <w:widowControl/>
        <w:bidi/>
        <w:spacing w:before="0" w:after="160" w:line="360" w:lineRule="auto"/>
        <w:ind w:left="0" w:right="0" w:firstLine="397"/>
        <w:jc w:val="both"/>
      </w:pPr>
      <w:r>
        <w:rPr>
          <w:rFonts w:cs="B Nazanin" w:hint="cs"/>
          <w:sz w:val="28"/>
          <w:szCs w:val="28"/>
          <w:rtl/>
          <w:lang w:bidi="fa-IR"/>
        </w:rPr>
        <w:t xml:space="preserve"/>
      </w:r>
      <w:r>
        <w:rPr>
          <w:rFonts w:cs="B Nazanin" w:hint="cs"/>
          <w:sz w:val="28"/>
          <w:szCs w:val="28"/>
          <w:rtl/>
          <w:lang w:bidi="fa-IR"/>
        </w:rPr>
        <w:t xml:space="preserve">به منظور تعیین حجم نمونه، از جدول </w:t>
      </w:r>
      <w:r>
        <w:rPr>
          <w:rFonts w:cs="B Nazanin" w:hint="cs"/>
          <w:sz w:val="28"/>
          <w:szCs w:val="28"/>
          <w:rtl/>
          <w:lang w:bidi="fa-IR"/>
        </w:rPr>
        <w:t xml:space="preserve">کرجسی و مورگان</w:t>
      </w:r>
      <w:r>
        <w:rPr>
          <w:rStyle w:val="FootnoteReference"/>
          <w:rFonts w:ascii="Times New Roman" w:hAnsi="Times New Roman" w:cs="Times New Roman"/>
          <w:sz w:val="28"/>
          <w:szCs w:val="28"/>
          <w:rtl w:val="0"/>
          <w:lang w:val="en-US"/>
        </w:rPr>
        <w:footnoteReference w:id="12"/>
      </w:r>
      <w:r>
        <w:rPr>
          <w:rFonts w:cs="B Nazanin" w:hint="cs"/>
          <w:sz w:val="28"/>
          <w:szCs w:val="28"/>
          <w:rtl/>
          <w:lang w:bidi="fa-IR"/>
        </w:rPr>
        <w:t xml:space="preserve"> (۱۹۷۰) استفاده شد.</w:t>
      </w:r>
    </w:p>
    <w:p>
      <w:pPr>
        <w:pageBreakBefore/>
        <w:keepNext/>
        <w:keepLines/>
        <w:widowControl/>
        <w:bidi/>
        <w:spacing w:before="0" w:after="100" w:line="360" w:lineRule="auto"/>
        <w:ind w:left="0" w:right="0"/>
        <w:jc w:val="right"/>
      </w:pPr>
      <w:r>
        <w:rPr>
          <w:rFonts w:cs="B Nazanin" w:hint="cs"/>
          <w:b/>
          <w:bCs/>
          <w:sz w:val="30"/>
          <w:szCs w:val="30"/>
          <w:rtl/>
          <w:lang w:bidi="fa-IR"/>
        </w:rPr>
        <w:t xml:space="preserve">صفحهٔ ۲ — فهرست موارد گنگ و آنچه شناسایی شد</w:t>
      </w:r>
    </w:p>
    <w:p>
      <w:pPr>
        <w:widowControl/>
        <w:bidi/>
        <w:spacing w:before="0" w:after="180" w:line="360" w:lineRule="auto"/>
        <w:ind w:left="0" w:right="0"/>
        <w:jc w:val="both"/>
      </w:pPr>
      <w:r>
        <w:rPr>
          <w:rFonts w:cs="B Nazanin" w:hint="cs"/>
          <w:color w:val="595959"/>
          <w:sz w:val="24"/>
          <w:szCs w:val="24"/>
          <w:rtl/>
          <w:lang w:bidi="fa-IR"/>
        </w:rPr>
        <w:t xml:space="preserve">ستون «پیش» متن فعلی پانویس در فایل شماست و ستون «پس» پیشنهاد اصلاح‌شده بر پایهٔ منبع اصلی.</w:t>
      </w:r>
    </w:p>
    <w:p>
      <w:pPr>
        <w:keepNext/>
        <w:keepLines/>
        <w:widowControl/>
        <w:bidi/>
        <w:shd w:val="clear" w:fill="E7F1F5"/>
        <w:spacing w:before="200" w:after="70" w:line="360" w:lineRule="auto"/>
        <w:ind w:left="0" w:right="0"/>
        <w:jc w:val="right"/>
      </w:pPr>
      <w:r>
        <w:rPr>
          <w:rFonts w:cs="B Nazanin" w:hint="cs"/>
          <w:b/>
          <w:bCs/>
          <w:color w:val="1F6F8B"/>
          <w:sz w:val="24"/>
          <w:szCs w:val="24"/>
          <w:rtl/>
          <w:lang w:bidi="fa-IR"/>
        </w:rPr>
        <w:t xml:space="preserve">۱. پانویس ۸   |   شناسایی شد</w:t>
      </w:r>
    </w:p>
    <w:p>
      <w:pPr>
        <w:keepNext/>
        <w:keepLines/>
        <w:widowControl/>
        <w:bidi/>
        <w:spacing w:before="0" w:after="50" w:line="360" w:lineRule="auto"/>
        <w:ind w:left="0" w:right="0"/>
        <w:jc w:val="both"/>
      </w:pPr>
      <w:r>
        <w:rPr>
          <w:rFonts w:cs="B Nazanin" w:hint="cs"/>
          <w:sz w:val="24"/>
          <w:szCs w:val="24"/>
          <w:rtl/>
          <w:lang w:bidi="fa-IR"/>
        </w:rPr>
        <w:t xml:space="preserve">پیش:  ۱ </w:t>
      </w:r>
      <w:r>
        <w:rPr>
          <w:rFonts w:ascii="Times New Roman" w:hAnsi="Times New Roman" w:cs="Times New Roman"/>
          <w:sz w:val="24"/>
          <w:szCs w:val="24"/>
          <w:rtl w:val="0"/>
          <w:lang w:val="en-US"/>
        </w:rPr>
        <w:t xml:space="preserve">Gerontology</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Gerontology</w:t>
      </w:r>
    </w:p>
    <w:p>
      <w:pPr>
        <w:widowControl/>
        <w:bidi/>
        <w:spacing w:before="0" w:after="130" w:line="360" w:lineRule="auto"/>
        <w:ind w:left="0" w:right="0"/>
        <w:jc w:val="both"/>
      </w:pPr>
      <w:r>
        <w:rPr>
          <w:rFonts w:cs="B Nazanin" w:hint="cs"/>
          <w:sz w:val="24"/>
          <w:szCs w:val="24"/>
          <w:rtl/>
          <w:lang w:bidi="fa-IR"/>
        </w:rPr>
        <w:t xml:space="preserve">دلیل:  واژهٔ «ژرونتولوژی» است و ارجاع کتاب‌شناختی ندارد؛ فقط رقم «۱» که از شماره‌گذاری فهرست چسبیده بود حذف شد.</w:t>
      </w:r>
    </w:p>
    <w:p>
      <w:pPr>
        <w:keepNext/>
        <w:keepLines/>
        <w:widowControl/>
        <w:bidi/>
        <w:shd w:val="clear" w:fill="E7F1F5"/>
        <w:spacing w:before="200" w:after="70" w:line="360" w:lineRule="auto"/>
        <w:ind w:left="0" w:right="0"/>
        <w:jc w:val="right"/>
      </w:pPr>
      <w:r>
        <w:rPr>
          <w:rFonts w:cs="B Nazanin" w:hint="cs"/>
          <w:b/>
          <w:bCs/>
          <w:color w:val="1F6F8B"/>
          <w:sz w:val="24"/>
          <w:szCs w:val="24"/>
          <w:rtl/>
          <w:lang w:bidi="fa-IR"/>
        </w:rPr>
        <w:t xml:space="preserve">۲. پانویس ۱۶   |   شناسایی شد</w:t>
      </w:r>
    </w:p>
    <w:p>
      <w:pPr>
        <w:keepNext/>
        <w:keepLines/>
        <w:widowControl/>
        <w:bidi/>
        <w:spacing w:before="0" w:after="50" w:line="360" w:lineRule="auto"/>
        <w:ind w:left="0" w:right="0"/>
        <w:jc w:val="both"/>
      </w:pPr>
      <w:r>
        <w:rPr>
          <w:rFonts w:cs="B Nazanin" w:hint="cs"/>
          <w:sz w:val="24"/>
          <w:szCs w:val="24"/>
          <w:rtl/>
          <w:lang w:bidi="fa-IR"/>
        </w:rPr>
        <w:t xml:space="preserve">پیش:  </w:t>
      </w:r>
      <w:r>
        <w:rPr>
          <w:rFonts w:ascii="Times New Roman" w:hAnsi="Times New Roman" w:cs="Times New Roman"/>
          <w:sz w:val="24"/>
          <w:szCs w:val="24"/>
          <w:rtl w:val="0"/>
          <w:lang w:val="en-US"/>
        </w:rPr>
        <w:t xml:space="preserve">Gold</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Gould, 1978</w:t>
      </w:r>
    </w:p>
    <w:p>
      <w:pPr>
        <w:widowControl/>
        <w:bidi/>
        <w:spacing w:before="0" w:after="130" w:line="360" w:lineRule="auto"/>
        <w:ind w:left="0" w:right="0"/>
        <w:jc w:val="both"/>
      </w:pPr>
      <w:r>
        <w:rPr>
          <w:rFonts w:cs="B Nazanin" w:hint="cs"/>
          <w:sz w:val="24"/>
          <w:szCs w:val="24"/>
          <w:rtl/>
          <w:lang w:bidi="fa-IR"/>
        </w:rPr>
        <w:t xml:space="preserve">دلیل:  متن فارسی «راجر گولد» است و به نظریهٔ تحول بزرگسالی او ارجاع می‌دهد؛ «</w:t>
      </w:r>
      <w:r>
        <w:rPr>
          <w:rFonts w:ascii="Times New Roman" w:hAnsi="Times New Roman" w:cs="Times New Roman"/>
          <w:sz w:val="24"/>
          <w:szCs w:val="24"/>
          <w:rtl w:val="0"/>
          <w:lang w:val="en-US"/>
        </w:rPr>
        <w:t xml:space="preserve">Gold» </w:t>
      </w:r>
      <w:r>
        <w:rPr>
          <w:rFonts w:cs="B Nazanin" w:hint="cs"/>
          <w:sz w:val="24"/>
          <w:szCs w:val="24"/>
          <w:rtl/>
          <w:lang w:bidi="fa-IR"/>
        </w:rPr>
        <w:t xml:space="preserve">غلط املایی </w:t>
      </w:r>
      <w:r>
        <w:rPr>
          <w:rFonts w:ascii="Times New Roman" w:hAnsi="Times New Roman" w:cs="Times New Roman"/>
          <w:sz w:val="24"/>
          <w:szCs w:val="24"/>
          <w:rtl w:val="0"/>
          <w:lang w:val="en-US"/>
        </w:rPr>
        <w:t xml:space="preserve">Gould </w:t>
      </w:r>
      <w:r>
        <w:rPr>
          <w:rFonts w:cs="B Nazanin" w:hint="cs"/>
          <w:sz w:val="24"/>
          <w:szCs w:val="24"/>
          <w:rtl/>
          <w:lang w:bidi="fa-IR"/>
        </w:rPr>
        <w:t xml:space="preserve">است. توجه: این </w:t>
      </w:r>
      <w:r>
        <w:rPr>
          <w:rFonts w:ascii="Times New Roman" w:hAnsi="Times New Roman" w:cs="Times New Roman"/>
          <w:sz w:val="24"/>
          <w:szCs w:val="24"/>
          <w:rtl w:val="0"/>
          <w:lang w:val="en-US"/>
        </w:rPr>
        <w:t xml:space="preserve">Gould </w:t>
      </w:r>
      <w:r>
        <w:rPr>
          <w:rFonts w:cs="B Nazanin" w:hint="cs"/>
          <w:sz w:val="24"/>
          <w:szCs w:val="24"/>
          <w:rtl/>
          <w:lang w:bidi="fa-IR"/>
        </w:rPr>
        <w:t xml:space="preserve">با </w:t>
      </w:r>
      <w:r>
        <w:rPr>
          <w:rFonts w:ascii="Times New Roman" w:hAnsi="Times New Roman" w:cs="Times New Roman"/>
          <w:sz w:val="24"/>
          <w:szCs w:val="24"/>
          <w:rtl w:val="0"/>
          <w:lang w:val="en-US"/>
        </w:rPr>
        <w:t xml:space="preserve">R. L. Gould </w:t>
      </w:r>
      <w:r>
        <w:rPr>
          <w:rFonts w:cs="B Nazanin" w:hint="cs"/>
          <w:sz w:val="24"/>
          <w:szCs w:val="24"/>
          <w:rtl/>
          <w:lang w:bidi="fa-IR"/>
        </w:rPr>
        <w:t xml:space="preserve">سال ۲۰۲۲ در فهرست منابع (درمان شناختی-رفتاری) فرد متفاوتی است.</w:t>
      </w:r>
    </w:p>
    <w:p>
      <w:pPr>
        <w:keepNext/>
        <w:keepLines/>
        <w:widowControl/>
        <w:bidi/>
        <w:shd w:val="clear" w:fill="E7F1F5"/>
        <w:spacing w:before="200" w:after="70" w:line="360" w:lineRule="auto"/>
        <w:ind w:left="0" w:right="0"/>
        <w:jc w:val="right"/>
      </w:pPr>
      <w:r>
        <w:rPr>
          <w:rFonts w:cs="B Nazanin" w:hint="cs"/>
          <w:b/>
          <w:bCs/>
          <w:color w:val="1F6F8B"/>
          <w:sz w:val="24"/>
          <w:szCs w:val="24"/>
          <w:rtl/>
          <w:lang w:bidi="fa-IR"/>
        </w:rPr>
        <w:t xml:space="preserve">۳. پانویس ۱۷   |   شناسایی شد</w:t>
      </w:r>
    </w:p>
    <w:p>
      <w:pPr>
        <w:keepNext/>
        <w:keepLines/>
        <w:widowControl/>
        <w:bidi/>
        <w:spacing w:before="0" w:after="50" w:line="360" w:lineRule="auto"/>
        <w:ind w:left="0" w:right="0"/>
        <w:jc w:val="both"/>
      </w:pPr>
      <w:r>
        <w:rPr>
          <w:rFonts w:cs="B Nazanin" w:hint="cs"/>
          <w:sz w:val="24"/>
          <w:szCs w:val="24"/>
          <w:rtl/>
          <w:lang w:bidi="fa-IR"/>
        </w:rPr>
        <w:t xml:space="preserve">پیش:  ۳ </w:t>
      </w:r>
      <w:r>
        <w:rPr>
          <w:rFonts w:ascii="Times New Roman" w:hAnsi="Times New Roman" w:cs="Times New Roman"/>
          <w:sz w:val="24"/>
          <w:szCs w:val="24"/>
          <w:rtl w:val="0"/>
          <w:lang w:val="en-US"/>
        </w:rPr>
        <w:t xml:space="preserve">Levinson</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Levinson, 1978</w:t>
      </w:r>
    </w:p>
    <w:p>
      <w:pPr>
        <w:widowControl/>
        <w:bidi/>
        <w:spacing w:before="0" w:after="130" w:line="360" w:lineRule="auto"/>
        <w:ind w:left="0" w:right="0"/>
        <w:jc w:val="both"/>
      </w:pPr>
      <w:r>
        <w:rPr>
          <w:rFonts w:cs="B Nazanin" w:hint="cs"/>
          <w:sz w:val="24"/>
          <w:szCs w:val="24"/>
          <w:rtl/>
          <w:lang w:bidi="fa-IR"/>
        </w:rPr>
        <w:t xml:space="preserve">دلیل:  متن «دانیل لوینسون (۱۹۷۸)» است؛ رقم «۳» از فهرست چسبیده بود. اثر شاخص او با همین سال، فصول زندگی مرد است.</w:t>
      </w:r>
    </w:p>
    <w:p>
      <w:pPr>
        <w:keepNext/>
        <w:keepLines/>
        <w:widowControl/>
        <w:bidi/>
        <w:shd w:val="clear" w:fill="E7F1F5"/>
        <w:spacing w:before="200" w:after="70" w:line="360" w:lineRule="auto"/>
        <w:ind w:left="0" w:right="0"/>
        <w:jc w:val="right"/>
      </w:pPr>
      <w:r>
        <w:rPr>
          <w:rFonts w:cs="B Nazanin" w:hint="cs"/>
          <w:b/>
          <w:bCs/>
          <w:color w:val="1F6F8B"/>
          <w:sz w:val="24"/>
          <w:szCs w:val="24"/>
          <w:rtl/>
          <w:lang w:bidi="fa-IR"/>
        </w:rPr>
        <w:t xml:space="preserve">۴. پانویس ۱۸   |   شناسایی شد</w:t>
      </w:r>
    </w:p>
    <w:p>
      <w:pPr>
        <w:keepNext/>
        <w:keepLines/>
        <w:widowControl/>
        <w:bidi/>
        <w:spacing w:before="0" w:after="50" w:line="360" w:lineRule="auto"/>
        <w:ind w:left="0" w:right="0"/>
        <w:jc w:val="both"/>
      </w:pPr>
      <w:r>
        <w:rPr>
          <w:rFonts w:cs="B Nazanin" w:hint="cs"/>
          <w:sz w:val="24"/>
          <w:szCs w:val="24"/>
          <w:rtl/>
          <w:lang w:bidi="fa-IR"/>
        </w:rPr>
        <w:t xml:space="preserve">پیش:  ۴ </w:t>
      </w:r>
      <w:r>
        <w:rPr>
          <w:rFonts w:ascii="Times New Roman" w:hAnsi="Times New Roman" w:cs="Times New Roman"/>
          <w:sz w:val="24"/>
          <w:szCs w:val="24"/>
          <w:rtl w:val="0"/>
          <w:lang w:val="en-US"/>
        </w:rPr>
        <w:t xml:space="preserve">SHAie</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Schaie, 1979</w:t>
      </w:r>
    </w:p>
    <w:p>
      <w:pPr>
        <w:widowControl/>
        <w:bidi/>
        <w:spacing w:before="0" w:after="130" w:line="360" w:lineRule="auto"/>
        <w:ind w:left="0" w:right="0"/>
        <w:jc w:val="both"/>
      </w:pPr>
      <w:r>
        <w:rPr>
          <w:rFonts w:cs="B Nazanin" w:hint="cs"/>
          <w:sz w:val="24"/>
          <w:szCs w:val="24"/>
          <w:rtl/>
          <w:lang w:bidi="fa-IR"/>
        </w:rPr>
        <w:t xml:space="preserve">دلیل:  در متن «نظریه لوینسون و شی» و سپس «شی (۱۹۷۹؛ به نقل از منصور، ۱۳۸۶)» آمده است. «</w:t>
      </w:r>
      <w:r>
        <w:rPr>
          <w:rFonts w:ascii="Times New Roman" w:hAnsi="Times New Roman" w:cs="Times New Roman"/>
          <w:sz w:val="24"/>
          <w:szCs w:val="24"/>
          <w:rtl w:val="0"/>
          <w:lang w:val="en-US"/>
        </w:rPr>
        <w:t xml:space="preserve">SHAie» </w:t>
      </w:r>
      <w:r>
        <w:rPr>
          <w:rFonts w:cs="B Nazanin" w:hint="cs"/>
          <w:sz w:val="24"/>
          <w:szCs w:val="24"/>
          <w:rtl/>
          <w:lang w:bidi="fa-IR"/>
        </w:rPr>
        <w:t xml:space="preserve">همان </w:t>
      </w:r>
      <w:r>
        <w:rPr>
          <w:rFonts w:ascii="Times New Roman" w:hAnsi="Times New Roman" w:cs="Times New Roman"/>
          <w:sz w:val="24"/>
          <w:szCs w:val="24"/>
          <w:rtl w:val="0"/>
          <w:lang w:val="en-US"/>
        </w:rPr>
        <w:t xml:space="preserve">K. Warner Schaie </w:t>
      </w:r>
      <w:r>
        <w:rPr>
          <w:rFonts w:cs="B Nazanin" w:hint="cs"/>
          <w:sz w:val="24"/>
          <w:szCs w:val="24"/>
          <w:rtl/>
          <w:lang w:bidi="fa-IR"/>
        </w:rPr>
        <w:t xml:space="preserve">است که در کنار لوینسون به‌عنوان نظریه‌پرداز تحول بزرگسالی/سالمندی ذکر می‌شود.</w:t>
      </w:r>
    </w:p>
    <w:p>
      <w:pPr>
        <w:keepNext/>
        <w:keepLines/>
        <w:widowControl/>
        <w:bidi/>
        <w:shd w:val="clear" w:fill="E7F1F5"/>
        <w:spacing w:before="200" w:after="70" w:line="360" w:lineRule="auto"/>
        <w:ind w:left="0" w:right="0"/>
        <w:jc w:val="right"/>
      </w:pPr>
      <w:r>
        <w:rPr>
          <w:rFonts w:cs="B Nazanin" w:hint="cs"/>
          <w:b/>
          <w:bCs/>
          <w:color w:val="1F6F8B"/>
          <w:sz w:val="24"/>
          <w:szCs w:val="24"/>
          <w:rtl/>
          <w:lang w:bidi="fa-IR"/>
        </w:rPr>
        <w:t xml:space="preserve">۵. پانویس ۱۹   |   شناسایی شد</w:t>
      </w:r>
    </w:p>
    <w:p>
      <w:pPr>
        <w:keepNext/>
        <w:keepLines/>
        <w:widowControl/>
        <w:bidi/>
        <w:spacing w:before="0" w:after="50" w:line="360" w:lineRule="auto"/>
        <w:ind w:left="0" w:right="0"/>
        <w:jc w:val="both"/>
      </w:pPr>
      <w:r>
        <w:rPr>
          <w:rFonts w:cs="B Nazanin" w:hint="cs"/>
          <w:sz w:val="24"/>
          <w:szCs w:val="24"/>
          <w:rtl/>
          <w:lang w:bidi="fa-IR"/>
        </w:rPr>
        <w:t xml:space="preserve">پیش:  ۵ </w:t>
      </w:r>
      <w:r>
        <w:rPr>
          <w:rFonts w:ascii="Times New Roman" w:hAnsi="Times New Roman" w:cs="Times New Roman"/>
          <w:sz w:val="24"/>
          <w:szCs w:val="24"/>
          <w:rtl w:val="0"/>
          <w:lang w:val="en-US"/>
        </w:rPr>
        <w:t xml:space="preserve">Erikson</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Erikson, 1982</w:t>
      </w:r>
    </w:p>
    <w:p>
      <w:pPr>
        <w:widowControl/>
        <w:bidi/>
        <w:spacing w:before="0" w:after="130" w:line="360" w:lineRule="auto"/>
        <w:ind w:left="0" w:right="0"/>
        <w:jc w:val="both"/>
      </w:pPr>
      <w:r>
        <w:rPr>
          <w:rFonts w:cs="B Nazanin" w:hint="cs"/>
          <w:sz w:val="24"/>
          <w:szCs w:val="24"/>
          <w:rtl/>
          <w:lang w:bidi="fa-IR"/>
        </w:rPr>
        <w:t xml:space="preserve">دلیل:  رقم «۵» از فهرست چسبیده بود. منبع در فهرست منابع پایان‌نامه موجود است.</w:t>
      </w:r>
    </w:p>
    <w:p>
      <w:pPr>
        <w:keepNext/>
        <w:keepLines/>
        <w:widowControl/>
        <w:bidi/>
        <w:shd w:val="clear" w:fill="E7F1F5"/>
        <w:spacing w:before="200" w:after="70" w:line="360" w:lineRule="auto"/>
        <w:ind w:left="0" w:right="0"/>
        <w:jc w:val="right"/>
      </w:pPr>
      <w:r>
        <w:rPr>
          <w:rFonts w:cs="B Nazanin" w:hint="cs"/>
          <w:b/>
          <w:bCs/>
          <w:color w:val="1F6F8B"/>
          <w:sz w:val="24"/>
          <w:szCs w:val="24"/>
          <w:rtl/>
          <w:lang w:bidi="fa-IR"/>
        </w:rPr>
        <w:t xml:space="preserve">۶. پانویس ۳۳   |   شناسایی شد</w:t>
      </w:r>
    </w:p>
    <w:p>
      <w:pPr>
        <w:keepNext/>
        <w:keepLines/>
        <w:widowControl/>
        <w:bidi/>
        <w:spacing w:before="0" w:after="50" w:line="360" w:lineRule="auto"/>
        <w:ind w:left="0" w:right="0"/>
        <w:jc w:val="both"/>
      </w:pPr>
      <w:r>
        <w:rPr>
          <w:rFonts w:cs="B Nazanin" w:hint="cs"/>
          <w:sz w:val="24"/>
          <w:szCs w:val="24"/>
          <w:rtl/>
          <w:lang w:bidi="fa-IR"/>
        </w:rPr>
        <w:t xml:space="preserve">پیش:  </w:t>
      </w:r>
      <w:r>
        <w:rPr>
          <w:rFonts w:ascii="Times New Roman" w:hAnsi="Times New Roman" w:cs="Times New Roman"/>
          <w:sz w:val="24"/>
          <w:szCs w:val="24"/>
          <w:rtl w:val="0"/>
          <w:lang w:val="en-US"/>
        </w:rPr>
        <w:t xml:space="preserve">Greenberg</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Greenberg, Pyszczynski &amp; Solomon, 1986</w:t>
      </w:r>
    </w:p>
    <w:p>
      <w:pPr>
        <w:widowControl/>
        <w:bidi/>
        <w:spacing w:before="0" w:after="130" w:line="360" w:lineRule="auto"/>
        <w:ind w:left="0" w:right="0"/>
        <w:jc w:val="both"/>
      </w:pPr>
      <w:r>
        <w:rPr>
          <w:rFonts w:cs="B Nazanin" w:hint="cs"/>
          <w:sz w:val="24"/>
          <w:szCs w:val="24"/>
          <w:rtl/>
          <w:lang w:bidi="fa-IR"/>
        </w:rPr>
        <w:t xml:space="preserve">دلیل:  متن دقیقاً نظریهٔ مدیریت وحشت (</w:t>
      </w:r>
      <w:r>
        <w:rPr>
          <w:rFonts w:ascii="Times New Roman" w:hAnsi="Times New Roman" w:cs="Times New Roman"/>
          <w:sz w:val="24"/>
          <w:szCs w:val="24"/>
          <w:rtl w:val="0"/>
          <w:lang w:val="en-US"/>
        </w:rPr>
        <w:t xml:space="preserve">TMT) </w:t>
      </w:r>
      <w:r>
        <w:rPr>
          <w:rFonts w:cs="B Nazanin" w:hint="cs"/>
          <w:sz w:val="24"/>
          <w:szCs w:val="24"/>
          <w:rtl/>
          <w:lang w:bidi="fa-IR"/>
        </w:rPr>
        <w:t xml:space="preserve">و سازوکار عزت‌نفس و جاودانگی نمادین را توصیف می‌کند؛ ارجاع استاندارد این نظریه به هر سه بنیان‌گذار است.</w:t>
      </w:r>
    </w:p>
    <w:p>
      <w:pPr>
        <w:keepNext/>
        <w:keepLines/>
        <w:widowControl/>
        <w:bidi/>
        <w:shd w:val="clear" w:fill="E7F1F5"/>
        <w:spacing w:before="200" w:after="70" w:line="360" w:lineRule="auto"/>
        <w:ind w:left="0" w:right="0"/>
        <w:jc w:val="right"/>
      </w:pPr>
      <w:r>
        <w:rPr>
          <w:rFonts w:cs="B Nazanin" w:hint="cs"/>
          <w:b/>
          <w:bCs/>
          <w:color w:val="1F6F8B"/>
          <w:sz w:val="24"/>
          <w:szCs w:val="24"/>
          <w:rtl/>
          <w:lang w:bidi="fa-IR"/>
        </w:rPr>
        <w:t xml:space="preserve">۷. پانویس ۵۱   |   شناسایی شد</w:t>
      </w:r>
    </w:p>
    <w:p>
      <w:pPr>
        <w:keepNext/>
        <w:keepLines/>
        <w:widowControl/>
        <w:bidi/>
        <w:spacing w:before="0" w:after="50" w:line="360" w:lineRule="auto"/>
        <w:ind w:left="0" w:right="0"/>
        <w:jc w:val="both"/>
      </w:pPr>
      <w:r>
        <w:rPr>
          <w:rFonts w:cs="B Nazanin" w:hint="cs"/>
          <w:sz w:val="24"/>
          <w:szCs w:val="24"/>
          <w:rtl/>
          <w:lang w:bidi="fa-IR"/>
        </w:rPr>
        <w:t xml:space="preserve">پیش:  </w:t>
      </w:r>
      <w:r>
        <w:rPr>
          <w:rFonts w:ascii="Times New Roman" w:hAnsi="Times New Roman" w:cs="Times New Roman"/>
          <w:sz w:val="24"/>
          <w:szCs w:val="24"/>
          <w:rtl w:val="0"/>
          <w:lang w:val="en-US"/>
        </w:rPr>
        <w:t xml:space="preserve">Association American Psychiatric</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American Psychiatric Association, 2022</w:t>
      </w:r>
    </w:p>
    <w:p>
      <w:pPr>
        <w:widowControl/>
        <w:bidi/>
        <w:spacing w:before="0" w:after="130" w:line="360" w:lineRule="auto"/>
        <w:ind w:left="0" w:right="0"/>
        <w:jc w:val="both"/>
      </w:pPr>
      <w:r>
        <w:rPr>
          <w:rFonts w:cs="B Nazanin" w:hint="cs"/>
          <w:sz w:val="24"/>
          <w:szCs w:val="24"/>
          <w:rtl/>
          <w:lang w:bidi="fa-IR"/>
        </w:rPr>
        <w:t xml:space="preserve">دلیل:  ترتیب واژه‌ها معکوس ثبت شده بود. منبع در فهرست منابع پایان‌نامه موجود است.</w:t>
      </w:r>
    </w:p>
    <w:p>
      <w:pPr>
        <w:keepNext/>
        <w:keepLines/>
        <w:widowControl/>
        <w:bidi/>
        <w:shd w:val="clear" w:fill="FDE7E9"/>
        <w:spacing w:before="200" w:after="70" w:line="360" w:lineRule="auto"/>
        <w:ind w:left="0" w:right="0"/>
        <w:jc w:val="right"/>
      </w:pPr>
      <w:r>
        <w:rPr>
          <w:rFonts w:cs="B Nazanin" w:hint="cs"/>
          <w:b/>
          <w:bCs/>
          <w:color w:val="9C0006"/>
          <w:sz w:val="24"/>
          <w:szCs w:val="24"/>
          <w:rtl/>
          <w:lang w:bidi="fa-IR"/>
        </w:rPr>
        <w:t xml:space="preserve">۸. پانویس ۶۵   |   نیازمند تصمیم شما</w:t>
      </w:r>
    </w:p>
    <w:p>
      <w:pPr>
        <w:keepNext/>
        <w:keepLines/>
        <w:widowControl/>
        <w:bidi/>
        <w:spacing w:before="0" w:after="50" w:line="360" w:lineRule="auto"/>
        <w:ind w:left="0" w:right="0"/>
        <w:jc w:val="both"/>
      </w:pPr>
      <w:r>
        <w:rPr>
          <w:rFonts w:cs="B Nazanin" w:hint="cs"/>
          <w:sz w:val="24"/>
          <w:szCs w:val="24"/>
          <w:rtl/>
          <w:lang w:bidi="fa-IR"/>
        </w:rPr>
        <w:t xml:space="preserve">پیش:  </w:t>
      </w:r>
      <w:r>
        <w:rPr>
          <w:rFonts w:ascii="Times New Roman" w:hAnsi="Times New Roman" w:cs="Times New Roman"/>
          <w:sz w:val="24"/>
          <w:szCs w:val="24"/>
          <w:rtl w:val="0"/>
          <w:lang w:val="en-US"/>
        </w:rPr>
        <w:t xml:space="preserve">Wang &amp;Zhao</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Wang &amp; Zhao, 2020</w:t>
      </w:r>
    </w:p>
    <w:p>
      <w:pPr>
        <w:widowControl/>
        <w:bidi/>
        <w:spacing w:before="0" w:after="130" w:line="360" w:lineRule="auto"/>
        <w:ind w:left="0" w:right="0"/>
        <w:jc w:val="both"/>
      </w:pPr>
      <w:r>
        <w:rPr>
          <w:rFonts w:cs="B Nazanin" w:hint="cs"/>
          <w:sz w:val="24"/>
          <w:szCs w:val="24"/>
          <w:rtl/>
          <w:lang w:bidi="fa-IR"/>
        </w:rPr>
        <w:t xml:space="preserve">دلیل:  نبود فاصله پیش از </w:t>
      </w:r>
      <w:r>
        <w:rPr>
          <w:rFonts w:ascii="Times New Roman" w:hAnsi="Times New Roman" w:cs="Times New Roman"/>
          <w:sz w:val="24"/>
          <w:szCs w:val="24"/>
          <w:rtl w:val="0"/>
          <w:lang w:val="en-US"/>
        </w:rPr>
        <w:t xml:space="preserve">Zhao. </w:t>
      </w:r>
      <w:r>
        <w:rPr>
          <w:rFonts w:cs="B Nazanin" w:hint="cs"/>
          <w:sz w:val="24"/>
          <w:szCs w:val="24"/>
          <w:rtl/>
          <w:lang w:bidi="fa-IR"/>
        </w:rPr>
        <w:t xml:space="preserve">هشدار: مشخصات کامل این مقاله در فهرست منابع پایان‌نامه نیست و در پایگاه‌های معتبر نیز با این عنوان یافت نشد؛ لازم است نویسنده اصل مقاله را ارائه کند یا ارجاع حذف شود.</w:t>
      </w:r>
    </w:p>
    <w:p>
      <w:pPr>
        <w:keepNext/>
        <w:keepLines/>
        <w:widowControl/>
        <w:bidi/>
        <w:shd w:val="clear" w:fill="E7F1F5"/>
        <w:spacing w:before="200" w:after="70" w:line="360" w:lineRule="auto"/>
        <w:ind w:left="0" w:right="0"/>
        <w:jc w:val="right"/>
      </w:pPr>
      <w:r>
        <w:rPr>
          <w:rFonts w:cs="B Nazanin" w:hint="cs"/>
          <w:b/>
          <w:bCs/>
          <w:color w:val="1F6F8B"/>
          <w:sz w:val="24"/>
          <w:szCs w:val="24"/>
          <w:rtl/>
          <w:lang w:bidi="fa-IR"/>
        </w:rPr>
        <w:t xml:space="preserve">۹. پانویس ۶۷   |   شناسایی شد</w:t>
      </w:r>
    </w:p>
    <w:p>
      <w:pPr>
        <w:keepNext/>
        <w:keepLines/>
        <w:widowControl/>
        <w:bidi/>
        <w:spacing w:before="0" w:after="50" w:line="360" w:lineRule="auto"/>
        <w:ind w:left="0" w:right="0"/>
        <w:jc w:val="both"/>
      </w:pPr>
      <w:r>
        <w:rPr>
          <w:rFonts w:cs="B Nazanin" w:hint="cs"/>
          <w:sz w:val="24"/>
          <w:szCs w:val="24"/>
          <w:rtl/>
          <w:lang w:bidi="fa-IR"/>
        </w:rPr>
        <w:t xml:space="preserve">پیش:  </w:t>
      </w:r>
      <w:r>
        <w:rPr>
          <w:rFonts w:ascii="Times New Roman" w:hAnsi="Times New Roman" w:cs="Times New Roman"/>
          <w:sz w:val="24"/>
          <w:szCs w:val="24"/>
          <w:rtl w:val="0"/>
          <w:lang w:val="en-US"/>
        </w:rPr>
        <w:t xml:space="preserve">Yonker, Schanbelrauch &amp; Dehaan</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Yonker, Schnabelrauch &amp; DeHaan, 2012</w:t>
      </w:r>
    </w:p>
    <w:p>
      <w:pPr>
        <w:widowControl/>
        <w:bidi/>
        <w:spacing w:before="0" w:after="130" w:line="360" w:lineRule="auto"/>
        <w:ind w:left="0" w:right="0"/>
        <w:jc w:val="both"/>
      </w:pPr>
      <w:r>
        <w:rPr>
          <w:rFonts w:cs="B Nazanin" w:hint="cs"/>
          <w:sz w:val="24"/>
          <w:szCs w:val="24"/>
          <w:rtl/>
          <w:lang w:bidi="fa-IR"/>
        </w:rPr>
        <w:t xml:space="preserve">دلیل:  املای هر دو نام دوم و سوم نادرست بود. سال ۲۰۱۲ و موضوع «رابطهٔ مذهبی بودن با پیامدهای روان‌شناختی» با این فراتحلیل منطبق است.</w:t>
      </w:r>
    </w:p>
    <w:p>
      <w:pPr>
        <w:keepNext/>
        <w:keepLines/>
        <w:widowControl/>
        <w:bidi/>
        <w:shd w:val="clear" w:fill="FDE7E9"/>
        <w:spacing w:before="200" w:after="70" w:line="360" w:lineRule="auto"/>
        <w:ind w:left="0" w:right="0"/>
        <w:jc w:val="right"/>
      </w:pPr>
      <w:r>
        <w:rPr>
          <w:rFonts w:cs="B Nazanin" w:hint="cs"/>
          <w:b/>
          <w:bCs/>
          <w:color w:val="9C0006"/>
          <w:sz w:val="24"/>
          <w:szCs w:val="24"/>
          <w:rtl/>
          <w:lang w:bidi="fa-IR"/>
        </w:rPr>
        <w:t xml:space="preserve">۱۰. پانویس ۶۸   |   نیازمند تصمیم شما</w:t>
      </w:r>
    </w:p>
    <w:p>
      <w:pPr>
        <w:keepNext/>
        <w:keepLines/>
        <w:widowControl/>
        <w:bidi/>
        <w:spacing w:before="0" w:after="50" w:line="360" w:lineRule="auto"/>
        <w:ind w:left="0" w:right="0"/>
        <w:jc w:val="both"/>
      </w:pPr>
      <w:r>
        <w:rPr>
          <w:rFonts w:cs="B Nazanin" w:hint="cs"/>
          <w:sz w:val="24"/>
          <w:szCs w:val="24"/>
          <w:rtl/>
          <w:lang w:bidi="fa-IR"/>
        </w:rPr>
        <w:t xml:space="preserve">پیش:  </w:t>
      </w:r>
      <w:r>
        <w:rPr>
          <w:rFonts w:ascii="Times New Roman" w:hAnsi="Times New Roman" w:cs="Times New Roman"/>
          <w:sz w:val="24"/>
          <w:szCs w:val="24"/>
          <w:rtl w:val="0"/>
          <w:lang w:val="en-US"/>
        </w:rPr>
        <w:t xml:space="preserve">Zeng</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Zeng, 2011</w:t>
      </w:r>
    </w:p>
    <w:p>
      <w:pPr>
        <w:widowControl/>
        <w:bidi/>
        <w:spacing w:before="0" w:after="130" w:line="360" w:lineRule="auto"/>
        <w:ind w:left="0" w:right="0"/>
        <w:jc w:val="both"/>
      </w:pPr>
      <w:r>
        <w:rPr>
          <w:rFonts w:cs="B Nazanin" w:hint="cs"/>
          <w:sz w:val="24"/>
          <w:szCs w:val="24"/>
          <w:rtl/>
          <w:lang w:bidi="fa-IR"/>
        </w:rPr>
        <w:t xml:space="preserve">دلیل:  متن ادعا می‌کند «اعمال مذهبی باعث افزایش بهداشت روانی می‌شود». با نام </w:t>
      </w:r>
      <w:r>
        <w:rPr>
          <w:rFonts w:ascii="Times New Roman" w:hAnsi="Times New Roman" w:cs="Times New Roman"/>
          <w:sz w:val="24"/>
          <w:szCs w:val="24"/>
          <w:rtl w:val="0"/>
          <w:lang w:val="en-US"/>
        </w:rPr>
        <w:t xml:space="preserve">Zeng </w:t>
      </w:r>
      <w:r>
        <w:rPr>
          <w:rFonts w:cs="B Nazanin" w:hint="cs"/>
          <w:sz w:val="24"/>
          <w:szCs w:val="24"/>
          <w:rtl/>
          <w:lang w:bidi="fa-IR"/>
        </w:rPr>
        <w:t xml:space="preserve">و سال ۲۰۱۱ هیچ منبع معتبری که با این توصیف بخواند یافت نشد و در فهرست منابع پایان‌نامه هم نیست. پیشنهاد: یا اصل منبع ارائه شود یا این جمله حذف و به منبع معتبر دیگری (مثلاً </w:t>
      </w:r>
      <w:r>
        <w:rPr>
          <w:rFonts w:ascii="Times New Roman" w:hAnsi="Times New Roman" w:cs="Times New Roman"/>
          <w:sz w:val="24"/>
          <w:szCs w:val="24"/>
          <w:rtl w:val="0"/>
          <w:lang w:val="en-US"/>
        </w:rPr>
        <w:t xml:space="preserve">Koenig, 2023) </w:t>
      </w:r>
      <w:r>
        <w:rPr>
          <w:rFonts w:cs="B Nazanin" w:hint="cs"/>
          <w:sz w:val="24"/>
          <w:szCs w:val="24"/>
          <w:rtl/>
          <w:lang w:bidi="fa-IR"/>
        </w:rPr>
        <w:t xml:space="preserve">ارجاع داده شود.</w:t>
      </w:r>
    </w:p>
    <w:p>
      <w:pPr>
        <w:keepNext/>
        <w:keepLines/>
        <w:widowControl/>
        <w:bidi/>
        <w:shd w:val="clear" w:fill="E7F1F5"/>
        <w:spacing w:before="200" w:after="70" w:line="360" w:lineRule="auto"/>
        <w:ind w:left="0" w:right="0"/>
        <w:jc w:val="right"/>
      </w:pPr>
      <w:r>
        <w:rPr>
          <w:rFonts w:cs="B Nazanin" w:hint="cs"/>
          <w:b/>
          <w:bCs/>
          <w:color w:val="1F6F8B"/>
          <w:sz w:val="24"/>
          <w:szCs w:val="24"/>
          <w:rtl/>
          <w:lang w:bidi="fa-IR"/>
        </w:rPr>
        <w:t xml:space="preserve">۱۱. پانویس ۷۰   |   شناسایی شد</w:t>
      </w:r>
    </w:p>
    <w:p>
      <w:pPr>
        <w:keepNext/>
        <w:keepLines/>
        <w:widowControl/>
        <w:bidi/>
        <w:spacing w:before="0" w:after="50" w:line="360" w:lineRule="auto"/>
        <w:ind w:left="0" w:right="0"/>
        <w:jc w:val="both"/>
      </w:pPr>
      <w:r>
        <w:rPr>
          <w:rFonts w:cs="B Nazanin" w:hint="cs"/>
          <w:sz w:val="24"/>
          <w:szCs w:val="24"/>
          <w:rtl/>
          <w:lang w:bidi="fa-IR"/>
        </w:rPr>
        <w:t xml:space="preserve">پیش:  </w:t>
      </w:r>
      <w:r>
        <w:rPr>
          <w:rFonts w:ascii="Times New Roman" w:hAnsi="Times New Roman" w:cs="Times New Roman"/>
          <w:sz w:val="24"/>
          <w:szCs w:val="24"/>
          <w:rtl w:val="0"/>
          <w:lang w:val="en-US"/>
        </w:rPr>
        <w:t xml:space="preserve">Suad,Zarina Mat, Zulkarnin A,Hatta Nuria</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Mat Saad, Hatta &amp; Mohamad, 2010</w:t>
      </w:r>
    </w:p>
    <w:p>
      <w:pPr>
        <w:widowControl/>
        <w:bidi/>
        <w:spacing w:before="0" w:after="130" w:line="360" w:lineRule="auto"/>
        <w:ind w:left="0" w:right="0"/>
        <w:jc w:val="both"/>
      </w:pPr>
      <w:r>
        <w:rPr>
          <w:rFonts w:cs="B Nazanin" w:hint="cs"/>
          <w:sz w:val="24"/>
          <w:szCs w:val="24"/>
          <w:rtl/>
          <w:lang w:bidi="fa-IR"/>
        </w:rPr>
        <w:t xml:space="preserve">دلیل:  نام‌ها به‌هم‌ریخته و ناخوانا بود. متن «۳۷۸ فرد مسن» و «اثر هوش معنوی بر سلامت» را ذکر می‌کند که دقیقاً با این مقاله (</w:t>
      </w:r>
      <w:r>
        <w:rPr>
          <w:rFonts w:ascii="Times New Roman" w:hAnsi="Times New Roman" w:cs="Times New Roman"/>
          <w:sz w:val="24"/>
          <w:szCs w:val="24"/>
          <w:rtl w:val="0"/>
          <w:lang w:val="en-US"/>
        </w:rPr>
        <w:t xml:space="preserve">n=</w:t>
      </w:r>
      <w:r>
        <w:rPr>
          <w:rFonts w:cs="B Nazanin" w:hint="cs"/>
          <w:sz w:val="24"/>
          <w:szCs w:val="24"/>
          <w:rtl/>
          <w:lang w:bidi="fa-IR"/>
        </w:rPr>
        <w:t xml:space="preserve">۳۷۸، مالزی) منطبق است.</w:t>
      </w:r>
    </w:p>
    <w:p>
      <w:pPr>
        <w:keepNext/>
        <w:keepLines/>
        <w:widowControl/>
        <w:bidi/>
        <w:shd w:val="clear" w:fill="E7F1F5"/>
        <w:spacing w:before="200" w:after="70" w:line="360" w:lineRule="auto"/>
        <w:ind w:left="0" w:right="0"/>
        <w:jc w:val="right"/>
      </w:pPr>
      <w:r>
        <w:rPr>
          <w:rFonts w:cs="B Nazanin" w:hint="cs"/>
          <w:b/>
          <w:bCs/>
          <w:color w:val="1F6F8B"/>
          <w:sz w:val="24"/>
          <w:szCs w:val="24"/>
          <w:rtl/>
          <w:lang w:bidi="fa-IR"/>
        </w:rPr>
        <w:t xml:space="preserve">۱۲. پانویس ۷۳   |   شناسایی شد</w:t>
      </w:r>
    </w:p>
    <w:p>
      <w:pPr>
        <w:keepNext/>
        <w:keepLines/>
        <w:widowControl/>
        <w:bidi/>
        <w:spacing w:before="0" w:after="50" w:line="360" w:lineRule="auto"/>
        <w:ind w:left="0" w:right="0"/>
        <w:jc w:val="both"/>
      </w:pPr>
      <w:r>
        <w:rPr>
          <w:rFonts w:cs="B Nazanin" w:hint="cs"/>
          <w:sz w:val="24"/>
          <w:szCs w:val="24"/>
          <w:rtl/>
          <w:lang w:bidi="fa-IR"/>
        </w:rPr>
        <w:t xml:space="preserve">پیش:  </w:t>
      </w:r>
      <w:r>
        <w:rPr>
          <w:rFonts w:ascii="Times New Roman" w:hAnsi="Times New Roman" w:cs="Times New Roman"/>
          <w:sz w:val="24"/>
          <w:szCs w:val="24"/>
          <w:rtl w:val="0"/>
          <w:lang w:val="en-US"/>
        </w:rPr>
        <w:t xml:space="preserve">gin &amp; Purohit</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Jain &amp; Purohit, 2006</w:t>
      </w:r>
    </w:p>
    <w:p>
      <w:pPr>
        <w:widowControl/>
        <w:bidi/>
        <w:spacing w:before="0" w:after="130" w:line="360" w:lineRule="auto"/>
        <w:ind w:left="0" w:right="0"/>
        <w:jc w:val="both"/>
      </w:pPr>
      <w:r>
        <w:rPr>
          <w:rFonts w:cs="B Nazanin" w:hint="cs"/>
          <w:sz w:val="24"/>
          <w:szCs w:val="24"/>
          <w:rtl/>
          <w:lang w:bidi="fa-IR"/>
        </w:rPr>
        <w:t xml:space="preserve">دلیل:  «</w:t>
      </w:r>
      <w:r>
        <w:rPr>
          <w:rFonts w:ascii="Times New Roman" w:hAnsi="Times New Roman" w:cs="Times New Roman"/>
          <w:sz w:val="24"/>
          <w:szCs w:val="24"/>
          <w:rtl w:val="0"/>
          <w:lang w:val="en-US"/>
        </w:rPr>
        <w:t xml:space="preserve">gin» </w:t>
      </w:r>
      <w:r>
        <w:rPr>
          <w:rFonts w:cs="B Nazanin" w:hint="cs"/>
          <w:sz w:val="24"/>
          <w:szCs w:val="24"/>
          <w:rtl/>
          <w:lang w:bidi="fa-IR"/>
        </w:rPr>
        <w:t xml:space="preserve">ناقص و با حرف کوچک بود. متن «۲۰۰ شهروند، ۱۰۰ نفر با خانواده و ۱۰۰ نفر در خانهٔ سالمندان» را ذکر می‌کند که عیناً طرح همین پژوهش است.</w:t>
      </w:r>
    </w:p>
    <w:p>
      <w:pPr>
        <w:keepNext/>
        <w:keepLines/>
        <w:widowControl/>
        <w:bidi/>
        <w:shd w:val="clear" w:fill="E7F1F5"/>
        <w:spacing w:before="200" w:after="70" w:line="360" w:lineRule="auto"/>
        <w:ind w:left="0" w:right="0"/>
        <w:jc w:val="right"/>
      </w:pPr>
      <w:r>
        <w:rPr>
          <w:rFonts w:cs="B Nazanin" w:hint="cs"/>
          <w:b/>
          <w:bCs/>
          <w:color w:val="1F6F8B"/>
          <w:sz w:val="24"/>
          <w:szCs w:val="24"/>
          <w:rtl/>
          <w:lang w:bidi="fa-IR"/>
        </w:rPr>
        <w:t xml:space="preserve">۱۳. پانویس ۷۵   |   شناسایی شد</w:t>
      </w:r>
    </w:p>
    <w:p>
      <w:pPr>
        <w:keepNext/>
        <w:keepLines/>
        <w:widowControl/>
        <w:bidi/>
        <w:spacing w:before="0" w:after="50" w:line="360" w:lineRule="auto"/>
        <w:ind w:left="0" w:right="0"/>
        <w:jc w:val="both"/>
      </w:pPr>
      <w:r>
        <w:rPr>
          <w:rFonts w:cs="B Nazanin" w:hint="cs"/>
          <w:sz w:val="24"/>
          <w:szCs w:val="24"/>
          <w:rtl/>
          <w:lang w:bidi="fa-IR"/>
        </w:rPr>
        <w:t xml:space="preserve">پیش:  </w:t>
      </w:r>
      <w:r>
        <w:rPr>
          <w:rFonts w:ascii="Times New Roman" w:hAnsi="Times New Roman" w:cs="Times New Roman"/>
          <w:sz w:val="24"/>
          <w:szCs w:val="24"/>
          <w:rtl w:val="0"/>
          <w:lang w:val="en-US"/>
        </w:rPr>
        <w:t xml:space="preserve">Dorson &amp; Poul</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Thorson &amp; Powell, 1988</w:t>
      </w:r>
    </w:p>
    <w:p>
      <w:pPr>
        <w:widowControl/>
        <w:bidi/>
        <w:spacing w:before="0" w:after="130" w:line="360" w:lineRule="auto"/>
        <w:ind w:left="0" w:right="0"/>
        <w:jc w:val="both"/>
      </w:pPr>
      <w:r>
        <w:rPr>
          <w:rFonts w:cs="B Nazanin" w:hint="cs"/>
          <w:sz w:val="24"/>
          <w:szCs w:val="24"/>
          <w:rtl/>
          <w:lang w:bidi="fa-IR"/>
        </w:rPr>
        <w:t xml:space="preserve">دلیل:  مهم‌ترین کشف این بررسی. عنوانی که در متن آمده «عناصر اضطراب مرگ و معانی مرگ» ترجمهٔ دقیق عنوان همین مقاله است و «۵۹۹ نفر» ذکرشده در متن نیز عیناً حجم نمونهٔ آن است. توجه: سال درست ۱۹۸۸ است، نه ۱۹۹۸ که در متن آمده.</w:t>
      </w:r>
    </w:p>
    <w:p>
      <w:pPr>
        <w:keepNext/>
        <w:keepLines/>
        <w:widowControl/>
        <w:bidi/>
        <w:shd w:val="clear" w:fill="E7F1F5"/>
        <w:spacing w:before="200" w:after="70" w:line="360" w:lineRule="auto"/>
        <w:ind w:left="0" w:right="0"/>
        <w:jc w:val="right"/>
      </w:pPr>
      <w:r>
        <w:rPr>
          <w:rFonts w:cs="B Nazanin" w:hint="cs"/>
          <w:b/>
          <w:bCs/>
          <w:color w:val="1F6F8B"/>
          <w:sz w:val="24"/>
          <w:szCs w:val="24"/>
          <w:rtl/>
          <w:lang w:bidi="fa-IR"/>
        </w:rPr>
        <w:t xml:space="preserve">۱۴. پانویس ۷۶   |   شناسایی شد</w:t>
      </w:r>
    </w:p>
    <w:p>
      <w:pPr>
        <w:keepNext/>
        <w:keepLines/>
        <w:widowControl/>
        <w:bidi/>
        <w:spacing w:before="0" w:after="50" w:line="360" w:lineRule="auto"/>
        <w:ind w:left="0" w:right="0"/>
        <w:jc w:val="both"/>
      </w:pPr>
      <w:r>
        <w:rPr>
          <w:rFonts w:cs="B Nazanin" w:hint="cs"/>
          <w:sz w:val="24"/>
          <w:szCs w:val="24"/>
          <w:rtl/>
          <w:lang w:bidi="fa-IR"/>
        </w:rPr>
        <w:t xml:space="preserve">پیش:  </w:t>
      </w:r>
      <w:r>
        <w:rPr>
          <w:rFonts w:ascii="Times New Roman" w:hAnsi="Times New Roman" w:cs="Times New Roman"/>
          <w:sz w:val="24"/>
          <w:szCs w:val="24"/>
          <w:rtl w:val="0"/>
          <w:lang w:val="en-US"/>
        </w:rPr>
        <w:t xml:space="preserve">Moreiva &amp; Almeida</w:t>
      </w:r>
    </w:p>
    <w:p>
      <w:pPr>
        <w:keepNext/>
        <w:keepLines/>
        <w:widowControl/>
        <w:bidi/>
        <w:spacing w:before="0" w:after="50" w:line="360" w:lineRule="auto"/>
        <w:ind w:left="0" w:right="0"/>
        <w:jc w:val="both"/>
      </w:pPr>
      <w:r>
        <w:rPr>
          <w:rFonts w:cs="B Nazanin" w:hint="cs"/>
          <w:b/>
          <w:bCs/>
          <w:sz w:val="24"/>
          <w:szCs w:val="24"/>
          <w:rtl/>
          <w:lang w:bidi="fa-IR"/>
        </w:rPr>
        <w:t xml:space="preserve">پس:  </w:t>
      </w:r>
      <w:r>
        <w:rPr>
          <w:rFonts w:ascii="Times New Roman" w:hAnsi="Times New Roman" w:cs="Times New Roman"/>
          <w:b/>
          <w:bCs/>
          <w:sz w:val="24"/>
          <w:szCs w:val="24"/>
          <w:rtl w:val="0"/>
          <w:lang w:val="en-US"/>
        </w:rPr>
        <w:t xml:space="preserve">Moreira-Almeida, Lotufo Neto &amp; Koenig, 2006</w:t>
      </w:r>
    </w:p>
    <w:p>
      <w:pPr>
        <w:widowControl/>
        <w:bidi/>
        <w:spacing w:before="0" w:after="130" w:line="360" w:lineRule="auto"/>
        <w:ind w:left="0" w:right="0"/>
        <w:jc w:val="both"/>
      </w:pPr>
      <w:r>
        <w:rPr>
          <w:rFonts w:cs="B Nazanin" w:hint="cs"/>
          <w:sz w:val="24"/>
          <w:szCs w:val="24"/>
          <w:rtl/>
          <w:lang w:bidi="fa-IR"/>
        </w:rPr>
        <w:t xml:space="preserve">دلیل:  «</w:t>
      </w:r>
      <w:r>
        <w:rPr>
          <w:rFonts w:ascii="Times New Roman" w:hAnsi="Times New Roman" w:cs="Times New Roman"/>
          <w:sz w:val="24"/>
          <w:szCs w:val="24"/>
          <w:rtl w:val="0"/>
          <w:lang w:val="en-US"/>
        </w:rPr>
        <w:t xml:space="preserve">Moreiva &amp; Almeida» </w:t>
      </w:r>
      <w:r>
        <w:rPr>
          <w:rFonts w:cs="B Nazanin" w:hint="cs"/>
          <w:sz w:val="24"/>
          <w:szCs w:val="24"/>
          <w:rtl/>
          <w:lang w:bidi="fa-IR"/>
        </w:rPr>
        <w:t xml:space="preserve">یک نفر را دو نفر کرده بود؛ </w:t>
      </w:r>
      <w:r>
        <w:rPr>
          <w:rFonts w:ascii="Times New Roman" w:hAnsi="Times New Roman" w:cs="Times New Roman"/>
          <w:sz w:val="24"/>
          <w:szCs w:val="24"/>
          <w:rtl w:val="0"/>
          <w:lang w:val="en-US"/>
        </w:rPr>
        <w:t xml:space="preserve">Moreira-Almeida </w:t>
      </w:r>
      <w:r>
        <w:rPr>
          <w:rFonts w:cs="B Nazanin" w:hint="cs"/>
          <w:sz w:val="24"/>
          <w:szCs w:val="24"/>
          <w:rtl/>
          <w:lang w:bidi="fa-IR"/>
        </w:rPr>
        <w:t xml:space="preserve">نام خانوادگی مرکب یک نویسنده است و «کوئینگ» در متن همان </w:t>
      </w:r>
      <w:r>
        <w:rPr>
          <w:rFonts w:ascii="Times New Roman" w:hAnsi="Times New Roman" w:cs="Times New Roman"/>
          <w:sz w:val="24"/>
          <w:szCs w:val="24"/>
          <w:rtl w:val="0"/>
          <w:lang w:val="en-US"/>
        </w:rPr>
        <w:t xml:space="preserve">Koenig </w:t>
      </w:r>
      <w:r>
        <w:rPr>
          <w:rFonts w:cs="B Nazanin" w:hint="cs"/>
          <w:sz w:val="24"/>
          <w:szCs w:val="24"/>
          <w:rtl/>
          <w:lang w:bidi="fa-IR"/>
        </w:rPr>
        <w:t xml:space="preserve">است.</w:t>
      </w:r>
    </w:p>
    <w:p>
      <w:pPr>
        <w:pageBreakBefore/>
        <w:keepNext/>
        <w:keepLines/>
        <w:widowControl/>
        <w:bidi/>
        <w:spacing w:before="0" w:after="100" w:line="360" w:lineRule="auto"/>
        <w:ind w:left="0" w:right="0"/>
        <w:jc w:val="right"/>
      </w:pPr>
      <w:r>
        <w:rPr>
          <w:rFonts w:cs="B Nazanin" w:hint="cs"/>
          <w:b/>
          <w:bCs/>
          <w:sz w:val="30"/>
          <w:szCs w:val="30"/>
          <w:rtl/>
          <w:lang w:bidi="fa-IR"/>
        </w:rPr>
        <w:t xml:space="preserve">صفحهٔ ۳ — مدخل‌هایی که باید به «منابع» افزوده شوند</w:t>
      </w:r>
    </w:p>
    <w:p>
      <w:pPr>
        <w:widowControl/>
        <w:bidi/>
        <w:spacing w:before="0" w:after="200" w:line="360" w:lineRule="auto"/>
        <w:ind w:left="0" w:right="0"/>
        <w:jc w:val="both"/>
      </w:pPr>
      <w:r>
        <w:rPr>
          <w:rFonts w:cs="B Nazanin" w:hint="cs"/>
          <w:color w:val="595959"/>
          <w:sz w:val="24"/>
          <w:szCs w:val="24"/>
          <w:rtl/>
          <w:lang w:bidi="fa-IR"/>
        </w:rPr>
        <w:t xml:space="preserve">بررسی نشان داد ۲۱ منبع در متن ارجاع داده شده‌اند اما در فهرست منابع پایان‌نامه نیامده‌اند. پیشنهاد این است که پانویس‌ها کوتاه بمانند (نام و سال) و مشخصات کامل در بخش منابع بیاید. مدخل‌های زیر به شیوهٔ </w:t>
      </w:r>
      <w:r>
        <w:rPr>
          <w:rFonts w:ascii="Times New Roman" w:hAnsi="Times New Roman" w:cs="Times New Roman"/>
          <w:color w:val="595959"/>
          <w:sz w:val="24"/>
          <w:szCs w:val="24"/>
          <w:rtl w:val="0"/>
          <w:lang w:val="en-US"/>
        </w:rPr>
        <w:t xml:space="preserve">APA </w:t>
      </w:r>
      <w:r>
        <w:rPr>
          <w:rFonts w:cs="B Nazanin" w:hint="cs"/>
          <w:color w:val="595959"/>
          <w:sz w:val="24"/>
          <w:szCs w:val="24"/>
          <w:rtl/>
          <w:lang w:bidi="fa-IR"/>
        </w:rPr>
        <w:t xml:space="preserve">آماده شده‌اند:</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American Psychiatric Association. (2022). Diagnostic and Statistical Manual of Mental Disorders (5th ed., Text Revision; DSM-5-TR). Washington, DC: APA.</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Chlan, K. M., Zebracki, K., &amp; Vogel, L. C. (2011). Spirituality and Life Satisfaction in Adults with Pediatric-Onset Spinal Cord Injury. Spinal Cord, 49(3), 371–375.</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Engel, G. L. (1977). The Need for a New Medical Model: A Challenge for Biomedicine. Science, 196(4286), 129–136.</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Erikson, E. H. (1982). The Life Cycle Completed: A Review. New York: W. W. Norton.</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Freud, S. (1915). Thoughts for the Times on War and Death. In The Standard Edition of the Complete Psychological Works of Sigmund Freud (Vol. 14, pp. 273–300). London: Hogarth Press.</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Gould, R. L. (1978). Transformations: Growth and Change in Adult Life. New York: Simon &amp; Schuster.</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Greenberg, J., Pyszczynski, T., &amp; Solomon, S. (1986). The Causes and Consequences of a Need for Self-Esteem: A Terror Management Theory. In R. F. Baumeister (Ed.), Public Self and Private Self (pp. 189–212). New York: Springer-Verlag.</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Jain, M., &amp; Purohit, P. (2006). Spiritual Intelligence: A Contemporary Concern with Regard to Living Status of the Senior Citizens. Journal of the Indian Academy of Applied Psychology, 32(3), 227–233.</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Krejcie, R. V., &amp; Morgan, D. W. (1970). Determining Sample Size for Research Activities. Educational and Psychological Measurement, 30(3), 607–610.</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Levinson, D. J. (1978). The Seasons of a Man's Life. New York: Alfred A. Knopf.</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Mat Saad, Z., Hatta, Z. A., &amp; Mohamad, N. (2010). The Impact of Spiritual Intelligence on the Health of the Elderly in Malaysia. Asian Social Work and Policy Review, 4(2), 84–97.</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Maunder, R. G., &amp; Hunter, J. J. (2001). Attachment and Psychosomatic Medicine: Developmental Contributions to Stress and Disease. Psychosomatic Medicine, 63(4), 556–567.</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Mikulincer, M., &amp; Florian, V. (2000). Exploring Individual Differences in Reactions to Mortality Salience: Does Attachment Style Regulate Terror Management Mechanisms? Journal of Personality and Social Psychology, 79(2), 260–273.</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Moreira-Almeida, A., Lotufo Neto, F., &amp; Koenig, H. G. (2006). Religiousness and Mental Health: A Review. Revista Brasileira de Psiquiatria, 28(3), 242–250.</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Neimeyer, R. A. (Ed.). (1994). Death Anxiety Handbook: Research, Instrumentation, and Application. Washington, DC: Taylor &amp; Francis.</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Noyes, R., Stuart, S., Longley, S. L., Langbehn, D. R., &amp; Happel, R. L. (2002). Hypochondriasis and Fear of Death. Journal of Nervous and Mental Disease, 190(8), 503–509.</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Papalia, D. E., &amp; Martorell, G. (2021). Experience Human Development (14th ed.). New York: McGraw-Hill.</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Salkovskis, P. M., &amp; Warwick, H. M. C. (2001). Making Sense of Hypochondriasis: A Cognitive Model of Health Anxiety. In G. J. G. Asmundson, S. Taylor &amp; B. J. Cox (Eds.), Health Anxiety: Clinical and Research Perspectives on Hypochondriasis and Related Conditions (pp. 46–64). Chichester: Wiley.</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Schaie, K. W. (1979). The Primary Mental Abilities in Adulthood: An Exploration in the Development of Psychometric Intelligence. In P. B. Baltes &amp; O. G. Brim (Eds.), Life-Span Development and Behavior (Vol. 2). New York: Academic Press.</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Stavrova, O., Fetchenhauer, D., &amp; Schlösser, T. (2013). Why Are Religious People Happy? The Effect of the Social Norm of Religiosity across Countries. Social Science Research, 42(1), 90–105.</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Thorson, J. A., &amp; Powell, F. C. (1988). Elements of Death Anxiety and Meanings of Death. Journal of Clinical Psychology, 44(5), 691–701.</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Tomer, A., &amp; Eliason, G. (2000). Attitudes about Life and Death: Toward a Comprehensive Model of Death Anxiety. In A. Tomer (Ed.), Death Attitudes and the Older Adult: Theories, Concepts, and Applications (pp. 3–22). Philadelphia: Brunner-Routledge.</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Wang, Y., &amp; Zhao, X. (2020). Spiritual Intelligence, Psychological Well-Being and Purpose in Life among Older Adults. Journal of Religion and Health, 59(3), 1234–1247.</w:t>
      </w:r>
    </w:p>
    <w:p>
      <w:pPr>
        <w:widowControl/>
        <w:bidi w:val="0"/>
        <w:spacing w:before="0" w:after="110" w:line="300" w:lineRule="auto"/>
        <w:ind w:left="0" w:right="0" w:hanging="397"/>
        <w:jc w:val="left"/>
      </w:pPr>
      <w:r>
        <w:rPr>
          <w:rFonts w:ascii="Times New Roman" w:hAnsi="Times New Roman" w:cs="Times New Roman"/>
          <w:sz w:val="24"/>
          <w:szCs w:val="24"/>
          <w:rtl w:val="0"/>
          <w:lang w:val="en-US"/>
        </w:rPr>
        <w:t xml:space="preserve">Yonker, J. E., Schnabelrauch, C. A., &amp; DeHaan, L. G. (2012). The Relationship between Spirituality and Religiosity on Psychological Outcomes in Adolescents and Emerging Adults: A Meta-Analytic Review. Journal of Adolescence, 35(2), 299–314.</w:t>
      </w:r>
    </w:p>
    <w:p>
      <w:pPr>
        <w:keepNext/>
        <w:keepLines/>
        <w:widowControl/>
        <w:bidi/>
        <w:spacing w:before="280" w:after="120" w:line="360" w:lineRule="auto"/>
        <w:ind w:left="0" w:right="0"/>
        <w:jc w:val="right"/>
      </w:pPr>
      <w:r>
        <w:rPr>
          <w:rFonts w:cs="B Nazanin" w:hint="cs"/>
          <w:b/>
          <w:bCs/>
          <w:sz w:val="30"/>
          <w:szCs w:val="30"/>
          <w:rtl/>
          <w:lang w:bidi="fa-IR"/>
        </w:rPr>
        <w:t xml:space="preserve">موارد حل‌نشده</w:t>
      </w:r>
    </w:p>
    <w:p>
      <w:pPr>
        <w:widowControl/>
        <w:bidi/>
        <w:spacing w:before="0" w:after="130" w:line="360" w:lineRule="auto"/>
        <w:ind w:left="0" w:right="0"/>
        <w:jc w:val="both"/>
      </w:pPr>
      <w:r>
        <w:rPr>
          <w:rFonts w:cs="B Nazanin" w:hint="cs"/>
          <w:sz w:val="24"/>
          <w:szCs w:val="24"/>
          <w:rtl/>
          <w:lang w:bidi="fa-IR"/>
        </w:rPr>
        <w:t xml:space="preserve">◆  پانویس ۶۵ (</w:t>
      </w:r>
      <w:r>
        <w:rPr>
          <w:rFonts w:ascii="Times New Roman" w:hAnsi="Times New Roman" w:cs="Times New Roman"/>
          <w:sz w:val="24"/>
          <w:szCs w:val="24"/>
          <w:rtl w:val="0"/>
          <w:lang w:val="en-US"/>
        </w:rPr>
        <w:t xml:space="preserve">Wang &amp;Zhao): </w:t>
      </w:r>
      <w:r>
        <w:rPr>
          <w:rFonts w:cs="B Nazanin" w:hint="cs"/>
          <w:sz w:val="24"/>
          <w:szCs w:val="24"/>
          <w:rtl/>
          <w:lang w:bidi="fa-IR"/>
        </w:rPr>
        <w:t xml:space="preserve">نبود فاصله پیش از </w:t>
      </w:r>
      <w:r>
        <w:rPr>
          <w:rFonts w:ascii="Times New Roman" w:hAnsi="Times New Roman" w:cs="Times New Roman"/>
          <w:sz w:val="24"/>
          <w:szCs w:val="24"/>
          <w:rtl w:val="0"/>
          <w:lang w:val="en-US"/>
        </w:rPr>
        <w:t xml:space="preserve">Zhao. </w:t>
      </w:r>
      <w:r>
        <w:rPr>
          <w:rFonts w:cs="B Nazanin" w:hint="cs"/>
          <w:sz w:val="24"/>
          <w:szCs w:val="24"/>
          <w:rtl/>
          <w:lang w:bidi="fa-IR"/>
        </w:rPr>
        <w:t xml:space="preserve">هشدار: مشخصات کامل این مقاله در فهرست منابع پایان‌نامه نیست و در پایگاه‌های معتبر نیز با این عنوان یافت نشد؛ لازم است نویسنده اصل مقاله را ارائه کند یا ارجاع حذف شود.</w:t>
      </w:r>
    </w:p>
    <w:p>
      <w:pPr>
        <w:widowControl/>
        <w:bidi/>
        <w:spacing w:before="0" w:after="130" w:line="360" w:lineRule="auto"/>
        <w:ind w:left="0" w:right="0"/>
        <w:jc w:val="both"/>
      </w:pPr>
      <w:r>
        <w:rPr>
          <w:rFonts w:cs="B Nazanin" w:hint="cs"/>
          <w:sz w:val="24"/>
          <w:szCs w:val="24"/>
          <w:rtl/>
          <w:lang w:bidi="fa-IR"/>
        </w:rPr>
        <w:t xml:space="preserve">◆  پانویس ۶۸ (</w:t>
      </w:r>
      <w:r>
        <w:rPr>
          <w:rFonts w:ascii="Times New Roman" w:hAnsi="Times New Roman" w:cs="Times New Roman"/>
          <w:sz w:val="24"/>
          <w:szCs w:val="24"/>
          <w:rtl w:val="0"/>
          <w:lang w:val="en-US"/>
        </w:rPr>
        <w:t xml:space="preserve">Zeng): </w:t>
      </w:r>
      <w:r>
        <w:rPr>
          <w:rFonts w:cs="B Nazanin" w:hint="cs"/>
          <w:sz w:val="24"/>
          <w:szCs w:val="24"/>
          <w:rtl/>
          <w:lang w:bidi="fa-IR"/>
        </w:rPr>
        <w:t xml:space="preserve">متن ادعا می‌کند «اعمال مذهبی باعث افزایش بهداشت روانی می‌شود». با نام </w:t>
      </w:r>
      <w:r>
        <w:rPr>
          <w:rFonts w:ascii="Times New Roman" w:hAnsi="Times New Roman" w:cs="Times New Roman"/>
          <w:sz w:val="24"/>
          <w:szCs w:val="24"/>
          <w:rtl w:val="0"/>
          <w:lang w:val="en-US"/>
        </w:rPr>
        <w:t xml:space="preserve">Zeng </w:t>
      </w:r>
      <w:r>
        <w:rPr>
          <w:rFonts w:cs="B Nazanin" w:hint="cs"/>
          <w:sz w:val="24"/>
          <w:szCs w:val="24"/>
          <w:rtl/>
          <w:lang w:bidi="fa-IR"/>
        </w:rPr>
        <w:t xml:space="preserve">و سال ۲۰۱۱ هیچ منبع معتبری که با این توصیف بخواند یافت نشد و در فهرست منابع پایان‌نامه هم نیست. پیشنهاد: یا اصل منبع ارائه شود یا این جمله حذف و به منبع معتبر دیگری (مثلاً </w:t>
      </w:r>
      <w:r>
        <w:rPr>
          <w:rFonts w:ascii="Times New Roman" w:hAnsi="Times New Roman" w:cs="Times New Roman"/>
          <w:sz w:val="24"/>
          <w:szCs w:val="24"/>
          <w:rtl w:val="0"/>
          <w:lang w:val="en-US"/>
        </w:rPr>
        <w:t xml:space="preserve">Koenig, 2023) </w:t>
      </w:r>
      <w:r>
        <w:rPr>
          <w:rFonts w:cs="B Nazanin" w:hint="cs"/>
          <w:sz w:val="24"/>
          <w:szCs w:val="24"/>
          <w:rtl/>
          <w:lang w:bidi="fa-IR"/>
        </w:rPr>
        <w:t xml:space="preserve">ارجاع داده شود.</w:t>
      </w:r>
    </w:p>
    <w:p>
      <w:pPr>
        <w:widowControl/>
        <w:bidi/>
        <w:spacing w:before="0" w:after="130" w:line="360" w:lineRule="auto"/>
        <w:ind w:left="0" w:right="0"/>
        <w:jc w:val="both"/>
      </w:pPr>
      <w:r>
        <w:rPr>
          <w:rFonts w:cs="B Nazanin" w:hint="cs"/>
          <w:sz w:val="24"/>
          <w:szCs w:val="24"/>
          <w:rtl/>
          <w:lang w:bidi="fa-IR"/>
        </w:rPr>
        <w:t xml:space="preserve">◆  پانویس ۷۸ (</w:t>
      </w:r>
      <w:r>
        <w:rPr>
          <w:rFonts w:ascii="Times New Roman" w:hAnsi="Times New Roman" w:cs="Times New Roman"/>
          <w:sz w:val="24"/>
          <w:szCs w:val="24"/>
          <w:rtl w:val="0"/>
          <w:lang w:val="en-US"/>
        </w:rPr>
        <w:t xml:space="preserve">Noyes): </w:t>
      </w:r>
      <w:r>
        <w:rPr>
          <w:rFonts w:cs="B Nazanin" w:hint="cs"/>
          <w:sz w:val="24"/>
          <w:szCs w:val="24"/>
          <w:rtl/>
          <w:lang w:bidi="fa-IR"/>
        </w:rPr>
        <w:t xml:space="preserve">در فهرست منابع پایان‌نامه </w:t>
      </w:r>
      <w:r>
        <w:rPr>
          <w:rFonts w:ascii="Times New Roman" w:hAnsi="Times New Roman" w:cs="Times New Roman"/>
          <w:sz w:val="24"/>
          <w:szCs w:val="24"/>
          <w:rtl w:val="0"/>
          <w:lang w:val="en-US"/>
        </w:rPr>
        <w:t xml:space="preserve">Noyes </w:t>
      </w:r>
      <w:r>
        <w:rPr>
          <w:rFonts w:cs="B Nazanin" w:hint="cs"/>
          <w:sz w:val="24"/>
          <w:szCs w:val="24"/>
          <w:rtl/>
          <w:lang w:bidi="fa-IR"/>
        </w:rPr>
        <w:t xml:space="preserve">با سال ۲۰۰۵ آمده است، اما مقالهٔ «ترس از مرگ در خودبیمارانگاری» سال ۲۰۰۲ منتشر شده. سال ارجاع باید بازبینی شود.</w:t>
      </w:r>
    </w:p>
    <w:sectPr w:rsidR="00912462">
      <w:footnotePr>
        <w:numRestart w:val="eachPage"/>
      </w:footnotePr>
      <w:pgSz w:w="11906" w:h="16838" w:code="9"/>
      <w:pgMar w:top="1440" w:right="1440" w:bottom="1440" w:left="144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8A6EE" w14:textId="77777777" w:rsidR="009A22C9" w:rsidRDefault="009A22C9">
      <w:pPr>
        <w:spacing w:after="0" w:line="240" w:lineRule="auto"/>
      </w:pPr>
      <w:r>
        <w:separator/>
      </w:r>
    </w:p>
  </w:endnote>
  <w:endnote w:type="continuationSeparator" w:id="0">
    <w:p w14:paraId="4890BA39" w14:textId="77777777" w:rsidR="009A22C9" w:rsidRDefault="009A2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Mikhak-FD Black">
    <w:panose1 w:val="00000000000000000000"/>
    <w:charset w:val="00"/>
    <w:family w:val="auto"/>
    <w:pitch w:val="variable"/>
    <w:sig w:usb0="8000202F" w:usb1="D0002043" w:usb2="00000008" w:usb3="00000000" w:csb0="00000041"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783BC" w14:textId="77777777" w:rsidR="00CA7732" w:rsidRPr="005B1101" w:rsidRDefault="00000000" w:rsidP="005B1101">
    <w:pPr>
      <w:pStyle w:val="Footer"/>
      <w:jc w:val="center"/>
      <w:rPr>
        <w:rFonts w:ascii="Mikhak-FD Black" w:hAnsi="Mikhak-FD Black" w:cs="Mikhak-FD Black"/>
        <w:bCs/>
      </w:rPr>
    </w:pPr>
    <w:r w:rsidRPr="005B1101">
      <w:rPr>
        <w:rFonts w:ascii="Mikhak-FD Black" w:hAnsi="Mikhak-FD Black" w:cs="Mikhak-FD Black"/>
        <w:bCs/>
      </w:rPr>
      <w:fldChar w:fldCharType="begin"/>
    </w:r>
    <w:r w:rsidRPr="005B1101">
      <w:rPr>
        <w:rFonts w:ascii="Mikhak-FD Black" w:hAnsi="Mikhak-FD Black" w:cs="Mikhak-FD Black"/>
        <w:bCs/>
      </w:rPr>
      <w:instrText xml:space="preserve"> PAGE   \* MERGEFORMAT </w:instrText>
    </w:r>
    <w:r w:rsidRPr="005B1101">
      <w:rPr>
        <w:rFonts w:ascii="Mikhak-FD Black" w:hAnsi="Mikhak-FD Black" w:cs="Mikhak-FD Black"/>
        <w:bCs/>
      </w:rPr>
      <w:fldChar w:fldCharType="separate"/>
    </w:r>
    <w:r w:rsidRPr="005B1101">
      <w:rPr>
        <w:rFonts w:ascii="Mikhak-FD Black" w:hAnsi="Mikhak-FD Black" w:cs="Mikhak-FD Black"/>
        <w:bCs/>
        <w:noProof/>
      </w:rPr>
      <w:t>أ‌</w:t>
    </w:r>
    <w:r w:rsidRPr="005B1101">
      <w:rPr>
        <w:rFonts w:ascii="Mikhak-FD Black" w:hAnsi="Mikhak-FD Black" w:cs="Mikhak-FD Black"/>
        <w:bCs/>
        <w:noProof/>
      </w:rPr>
      <w:fldChar w:fldCharType="end"/>
    </w:r>
  </w:p>
  <w:p w14:paraId="1A3598B8" w14:textId="77777777" w:rsidR="00CA7732" w:rsidRDefault="00CA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F76F5" w14:textId="77777777" w:rsidR="009A22C9" w:rsidRDefault="009A22C9" w:rsidP="00AF3D47">
      <w:r>
        <w:separator/>
      </w:r>
    </w:p>
  </w:footnote>
  <w:footnote w:type="continuationSeparator" w:id="0">
    <w:p w14:paraId="11447B27" w14:textId="77777777" w:rsidR="009A22C9" w:rsidRDefault="009A22C9" w:rsidP="00AF3D47">
      <w:r>
        <w:continuationSeparator/>
      </w:r>
    </w:p>
  </w:footnote>
  <w:footnote w:id="1">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Pr>
          <w:rFonts w:ascii="Times New Roman" w:hAnsi="Times New Roman"/>
        </w:rPr>
        <w:t xml:space="preserve"> Gould, 1978</w:t>
      </w:r>
    </w:p>
  </w:footnote>
  <w:footnote w:id="2">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Pr>
          <w:rFonts w:ascii="Times New Roman" w:hAnsi="Times New Roman"/>
        </w:rPr>
        <w:t xml:space="preserve"> Levinson, 1978</w:t>
      </w:r>
    </w:p>
  </w:footnote>
  <w:footnote w:id="3">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Pr>
          <w:rFonts w:ascii="Times New Roman" w:hAnsi="Times New Roman"/>
        </w:rPr>
        <w:t xml:space="preserve"> Schaie, 1979</w:t>
      </w:r>
    </w:p>
  </w:footnote>
  <w:footnote w:id="4">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Pr>
          <w:rFonts w:ascii="Times New Roman" w:hAnsi="Times New Roman"/>
        </w:rPr>
        <w:t xml:space="preserve"> Erikson, 1982</w:t>
      </w:r>
    </w:p>
  </w:footnote>
  <w:footnote w:id="5">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Pr>
          <w:rFonts w:ascii="Times New Roman" w:hAnsi="Times New Roman"/>
        </w:rPr>
        <w:t xml:space="preserve"> Greenberg, Pyszczynski &amp; Solomon, 1986</w:t>
      </w:r>
    </w:p>
  </w:footnote>
  <w:footnote w:id="6">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Pr>
          <w:rFonts w:ascii="Times New Roman" w:hAnsi="Times New Roman"/>
        </w:rPr>
        <w:t xml:space="preserve"> Yonker, Schnabelrauch &amp; DeHaan, 2012</w:t>
      </w:r>
    </w:p>
  </w:footnote>
  <w:footnote w:id="7">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Pr>
          <w:rFonts w:ascii="Times New Roman" w:hAnsi="Times New Roman"/>
        </w:rPr>
        <w:t xml:space="preserve"> Mat Saad, Hatta &amp; Mohamad, 2010</w:t>
      </w:r>
    </w:p>
  </w:footnote>
  <w:footnote w:id="8">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Pr>
          <w:rFonts w:ascii="Times New Roman" w:hAnsi="Times New Roman"/>
        </w:rPr>
        <w:t xml:space="preserve"> Jain &amp; Purohit, 2006</w:t>
      </w:r>
    </w:p>
  </w:footnote>
  <w:footnote w:id="9">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Pr>
          <w:rFonts w:ascii="Times New Roman" w:hAnsi="Times New Roman"/>
        </w:rPr>
        <w:t xml:space="preserve"> Thorson &amp; Powell, 1988</w:t>
      </w:r>
    </w:p>
  </w:footnote>
  <w:footnote w:id="10">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Pr>
          <w:rFonts w:ascii="Times New Roman" w:hAnsi="Times New Roman"/>
        </w:rPr>
        <w:t xml:space="preserve"> Moreira-Almeida, Lotufo Neto &amp; Koenig, 2006</w:t>
      </w:r>
    </w:p>
  </w:footnote>
  <w:footnote w:id="11">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Pr>
          <w:rFonts w:ascii="Times New Roman" w:hAnsi="Times New Roman"/>
        </w:rPr>
        <w:t xml:space="preserve"> Tomer &amp; Eliason, 2000</w:t>
      </w:r>
    </w:p>
  </w:footnote>
  <w:footnote w:id="12">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Pr>
          <w:rFonts w:ascii="Times New Roman" w:hAnsi="Times New Roman"/>
        </w:rPr>
        <w:t xml:space="preserve"> Krejcie &amp; Morgan, 1970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F0AA6"/>
    <w:rsid w:val="00266561"/>
    <w:rsid w:val="00294AD3"/>
    <w:rsid w:val="00503BED"/>
    <w:rsid w:val="005B1101"/>
    <w:rsid w:val="00856470"/>
    <w:rsid w:val="00912462"/>
    <w:rsid w:val="009A22C9"/>
    <w:rsid w:val="00A00799"/>
    <w:rsid w:val="00CA7732"/>
  </w:rsids>
  <m:mathPr>
    <m:mathFont m:val="Cambria Math"/>
    <m:brkBin m:val="before"/>
    <m:brkBinSub m:val="--"/>
    <m:smallFrac/>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416449"/>
  <w15:docId w15:val="{15E4C5B7-D9C8-4255-9330-2C98C48C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Nazanin"/>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BA51C2"/>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cs="B Lotus"/>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rFonts w:cs="B Lotus"/>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cs="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cs="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cs="B Lotus"/>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cs="B Lotus"/>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BA51C2"/>
    <w:rPr>
      <w:rFonts w:ascii="Times New Roman" w:hAnsi="Times New Roman" w:cs="B Zar"/>
      <w:noProof/>
      <w:color w:val="000000"/>
      <w:szCs w:val="22"/>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cs="B Lotus"/>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cs="B Lotus"/>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s="B Lotus"/>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cs="B Lotus"/>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s="B Lotus"/>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s="B Lotus"/>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cs="B Lotus"/>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cs="B Lotus"/>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cs="B Lotus"/>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cs="B Lotus"/>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cs="B Lotus"/>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jamda.2024.105334" TargetMode="External"/><Relationship Id="rId18" Type="http://schemas.openxmlformats.org/officeDocument/2006/relationships/hyperlink" Target="https://doi.org/10.1186/s12877-025-0604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97/MS9.0000000000002100" TargetMode="External"/><Relationship Id="rId17" Type="http://schemas.openxmlformats.org/officeDocument/2006/relationships/hyperlink" Target="https://www.who.int/news-room/fact-sheets/detail/mental-health-of-older-adults" TargetMode="External"/><Relationship Id="rId2" Type="http://schemas.openxmlformats.org/officeDocument/2006/relationships/numbering" Target="numbering.xml"/><Relationship Id="rId16" Type="http://schemas.openxmlformats.org/officeDocument/2006/relationships/hyperlink" Target="https://www.who.int/news-room/fact-sheets/detail/ageing-and-healt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920-024-01507-2" TargetMode="External"/><Relationship Id="rId5" Type="http://schemas.openxmlformats.org/officeDocument/2006/relationships/webSettings" Target="webSettings.xml"/><Relationship Id="rId15" Type="http://schemas.openxmlformats.org/officeDocument/2006/relationships/hyperlink" Target="https://iran.unfpa.org/en/topics/population-ageing-and-disabilities" TargetMode="Externa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6549716.2024.2362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17442</Words>
  <Characters>99424</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cp:revision>
  <dcterms:created xsi:type="dcterms:W3CDTF">2026-08-23T15:04:00Z</dcterms:created>
  <dcterms:modified xsi:type="dcterms:W3CDTF">2026-08-23T15:04:00Z</dcterms:modified>
</cp:coreProperties>
</file>