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jc w:val="center"/>
        <w:bidi w:val="0"/>
      </w:pPr>
      <w:r>
        <w:drawing>
          <wp:inline distT="0" distB="0" distL="0" distR="0">
            <wp:extent cx="5669280" cy="4297680"/>
            <wp:effectExtent l="0" t="0" r="0" b="0"/>
            <wp:docPr id="2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r>
                            <w:rPr>
                              <w:rFonts w:ascii="Times New Roman" w:hAnsi="Times New Roman" w:eastAsia="Times New Roman" w:cs="Times New Roman"/>
                              <w:rStyle w:val="FootnoteReference"/>
                              <w:sz w:val="20"/>
                              <w:szCs w:val="20"/>
                              <w:vertAlign w:val="superscript"/>
                              <w:rtl w:val="0"/>
                              <w:cs w:val="0"/>
                              <w:lang w:val="en-US"/>
                            </w:rPr>
                            <w:footnoteReference w:id="11"/>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cs="B Lotus" w:hAnsi="Times New Roman"/>
                              <w:sz w:val="14"/>
                              <w:szCs w:val="14"/>
                              <w:color w:val="1F4E5F"/>
                              <w:rtl/>
                              <w:cs/>
                            </w:rPr>
                            <w:t xml:space="preserve">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r>
                            <w:rPr>
                              <w:rFonts w:ascii="Times New Roman" w:hAnsi="Times New Roman" w:eastAsia="Times New Roman" w:cs="Times New Roman"/>
                              <w:rStyle w:val="FootnoteReference"/>
                              <w:sz w:val="20"/>
                              <w:szCs w:val="20"/>
                              <w:vertAlign w:val="superscript"/>
                              <w:rtl w:val="0"/>
                              <w:cs w:val="0"/>
                              <w:lang w:val="en-US"/>
                            </w:rPr>
                            <w:footnoteReference w:id="14"/>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color w:val="1B7A3D"/>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2"/>
        <w:bidi w:val="1"/>
        <w:spacing w:after="120" w:line="276" w:lineRule="auto"/>
        <w:jc w:val="right"/>
      </w:pPr>
      <w:r>
        <w:rPr>
          <w:rFonts w:ascii="Times New Roman" w:hAnsi="Times New Roman" w:eastAsia="Times New Roman" w:cs="B Lotus"/>
          <w:sz w:val="28"/>
          <w:szCs w:val="28"/>
          <w:rtl/>
          <w:cs/>
          <w:lang w:bidi="fa-IR" w:val="en-US"/>
        </w:rPr>
        <w:t>۲-۱- گستره نخست: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۲-۱-۱- مفهوم سالمندی</w:t>
      </w:r>
    </w:p>
    <w:p>
      <w:pPr>
        <w:pStyle w:val="TOC2"/>
        <w:bidi w:val="1"/>
        <w:spacing w:after="120" w:line="276" w:lineRule="auto"/>
        <w:jc w:val="right"/>
      </w:pPr>
      <w:r>
        <w:rPr>
          <w:rFonts w:ascii="Times New Roman" w:hAnsi="Times New Roman" w:eastAsia="Times New Roman" w:cs="B Lotus"/>
          <w:sz w:val="28"/>
          <w:szCs w:val="28"/>
          <w:rtl/>
          <w:cs/>
          <w:lang w:bidi="fa-IR" w:val="en-US"/>
        </w:rPr>
        <w:t>۲-۲- گستره دوم: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۲-۲-۱- مفهوم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۲-۲-۲- نظریه‌های مرتبط با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۲-۲-۳- ابعاد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۲-۲-۴- عوامل مؤثر بر اضطراب مرگ در سالمندان</w:t>
      </w:r>
    </w:p>
    <w:p>
      <w:pPr>
        <w:pStyle w:val="TOC3"/>
        <w:bidi w:val="1"/>
        <w:spacing w:after="120" w:line="276" w:lineRule="auto"/>
        <w:jc w:val="right"/>
      </w:pPr>
      <w:r>
        <w:rPr>
          <w:rFonts w:ascii="Times New Roman" w:hAnsi="Times New Roman" w:eastAsia="Times New Roman" w:cs="B Lotus"/>
          <w:sz w:val="28"/>
          <w:szCs w:val="28"/>
          <w:rtl/>
          <w:cs/>
          <w:lang w:bidi="fa-IR" w:val="en-US"/>
        </w:rPr>
        <w:t>۲-۲-۵- اضطراب مرگ و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۲-۲-۶- پیامدهای اضطراب مرگ</w:t>
      </w:r>
    </w:p>
    <w:p>
      <w:pPr>
        <w:pStyle w:val="TOC2"/>
        <w:bidi w:val="1"/>
        <w:spacing w:after="120" w:line="276" w:lineRule="auto"/>
        <w:jc w:val="right"/>
      </w:pPr>
      <w:r>
        <w:rPr>
          <w:rFonts w:ascii="Times New Roman" w:hAnsi="Times New Roman" w:eastAsia="Times New Roman" w:cs="B Lotus"/>
          <w:sz w:val="28"/>
          <w:szCs w:val="28"/>
          <w:rtl/>
          <w:cs/>
          <w:lang w:bidi="fa-IR" w:val="en-US"/>
        </w:rPr>
        <w:t>۲-۳- گستره سوم: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۲-۳-۱- مفهوم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۲-۳-۲- دیدگاه فضیلت‌گرایانه به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۲-۳-۳- عوامل موثر بر هوش معنوی</w:t>
      </w:r>
    </w:p>
    <w:p>
      <w:pPr>
        <w:pStyle w:val="TOC3"/>
        <w:bidi w:val="1"/>
        <w:spacing w:after="120" w:line="276" w:lineRule="auto"/>
        <w:jc w:val="right"/>
      </w:pPr>
      <w:r>
        <w:rPr>
          <w:rFonts w:ascii="Times New Roman" w:hAnsi="Times New Roman" w:eastAsia="Times New Roman" w:cs="B Lotus"/>
          <w:color w:val="1B7A3D"/>
          <w:sz w:val="28"/>
          <w:szCs w:val="28"/>
          <w:rtl/>
          <w:cs/>
          <w:lang w:bidi="fa-IR" w:val="en-US"/>
        </w:rPr>
        <w:t>۲-۳-۴- مدل چهارعاملی هوش معنوی کینگ</w:t>
      </w:r>
    </w:p>
    <w:p>
      <w:pPr>
        <w:pStyle w:val="TOC2"/>
        <w:bidi w:val="1"/>
        <w:spacing w:after="120" w:line="276" w:lineRule="auto"/>
        <w:jc w:val="right"/>
      </w:pPr>
      <w:r>
        <w:rPr>
          <w:rFonts w:ascii="Times New Roman" w:hAnsi="Times New Roman" w:eastAsia="Times New Roman" w:cs="B Lotus"/>
          <w:sz w:val="28"/>
          <w:szCs w:val="28"/>
          <w:rtl/>
          <w:cs/>
          <w:lang w:bidi="fa-IR" w:val="en-US"/>
        </w:rPr>
        <w:t>۲-۴- گستره چهارم: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۲-۴-۱- مفهوم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۲-۴-۲- مدل‌های نظری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۲-۴-۳- سالمندی و اضطراب سلامت</w:t>
      </w:r>
    </w:p>
    <w:p>
      <w:pPr>
        <w:pStyle w:val="TOC3"/>
        <w:bidi w:val="1"/>
        <w:spacing w:after="120" w:line="276" w:lineRule="auto"/>
        <w:jc w:val="right"/>
      </w:pPr>
      <w:r>
        <w:rPr>
          <w:rFonts w:ascii="Times New Roman" w:hAnsi="Times New Roman" w:eastAsia="Times New Roman" w:cs="B Lotus"/>
          <w:sz w:val="28"/>
          <w:szCs w:val="28"/>
          <w:rtl/>
          <w:cs/>
          <w:lang w:bidi="fa-IR" w:val="en-US"/>
        </w:rPr>
        <w:t>۲-۴-۴- عوامل زمینه‌ساز اضطراب</w:t>
      </w:r>
    </w:p>
    <w:p>
      <w:pPr>
        <w:pStyle w:val="TOC3"/>
        <w:bidi w:val="1"/>
        <w:spacing w:after="120" w:line="276" w:lineRule="auto"/>
        <w:jc w:val="right"/>
      </w:pPr>
      <w:r>
        <w:rPr>
          <w:rFonts w:ascii="Times New Roman" w:hAnsi="Times New Roman" w:eastAsia="Times New Roman" w:cs="B Lotus"/>
          <w:sz w:val="28"/>
          <w:szCs w:val="28"/>
          <w:rtl/>
          <w:cs/>
          <w:lang w:bidi="fa-IR" w:val="en-US"/>
        </w:rPr>
        <w:t>۲-۴-۵- مداخلات معطوف به کاهش اضطراب سلامت سالمندان</w:t>
      </w:r>
    </w:p>
    <w:p>
      <w:pPr>
        <w:pStyle w:val="TOC2"/>
        <w:bidi w:val="1"/>
        <w:spacing w:after="120" w:line="276" w:lineRule="auto"/>
        <w:jc w:val="right"/>
      </w:pPr>
      <w:r>
        <w:rPr>
          <w:rFonts w:ascii="Times New Roman" w:hAnsi="Times New Roman" w:eastAsia="Times New Roman" w:cs="B Lotus"/>
          <w:sz w:val="28"/>
          <w:szCs w:val="28"/>
          <w:rtl/>
          <w:cs/>
          <w:lang w:bidi="fa-IR" w:val="en-US"/>
        </w:rPr>
        <w:t>۲-۵- پیشینه پژوهش</w:t>
      </w:r>
    </w:p>
    <w:p>
      <w:pPr>
        <w:pStyle w:val="TOC3"/>
        <w:bidi w:val="1"/>
        <w:spacing w:after="120" w:line="276" w:lineRule="auto"/>
        <w:jc w:val="right"/>
      </w:pPr>
      <w:r>
        <w:rPr>
          <w:rFonts w:ascii="Times New Roman" w:hAnsi="Times New Roman" w:eastAsia="Times New Roman" w:cs="B Lotus"/>
          <w:sz w:val="28"/>
          <w:szCs w:val="28"/>
          <w:rtl/>
          <w:cs/>
          <w:lang w:bidi="fa-IR" w:val="en-US"/>
        </w:rPr>
        <w:t>۲-۵-۱- پیشینه داخلی</w:t>
      </w:r>
    </w:p>
    <w:p>
      <w:pPr>
        <w:pStyle w:val="TOC3"/>
        <w:bidi w:val="1"/>
        <w:spacing w:after="120" w:line="276" w:lineRule="auto"/>
        <w:jc w:val="right"/>
      </w:pPr>
      <w:r>
        <w:rPr>
          <w:rFonts w:ascii="Times New Roman" w:hAnsi="Times New Roman" w:eastAsia="Times New Roman" w:cs="B Lotus"/>
          <w:sz w:val="28"/>
          <w:szCs w:val="28"/>
          <w:rtl/>
          <w:cs/>
          <w:lang w:bidi="fa-IR" w:val="en-US"/>
        </w:rPr>
        <w:t>۲-۵-۲- پیشینه خارجی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سال‌های اخیر،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فولپ</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color w:val="1B7A3D"/>
          <w:sz w:val="20"/>
          <w:szCs w:val="20"/>
          <w:vertAlign w:val="superscript"/>
          <w:rtl w:val="0"/>
          <w:cs w:val="0"/>
          <w:lang w:val="en-US"/>
        </w:rPr>
        <w:footnoteReference w:id="6"/>
      </w:r>
      <w:r>
        <w:rPr>
          <w:rFonts w:ascii="Times New Roman" w:hAnsi="Times New Roman" w:eastAsia="Times New Roman" w:cs="B Lotus"/>
          <w:color w:val="1B7A3D"/>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color w:val="1B7A3D"/>
          <w:sz w:val="20"/>
          <w:szCs w:val="20"/>
          <w:vertAlign w:val="superscript"/>
          <w:rtl w:val="0"/>
          <w:cs w:val="0"/>
          <w:lang w:val="en-US"/>
        </w:rPr>
        <w:footnoteReference w:id="7"/>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۲۰۱۸؛ فولپ</w:t>
      </w:r>
      <w:r>
        <w:rPr>
          <w:rFonts w:ascii="Times New Roman" w:hAnsi="Times New Roman" w:eastAsia="Times New Roman" w:cs="Times New Roman"/>
          <w:rStyle w:val="FootnoteReference"/>
          <w:color w:val="1B7A3D"/>
          <w:sz w:val="20"/>
          <w:szCs w:val="20"/>
          <w:vertAlign w:val="superscript"/>
          <w:rtl w:val="0"/>
          <w:cs w:val="0"/>
          <w:lang w:val="en-US"/>
        </w:rPr>
        <w:footnoteReference w:id="5"/>
      </w:r>
      <w:r>
        <w:rPr>
          <w:rFonts w:ascii="Times New Roman" w:hAnsi="Times New Roman" w:eastAsia="Times New Roman" w:cs="B Lotus"/>
          <w:color w:val="1B7A3D"/>
          <w:sz w:val="28"/>
          <w:szCs w:val="28"/>
          <w:rtl/>
          <w:cs/>
          <w:lang w:bidi="fa-IR" w:val="en-US"/>
        </w:rPr>
        <w:t xml:space="preserve">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۲۰۲۳؛ گلادیشف</w:t>
      </w:r>
      <w:r>
        <w:rPr>
          <w:rFonts w:ascii="Times New Roman" w:hAnsi="Times New Roman" w:eastAsia="Times New Roman" w:cs="Times New Roman"/>
          <w:rStyle w:val="FootnoteReference"/>
          <w:color w:val="1B7A3D"/>
          <w:sz w:val="20"/>
          <w:szCs w:val="20"/>
          <w:vertAlign w:val="superscript"/>
          <w:rtl w:val="0"/>
          <w:cs w:val="0"/>
          <w:lang w:val="en-US"/>
        </w:rPr>
        <w:footnoteReference w:id="10"/>
      </w:r>
      <w:r>
        <w:rPr>
          <w:rFonts w:ascii="Times New Roman" w:hAnsi="Times New Roman" w:eastAsia="Times New Roman" w:cs="B Lotus"/>
          <w:color w:val="1B7A3D"/>
          <w:sz w:val="28"/>
          <w:szCs w:val="28"/>
          <w:rtl/>
          <w:cs/>
          <w:lang w:bidi="fa-IR" w:val="en-US"/>
        </w:rPr>
        <w:t>،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۲۰۰۱، ترجمه فروغیان، ۱۳۹۲).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اگرچه صورت‌بندی گولد</w:t>
      </w:r>
      <w:r>
        <w:rPr>
          <w:rFonts w:ascii="Times New Roman" w:hAnsi="Times New Roman" w:eastAsia="Times New Roman" w:cs="Times New Roman"/>
          <w:rStyle w:val="FootnoteReference"/>
          <w:color w:val="1B7A3D"/>
          <w:sz w:val="20"/>
          <w:szCs w:val="20"/>
          <w:vertAlign w:val="superscript"/>
          <w:rtl w:val="0"/>
          <w:cs w:val="0"/>
          <w:lang w:val="en-US"/>
        </w:rPr>
        <w:footnoteReference w:id="11"/>
      </w:r>
      <w:r>
        <w:rPr>
          <w:rFonts w:ascii="Times New Roman" w:hAnsi="Times New Roman" w:eastAsia="Times New Roman" w:cs="B Lotus"/>
          <w:color w:val="1B7A3D"/>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w:t>
      </w:r>
      <w:r>
        <w:rPr>
          <w:rFonts w:ascii="Times New Roman" w:hAnsi="Times New Roman" w:eastAsia="Times New Roman" w:cs="Times New Roman"/>
          <w:rStyle w:val="FootnoteReference"/>
          <w:sz w:val="20"/>
          <w:szCs w:val="20"/>
          <w:vertAlign w:val="superscript"/>
          <w:rtl w:val="0"/>
          <w:cs w:val="0"/>
          <w:lang w:val="en-US"/>
        </w:rPr>
        <w:footnoteReference w:id="130"/>
      </w:r>
      <w:r>
        <w:rPr>
          <w:rFonts w:ascii="Times New Roman" w:hAnsi="Times New Roman" w:eastAsia="Times New Roman" w:cs="B Lotus"/>
          <w:sz w:val="28"/>
          <w:szCs w:val="28"/>
          <w:rtl/>
          <w:cs/>
          <w:lang w:bidi="fa-IR" w:val="en-US"/>
        </w:rPr>
        <w:t xml:space="preserve">،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صورت‌بندی مرحله‌ای لوینسون</w:t>
      </w:r>
      <w:r>
        <w:rPr>
          <w:rFonts w:ascii="Times New Roman" w:hAnsi="Times New Roman" w:eastAsia="Times New Roman" w:cs="Times New Roman"/>
          <w:rStyle w:val="FootnoteReference"/>
          <w:color w:val="1B7A3D"/>
          <w:sz w:val="20"/>
          <w:szCs w:val="20"/>
          <w:vertAlign w:val="superscript"/>
          <w:rtl w:val="0"/>
          <w:cs w:val="0"/>
          <w:lang w:val="en-US"/>
        </w:rPr>
        <w:footnoteReference w:id="12"/>
      </w:r>
      <w:r>
        <w:rPr>
          <w:rFonts w:ascii="Times New Roman" w:hAnsi="Times New Roman" w:eastAsia="Times New Roman" w:cs="B Lotus"/>
          <w:color w:val="1B7A3D"/>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۱۹۸۲؛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Fonts w:ascii="Times New Roman" w:hAnsi="Times New Roman" w:eastAsia="Times New Roman" w:cs="Times New Roman"/>
          <w:rStyle w:val="FootnoteReference"/>
          <w:color w:val="1B7A3D"/>
          <w:sz w:val="20"/>
          <w:szCs w:val="20"/>
          <w:vertAlign w:val="superscript"/>
          <w:rtl w:val="0"/>
          <w:cs w:val="0"/>
          <w:lang w:val="en-US"/>
        </w:rPr>
        <w:footnoteReference w:id="14"/>
      </w:r>
      <w:r>
        <w:rPr>
          <w:rFonts w:ascii="Times New Roman" w:hAnsi="Times New Roman" w:eastAsia="Times New Roman" w:cs="B Lotus"/>
          <w:color w:val="1B7A3D"/>
          <w:sz w:val="28"/>
          <w:szCs w:val="28"/>
          <w:rtl/>
          <w:cs/>
          <w:lang w:bidi="fa-IR" w:val="en-US"/>
        </w:rPr>
        <w:t xml:space="preserve"> همچنان برای فهم سازگاری و سلامت روان سالمندان راهگشا است (وسترهاف</w:t>
      </w:r>
      <w:r>
        <w:rPr>
          <w:rFonts w:ascii="Times New Roman" w:hAnsi="Times New Roman" w:eastAsia="Times New Roman" w:cs="Times New Roman"/>
          <w:rStyle w:val="FootnoteReference"/>
          <w:color w:val="1B7A3D"/>
          <w:sz w:val="20"/>
          <w:szCs w:val="20"/>
          <w:vertAlign w:val="superscript"/>
          <w:rtl w:val="0"/>
          <w:cs w:val="0"/>
          <w:lang w:val="en-US"/>
        </w:rPr>
        <w:footnoteReference w:id="108"/>
      </w:r>
      <w:r>
        <w:rPr>
          <w:rFonts w:ascii="Times New Roman" w:hAnsi="Times New Roman" w:eastAsia="Times New Roman" w:cs="B Lotus"/>
          <w:color w:val="1B7A3D"/>
          <w:sz w:val="28"/>
          <w:szCs w:val="28"/>
          <w:rtl/>
          <w:cs/>
          <w:lang w:bidi="fa-IR" w:val="en-US"/>
        </w:rPr>
        <w:t>، بولمایر</w:t>
      </w:r>
      <w:r>
        <w:rPr>
          <w:rFonts w:ascii="Times New Roman" w:hAnsi="Times New Roman" w:eastAsia="Times New Roman" w:cs="Times New Roman"/>
          <w:rStyle w:val="FootnoteReference"/>
          <w:color w:val="1B7A3D"/>
          <w:sz w:val="20"/>
          <w:szCs w:val="20"/>
          <w:vertAlign w:val="superscript"/>
          <w:rtl w:val="0"/>
          <w:cs w:val="0"/>
          <w:lang w:val="en-US"/>
        </w:rPr>
        <w:footnoteReference w:id="109"/>
      </w:r>
      <w:r>
        <w:rPr>
          <w:rFonts w:ascii="Times New Roman" w:hAnsi="Times New Roman" w:eastAsia="Times New Roman" w:cs="B Lotus"/>
          <w:color w:val="1B7A3D"/>
          <w:sz w:val="28"/>
          <w:szCs w:val="28"/>
          <w:rtl/>
          <w:cs/>
          <w:lang w:bidi="fa-IR" w:val="en-US"/>
        </w:rPr>
        <w:t xml:space="preserve"> و مک‌آدامز</w:t>
      </w:r>
      <w:r>
        <w:rPr>
          <w:rFonts w:ascii="Times New Roman" w:hAnsi="Times New Roman" w:eastAsia="Times New Roman" w:cs="Times New Roman"/>
          <w:rStyle w:val="FootnoteReference"/>
          <w:color w:val="1B7A3D"/>
          <w:sz w:val="20"/>
          <w:szCs w:val="20"/>
          <w:vertAlign w:val="superscript"/>
          <w:rtl w:val="0"/>
          <w:cs w:val="0"/>
          <w:lang w:val="en-US"/>
        </w:rPr>
        <w:footnoteReference w:id="16"/>
      </w:r>
      <w:r>
        <w:rPr>
          <w:rFonts w:ascii="Times New Roman" w:hAnsi="Times New Roman" w:eastAsia="Times New Roman" w:cs="B Lotus"/>
          <w:color w:val="1B7A3D"/>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color w:val="1B7A3D"/>
          <w:sz w:val="28"/>
          <w:szCs w:val="28"/>
          <w:rtl/>
          <w:cs/>
          <w:lang w:bidi="fa-IR" w:val="en-US"/>
        </w:rPr>
        <w:t>۲-۱-۲-۲-۴- نظریه انتخاب اجتماعی-هیجانی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نظریه انتخاب اجتماعی-هیجانی</w:t>
      </w:r>
      <w:r>
        <w:rPr>
          <w:rFonts w:ascii="Times New Roman" w:hAnsi="Times New Roman" w:eastAsia="Times New Roman" w:cs="Times New Roman"/>
          <w:rStyle w:val="FootnoteReference"/>
          <w:color w:val="1B7A3D"/>
          <w:sz w:val="20"/>
          <w:szCs w:val="20"/>
          <w:vertAlign w:val="superscript"/>
          <w:rtl w:val="0"/>
          <w:cs w:val="0"/>
          <w:lang w:val="en-US"/>
        </w:rPr>
        <w:footnoteReference w:id="17"/>
      </w:r>
      <w:r>
        <w:rPr>
          <w:rFonts w:ascii="Times New Roman" w:hAnsi="Times New Roman" w:eastAsia="Times New Roman" w:cs="B Lotus"/>
          <w:color w:val="1B7A3D"/>
          <w:sz w:val="28"/>
          <w:szCs w:val="28"/>
          <w:rtl/>
          <w:cs/>
          <w:lang w:bidi="fa-IR" w:val="en-US"/>
        </w:rPr>
        <w:t xml:space="preserve"> که توسط لورا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color w:val="1B7A3D"/>
          <w:sz w:val="20"/>
          <w:szCs w:val="20"/>
          <w:vertAlign w:val="superscript"/>
          <w:rtl w:val="0"/>
          <w:cs w:val="0"/>
          <w:lang w:val="en-US"/>
        </w:rPr>
        <w:footnoteReference w:id="21"/>
      </w:r>
      <w:r>
        <w:rPr>
          <w:rFonts w:ascii="Times New Roman" w:hAnsi="Times New Roman" w:eastAsia="Times New Roman" w:cs="B Lotus"/>
          <w:color w:val="1B7A3D"/>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آیزاکوویتز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19"/>
      </w:r>
      <w:r>
        <w:rPr>
          <w:rFonts w:ascii="Times New Roman" w:hAnsi="Times New Roman" w:eastAsia="Times New Roman" w:cs="B Lotus"/>
          <w:color w:val="1B7A3D"/>
          <w:sz w:val="28"/>
          <w:szCs w:val="28"/>
          <w:rtl/>
          <w:cs/>
          <w:lang w:bidi="fa-IR" w:val="en-US"/>
        </w:rPr>
        <w:t xml:space="preserve"> و چارلز</w:t>
      </w:r>
      <w:r>
        <w:rPr>
          <w:rFonts w:ascii="Times New Roman" w:hAnsi="Times New Roman" w:eastAsia="Times New Roman" w:cs="Times New Roman"/>
          <w:rStyle w:val="FootnoteReference"/>
          <w:color w:val="1B7A3D"/>
          <w:sz w:val="20"/>
          <w:szCs w:val="20"/>
          <w:vertAlign w:val="superscript"/>
          <w:rtl w:val="0"/>
          <w:cs w:val="0"/>
          <w:lang w:val="en-US"/>
        </w:rPr>
        <w:footnoteReference w:id="20"/>
      </w:r>
      <w:r>
        <w:rPr>
          <w:rFonts w:ascii="Times New Roman" w:hAnsi="Times New Roman" w:eastAsia="Times New Roman" w:cs="B Lotus"/>
          <w:color w:val="1B7A3D"/>
          <w:sz w:val="28"/>
          <w:szCs w:val="28"/>
          <w:rtl/>
          <w:cs/>
          <w:lang w:bidi="fa-IR" w:val="en-US"/>
        </w:rPr>
        <w:t>، ۱۹۹۹؛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۲۰۰۶؛ رید</w:t>
      </w:r>
      <w:r>
        <w:rPr>
          <w:rFonts w:ascii="Times New Roman" w:hAnsi="Times New Roman" w:eastAsia="Times New Roman" w:cs="Times New Roman"/>
          <w:rStyle w:val="FootnoteReference"/>
          <w:color w:val="1B7A3D"/>
          <w:sz w:val="20"/>
          <w:szCs w:val="20"/>
          <w:vertAlign w:val="superscript"/>
          <w:rtl w:val="0"/>
          <w:cs w:val="0"/>
          <w:lang w:val="en-US"/>
        </w:rPr>
        <w:footnoteReference w:id="147"/>
      </w:r>
      <w:r>
        <w:rPr>
          <w:rFonts w:ascii="Times New Roman" w:hAnsi="Times New Roman" w:eastAsia="Times New Roman" w:cs="B Lotus"/>
          <w:color w:val="1B7A3D"/>
          <w:sz w:val="28"/>
          <w:szCs w:val="28"/>
          <w:rtl/>
          <w:cs/>
          <w:lang w:bidi="fa-IR" w:val="en-US"/>
        </w:rPr>
        <w:t>، چان</w:t>
      </w:r>
      <w:r>
        <w:rPr>
          <w:rFonts w:ascii="Times New Roman" w:hAnsi="Times New Roman" w:eastAsia="Times New Roman" w:cs="Times New Roman"/>
          <w:rStyle w:val="FootnoteReference"/>
          <w:color w:val="1B7A3D"/>
          <w:sz w:val="20"/>
          <w:szCs w:val="20"/>
          <w:vertAlign w:val="superscript"/>
          <w:rtl w:val="0"/>
          <w:cs w:val="0"/>
          <w:lang w:val="en-US"/>
        </w:rPr>
        <w:footnoteReference w:id="110"/>
      </w:r>
      <w:r>
        <w:rPr>
          <w:rFonts w:ascii="Times New Roman" w:hAnsi="Times New Roman" w:eastAsia="Times New Roman" w:cs="B Lotus"/>
          <w:color w:val="1B7A3D"/>
          <w:sz w:val="28"/>
          <w:szCs w:val="28"/>
          <w:rtl/>
          <w:cs/>
          <w:lang w:bidi="fa-IR" w:val="en-US"/>
        </w:rPr>
        <w:t xml:space="preserve"> و مایکلز</w:t>
      </w:r>
      <w:r>
        <w:rPr>
          <w:rFonts w:ascii="Times New Roman" w:hAnsi="Times New Roman" w:eastAsia="Times New Roman" w:cs="Times New Roman"/>
          <w:rStyle w:val="FootnoteReference"/>
          <w:color w:val="1B7A3D"/>
          <w:sz w:val="20"/>
          <w:szCs w:val="20"/>
          <w:vertAlign w:val="superscript"/>
          <w:rtl w:val="0"/>
          <w:cs w:val="0"/>
          <w:lang w:val="en-US"/>
        </w:rPr>
        <w:footnoteReference w:id="22"/>
      </w:r>
      <w:r>
        <w:rPr>
          <w:rFonts w:ascii="Times New Roman" w:hAnsi="Times New Roman" w:eastAsia="Times New Roman" w:cs="B Lotus"/>
          <w:color w:val="1B7A3D"/>
          <w:sz w:val="28"/>
          <w:szCs w:val="28"/>
          <w:rtl/>
          <w:cs/>
          <w:lang w:bidi="fa-IR" w:val="en-US"/>
        </w:rPr>
        <w:t>، ۲۰۱۴؛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۱۹۶۱؛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نیوگارتن</w:t>
      </w:r>
      <w:r>
        <w:rPr>
          <w:rFonts w:ascii="Times New Roman" w:hAnsi="Times New Roman" w:eastAsia="Times New Roman" w:cs="Times New Roman"/>
          <w:rStyle w:val="FootnoteReference"/>
          <w:sz w:val="20"/>
          <w:szCs w:val="20"/>
          <w:vertAlign w:val="superscript"/>
          <w:rtl w:val="0"/>
          <w:cs w:val="0"/>
          <w:lang w:val="en-US"/>
        </w:rPr>
        <w:footnoteReference w:id="112"/>
      </w:r>
      <w:r>
        <w:rPr>
          <w:rFonts w:ascii="Times New Roman" w:hAnsi="Times New Roman" w:eastAsia="Times New Roman" w:cs="B Lotus"/>
          <w:sz w:val="28"/>
          <w:szCs w:val="28"/>
          <w:rtl/>
          <w:cs/>
          <w:lang w:bidi="fa-IR" w:val="en-US"/>
        </w:rPr>
        <w:t xml:space="preserve">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color w:val="1B7A3D"/>
          <w:sz w:val="20"/>
          <w:szCs w:val="20"/>
          <w:vertAlign w:val="superscript"/>
          <w:rtl w:val="0"/>
          <w:cs w:val="0"/>
          <w:lang w:val="en-US"/>
        </w:rPr>
        <w:footnoteReference w:id="154"/>
      </w:r>
      <w:r>
        <w:rPr>
          <w:rFonts w:ascii="Times New Roman" w:hAnsi="Times New Roman" w:eastAsia="Times New Roman" w:cs="B Lotus"/>
          <w:color w:val="1B7A3D"/>
          <w:sz w:val="28"/>
          <w:szCs w:val="28"/>
          <w:rtl/>
          <w:cs/>
          <w:lang w:bidi="fa-IR" w:val="en-US"/>
        </w:rPr>
        <w:t xml:space="preserve"> و کان</w:t>
      </w:r>
      <w:r>
        <w:rPr>
          <w:rFonts w:ascii="Times New Roman" w:hAnsi="Times New Roman" w:eastAsia="Times New Roman" w:cs="Times New Roman"/>
          <w:rStyle w:val="FootnoteReference"/>
          <w:color w:val="1B7A3D"/>
          <w:sz w:val="20"/>
          <w:szCs w:val="20"/>
          <w:vertAlign w:val="superscript"/>
          <w:rtl w:val="0"/>
          <w:cs w:val="0"/>
          <w:lang w:val="en-US"/>
        </w:rPr>
        <w:footnoteReference w:id="29"/>
      </w:r>
      <w:r>
        <w:rPr>
          <w:rFonts w:ascii="Times New Roman" w:hAnsi="Times New Roman" w:eastAsia="Times New Roman" w:cs="B Lotus"/>
          <w:color w:val="1B7A3D"/>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۱۹۸۹؛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Fonts w:ascii="Times New Roman" w:hAnsi="Times New Roman" w:eastAsia="Times New Roman" w:cs="Times New Roman"/>
          <w:rStyle w:val="FootnoteReference"/>
          <w:color w:val="1B7A3D"/>
          <w:sz w:val="20"/>
          <w:szCs w:val="20"/>
          <w:vertAlign w:val="superscript"/>
          <w:rtl w:val="0"/>
          <w:cs w:val="0"/>
          <w:lang w:val="en-US"/>
        </w:rPr>
        <w:footnoteReference w:id="25"/>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pPr>
        <w:jc w:val="center"/>
        <w:bidi w:val="0"/>
      </w:pPr>
      <w:r>
        <w:drawing>
          <wp:inline distT="0" distB="0" distL="0" distR="0">
            <wp:extent cx="5669280" cy="3063240"/>
            <wp:effectExtent l="0" t="0" r="0" b="0"/>
            <wp:docPr id="21"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r>
                            <w:rPr>
                              <w:rFonts w:ascii="Times New Roman" w:hAnsi="Times New Roman" w:eastAsia="Times New Roman" w:cs="Times New Roman"/>
                              <w:rStyle w:val="FootnoteReference"/>
                              <w:sz w:val="20"/>
                              <w:szCs w:val="20"/>
                              <w:vertAlign w:val="superscript"/>
                              <w:rtl w:val="0"/>
                              <w:cs w:val="0"/>
                              <w:lang w:val="en-US"/>
                            </w:rPr>
                            <w:footnoteReference w:id="42"/>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r>
                            <w:rPr>
                              <w:rFonts w:ascii="Times New Roman" w:hAnsi="Times New Roman" w:eastAsia="Times New Roman" w:cs="Times New Roman"/>
                              <w:rStyle w:val="FootnoteReference"/>
                              <w:sz w:val="20"/>
                              <w:szCs w:val="20"/>
                              <w:vertAlign w:val="superscript"/>
                              <w:rtl w:val="0"/>
                              <w:cs w:val="0"/>
                              <w:lang w:val="en-US"/>
                            </w:rPr>
                            <w:footnoteReference w:id="43"/>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40"/>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41"/>
      </w:r>
      <w:r>
        <w:rPr>
          <w:rFonts w:ascii="Times New Roman" w:hAnsi="Times New Roman" w:hint="cs"/>
          <w:lang w:bidi="fa-IR"/>
          <w:rtl/>
        </w:rPr>
        <w:t xml:space="preserve"> و همکاران،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42"/>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hAnsi="Times New Roman" w:hint="cs"/>
          <w:lang w:bidi="fa-IR"/>
          <w:rtl/>
        </w:rPr>
        <w:t xml:space="preserve"> ۱۹۲۰).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پژوهش‌های متأخر کمتر از تبیین کاملاً ناهشیار فروید</w:t>
      </w:r>
      <w:r>
        <w:rPr>
          <w:rFonts w:ascii="Times New Roman" w:hAnsi="Times New Roman" w:eastAsia="Times New Roman" w:cs="Times New Roman"/>
          <w:rStyle w:val="FootnoteReference"/>
          <w:color w:val="1B7A3D"/>
          <w:sz w:val="20"/>
          <w:szCs w:val="20"/>
          <w:vertAlign w:val="superscript"/>
          <w:rtl w:val="0"/>
          <w:cs w:val="0"/>
          <w:lang w:val="en-US"/>
        </w:rPr>
        <w:footnoteReference w:id="42"/>
      </w:r>
      <w:r>
        <w:rPr>
          <w:rFonts w:ascii="Times New Roman" w:hAnsi="Times New Roman" w:eastAsia="Times New Roman" w:cs="B Lotus"/>
          <w:color w:val="1B7A3D"/>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43"/>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eastAsia="Times New Roman" w:cs="Times New Roman"/>
          <w:rStyle w:val="FootnoteReference"/>
          <w:sz w:val="20"/>
          <w:szCs w:val="20"/>
          <w:vertAlign w:val="superscript"/>
          <w:rtl w:val="0"/>
          <w:cs w:val="0"/>
          <w:lang w:val="en-US"/>
        </w:rPr>
        <w:footnoteReference w:id="43"/>
      </w:r>
      <w:r>
        <w:rPr>
          <w:rFonts w:ascii="Times New Roman" w:hAnsi="Times New Roman" w:hint="cs"/>
          <w:lang w:bidi="fa-IR"/>
          <w:rtl/>
        </w:rPr>
        <w:t xml:space="preserve"> ۱۹۸۰).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رویکردهای وجودی معاصر همچنان بر چهار دغدغه یالوم</w:t>
      </w:r>
      <w:r>
        <w:rPr>
          <w:rFonts w:ascii="Times New Roman" w:hAnsi="Times New Roman" w:eastAsia="Times New Roman" w:cs="Times New Roman"/>
          <w:rStyle w:val="FootnoteReference"/>
          <w:color w:val="1B7A3D"/>
          <w:sz w:val="20"/>
          <w:szCs w:val="20"/>
          <w:vertAlign w:val="superscript"/>
          <w:rtl w:val="0"/>
          <w:cs w:val="0"/>
          <w:lang w:val="en-US"/>
        </w:rPr>
        <w:footnoteReference w:id="43"/>
      </w:r>
      <w:r>
        <w:rPr>
          <w:rFonts w:ascii="Times New Roman" w:hAnsi="Times New Roman" w:eastAsia="Times New Roman" w:cs="B Lotus"/>
          <w:color w:val="1B7A3D"/>
          <w:sz w:val="28"/>
          <w:szCs w:val="28"/>
          <w:rtl/>
          <w:cs/>
          <w:lang w:bidi="fa-IR" w:val="en-US"/>
        </w:rPr>
        <w:t xml:space="preserve"> تأکید دارند؛ در کنار آن، نظریه مدیریت معنا</w:t>
      </w:r>
      <w:r>
        <w:rPr>
          <w:rFonts w:ascii="Times New Roman" w:hAnsi="Times New Roman" w:eastAsia="Times New Roman" w:cs="Times New Roman"/>
          <w:rStyle w:val="FootnoteReference"/>
          <w:color w:val="1B7A3D"/>
          <w:sz w:val="20"/>
          <w:szCs w:val="20"/>
          <w:vertAlign w:val="superscript"/>
          <w:rtl w:val="0"/>
          <w:cs w:val="0"/>
          <w:lang w:val="en-US"/>
        </w:rPr>
        <w:footnoteReference w:id="35"/>
      </w:r>
      <w:r>
        <w:rPr>
          <w:rFonts w:ascii="Times New Roman" w:hAnsi="Times New Roman" w:eastAsia="Times New Roman" w:cs="B Lotus"/>
          <w:color w:val="1B7A3D"/>
          <w:sz w:val="28"/>
          <w:szCs w:val="28"/>
          <w:rtl/>
          <w:cs/>
          <w:lang w:bidi="fa-IR" w:val="en-US"/>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color w:val="1B7A3D"/>
          <w:sz w:val="20"/>
          <w:szCs w:val="20"/>
          <w:vertAlign w:val="superscript"/>
          <w:rtl w:val="0"/>
          <w:cs w:val="0"/>
          <w:lang w:val="en-US"/>
        </w:rPr>
        <w:footnoteReference w:id="34"/>
      </w:r>
      <w:r>
        <w:rPr>
          <w:rFonts w:ascii="Times New Roman" w:hAnsi="Times New Roman" w:eastAsia="Times New Roman" w:cs="B Lotus"/>
          <w:color w:val="1B7A3D"/>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44"/>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w:t>
      </w:r>
      <w:r>
        <w:rPr>
          <w:rFonts w:ascii="Times New Roman" w:hAnsi="Times New Roman" w:eastAsia="Times New Roman" w:cs="Times New Roman"/>
          <w:rStyle w:val="FootnoteReference"/>
          <w:sz w:val="20"/>
          <w:szCs w:val="20"/>
          <w:vertAlign w:val="superscript"/>
          <w:rtl w:val="0"/>
          <w:cs w:val="0"/>
          <w:lang w:val="en-US"/>
        </w:rPr>
        <w:footnoteReference w:id="45"/>
      </w:r>
      <w:r>
        <w:rPr>
          <w:rFonts w:ascii="Times New Roman" w:hAnsi="Times New Roman" w:hint="cs"/>
          <w:lang w:bidi="fa-IR"/>
          <w:rtl/>
        </w:rPr>
        <w:t xml:space="preserve"> و همکاران،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eastAsia="Times New Roman" w:cs="Times New Roman"/>
          <w:rStyle w:val="FootnoteReference"/>
          <w:sz w:val="20"/>
          <w:szCs w:val="20"/>
          <w:vertAlign w:val="superscript"/>
          <w:rtl w:val="0"/>
          <w:cs w:val="0"/>
          <w:lang w:val="en-US"/>
        </w:rPr>
        <w:footnoteReference w:id="113"/>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47"/>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48"/>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49"/>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50"/>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7"/>
      </w:r>
      <w:r>
        <w:rPr>
          <w:rFonts w:ascii="Times New Roman" w:hAnsi="Times New Roman" w:eastAsia="Times New Roman" w:cs="B Lotus"/>
          <w:color w:val="1B7A3D"/>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pPr>
        <w:jc w:val="center"/>
        <w:bidi w:val="0"/>
      </w:pPr>
      <w:r>
        <w:drawing>
          <wp:inline distT="0" distB="0" distL="0" distR="0">
            <wp:extent cx="5669280" cy="3246120"/>
            <wp:effectExtent l="0" t="0" r="0" b="0"/>
            <wp:docPr id="22"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r>
                            <w:rPr>
                              <w:rFonts w:ascii="Times New Roman" w:hAnsi="Times New Roman" w:eastAsia="Times New Roman" w:cs="Times New Roman"/>
                              <w:rStyle w:val="FootnoteReference"/>
                              <w:sz w:val="20"/>
                              <w:szCs w:val="20"/>
                              <w:vertAlign w:val="superscript"/>
                              <w:rtl w:val="0"/>
                              <w:cs w:val="0"/>
                              <w:lang w:val="en-US"/>
                            </w:rPr>
                            <w:footnoteReference w:id="36"/>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۳- درختواره هوش معنوی (مفهوم، فضیلت‌گرایی، عوامل و مدل چهارعاملی کینگ)</w:t>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51"/>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52"/>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hAnsi="Times New Roman" w:eastAsia="Times New Roman" w:cs="Times New Roman"/>
          <w:rStyle w:val="FootnoteReference"/>
          <w:sz w:val="20"/>
          <w:szCs w:val="20"/>
          <w:vertAlign w:val="superscript"/>
          <w:rtl w:val="0"/>
          <w:cs w:val="0"/>
          <w:lang w:val="en-US"/>
        </w:rPr>
        <w:footnoteReference w:id="114"/>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53"/>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w:t>
      </w:r>
      <w:r>
        <w:rPr>
          <w:rFonts w:ascii="Times New Roman" w:eastAsia="Times New Roman" w:hAnsi="Times New Roman" w:hint="cs"/>
          <w:lang w:bidi="fa-IR"/>
          <w:rtl/>
          <w:color w:val="C00000"/>
        </w:rPr>
        <w:t>سئوال</w:t>
      </w:r>
      <w:r>
        <w:rPr>
          <w:rFonts w:ascii="Times New Roman" w:eastAsia="Times New Roman" w:hAnsi="Times New Roman" w:hint="cs"/>
          <w:lang w:bidi="fa-IR"/>
          <w:rtl/>
          <w:color w:val="1B7A3D"/>
        </w:rPr>
        <w:t xml:space="preserve"> [پیشنهاد: سؤال]</w:t>
      </w:r>
      <w:r>
        <w:rPr>
          <w:rFonts w:ascii="Times New Roman" w:eastAsia="Times New Roman" w:hAnsi="Times New Roman" w:hint="cs"/>
          <w:lang w:bidi="fa-IR"/>
          <w:rtl/>
        </w:rPr>
        <w:t xml:space="preserve">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w:t>
      </w:r>
      <w:r>
        <w:rPr>
          <w:rFonts w:ascii="Times New Roman" w:eastAsia="Times New Roman" w:hAnsi="Times New Roman" w:hint="cs"/>
          <w:lang w:bidi="fa-IR"/>
          <w:rtl/>
          <w:color w:val="C00000"/>
        </w:rPr>
        <w:t xml:space="preserve">هوش معنوی </w:t>
      </w:r>
      <w:r>
        <w:rPr>
          <w:rFonts w:ascii="Times New Roman" w:eastAsia="Times New Roman" w:hAnsi="Times New Roman" w:hint="cs"/>
          <w:lang w:bidi="fa-IR"/>
          <w:rtl/>
          <w:color w:val="C00000"/>
        </w:rPr>
        <w:t>معنوی</w:t>
      </w:r>
      <w:r>
        <w:rPr>
          <w:rFonts w:ascii="Times New Roman" w:eastAsia="Times New Roman" w:hAnsi="Times New Roman" w:hint="cs"/>
          <w:lang w:bidi="fa-IR"/>
          <w:rtl/>
          <w:color w:val="1B7A3D"/>
        </w:rPr>
        <w:t xml:space="preserve"> [پیشنهاد: هوش 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54"/>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w:t>
      </w:r>
      <w:r>
        <w:rPr>
          <w:rFonts w:ascii="Times New Roman" w:eastAsia="Times New Roman" w:hAnsi="Times New Roman" w:hint="cs"/>
          <w:lang w:bidi="fa-IR"/>
          <w:rtl/>
          <w:color w:val="C00000"/>
        </w:rPr>
        <w:t xml:space="preserve">هوش معنوی </w:t>
      </w:r>
      <w:r>
        <w:rPr>
          <w:rFonts w:ascii="Times New Roman" w:eastAsia="Times New Roman" w:hAnsi="Times New Roman" w:hint="cs"/>
          <w:lang w:bidi="fa-IR"/>
          <w:rtl/>
          <w:color w:val="C00000"/>
        </w:rPr>
        <w:t>معنوی</w:t>
      </w:r>
      <w:r>
        <w:rPr>
          <w:rFonts w:ascii="Times New Roman" w:eastAsia="Times New Roman" w:hAnsi="Times New Roman" w:hint="cs"/>
          <w:lang w:bidi="fa-IR"/>
          <w:rtl/>
          <w:color w:val="1B7A3D"/>
        </w:rPr>
        <w:t xml:space="preserve"> [پیشنهاد: هوش 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w:t>
      </w:r>
      <w:r>
        <w:rPr>
          <w:rFonts w:ascii="Times New Roman" w:eastAsia="Times New Roman" w:hAnsi="Times New Roman" w:hint="cs"/>
          <w:lang w:bidi="fa-IR"/>
          <w:rtl/>
          <w:color w:val="C00000"/>
        </w:rPr>
        <w:t xml:space="preserve">هوش معنوی </w:t>
      </w:r>
      <w:r>
        <w:rPr>
          <w:rFonts w:ascii="Times New Roman" w:eastAsia="Times New Roman" w:hAnsi="Times New Roman" w:hint="cs"/>
          <w:lang w:bidi="fa-IR"/>
          <w:rtl/>
          <w:color w:val="C00000"/>
        </w:rPr>
        <w:t>معنوی</w:t>
      </w:r>
      <w:r>
        <w:rPr>
          <w:rFonts w:ascii="Times New Roman" w:eastAsia="Times New Roman" w:hAnsi="Times New Roman" w:hint="cs"/>
          <w:lang w:bidi="fa-IR"/>
          <w:rtl/>
          <w:color w:val="1B7A3D"/>
        </w:rPr>
        <w:t xml:space="preserve"> [پیشنهاد: هوش معنوی]</w:t>
      </w:r>
      <w:r>
        <w:rPr>
          <w:rFonts w:ascii="Times New Roman" w:eastAsia="Times New Roman" w:hAnsi="Times New Roman" w:hint="cs"/>
          <w:lang w:bidi="fa-IR"/>
          <w:rtl/>
        </w:rPr>
        <w:t xml:space="preserve"> را تجربه کرد.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55"/>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56"/>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57"/>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58"/>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59"/>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w:t>
      </w:r>
      <w:r>
        <w:rPr>
          <w:rFonts w:ascii="Times New Roman" w:eastAsia="Times New Roman" w:hAnsi="Times New Roman" w:hint="cs"/>
          <w:lang w:bidi="fa-IR"/>
          <w:rtl/>
          <w:color w:val="C00000"/>
        </w:rPr>
        <w:t>فرانک، ۲۰۱۸</w:t>
      </w:r>
      <w:r>
        <w:rPr>
          <w:rFonts w:ascii="Times New Roman" w:eastAsia="Times New Roman" w:hAnsi="Times New Roman" w:hint="cs"/>
          <w:lang w:bidi="fa-IR"/>
          <w:rtl/>
          <w:color w:val="1B7A3D"/>
        </w:rPr>
        <w:t xml:space="preserve"> [پیشنهاد: فرانکل، ۲۰۱۸]</w:t>
      </w:r>
      <w:r>
        <w:rPr>
          <w:rFonts w:ascii="Times New Roman" w:eastAsia="Times New Roman" w:hAnsi="Times New Roman" w:hint="cs"/>
          <w:lang w:bidi="fa-IR"/>
          <w:rtl/>
        </w:rPr>
        <w:t>).</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60"/>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61"/>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62"/>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63"/>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۱- 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۲- 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۳- 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۴- 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۵- 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۶- 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w:t>
      </w:r>
      <w:r>
        <w:rPr>
          <w:rFonts w:ascii="Times New Roman" w:eastAsia="Times New Roman" w:hAnsi="Times New Roman" w:hint="cs"/>
          <w:lang w:bidi="fa-IR"/>
          <w:rtl/>
          <w:color w:val="C00000"/>
        </w:rPr>
        <w:t>چهار حالت؛</w:t>
      </w:r>
      <w:r>
        <w:rPr>
          <w:rFonts w:ascii="Times New Roman" w:eastAsia="Times New Roman" w:hAnsi="Times New Roman" w:hint="cs"/>
          <w:lang w:bidi="fa-IR"/>
          <w:rtl/>
          <w:color w:val="1B7A3D"/>
        </w:rPr>
        <w:t xml:space="preserve"> [پیشنهاد: چهار حالت: سلامت معنوی کامل و ناکامل، تنش معنوی کامل و ناکامل]</w:t>
      </w:r>
      <w:r>
        <w:rPr>
          <w:rFonts w:ascii="Times New Roman" w:eastAsia="Times New Roman" w:hAnsi="Times New Roman" w:hint="cs"/>
          <w:lang w:bidi="fa-IR"/>
          <w:rtl/>
        </w:rPr>
        <w:t xml:space="preserve">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۱- </w:t>
      </w:r>
      <w:r>
        <w:rPr>
          <w:rFonts w:ascii="Times New Roman" w:eastAsia="Times New Roman" w:hAnsi="Times New Roman" w:hint="cs"/>
          <w:lang w:bidi="fa-IR"/>
          <w:rtl/>
        </w:rPr>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w:t>
      </w:r>
      <w:r>
        <w:rPr>
          <w:rFonts w:ascii="Times New Roman" w:eastAsia="Times New Roman" w:hAnsi="Times New Roman" w:hint="cs"/>
          <w:lang w:bidi="fa-IR"/>
          <w:rtl/>
          <w:color w:val="C00000"/>
        </w:rPr>
        <w:t>هوش هیجان،</w:t>
      </w:r>
      <w:r>
        <w:rPr>
          <w:rFonts w:ascii="Times New Roman" w:eastAsia="Times New Roman" w:hAnsi="Times New Roman" w:hint="cs"/>
          <w:lang w:bidi="fa-IR"/>
          <w:rtl/>
          <w:color w:val="1B7A3D"/>
        </w:rPr>
        <w:t xml:space="preserve"> [پیشنهاد: بهزیستی هیجانی،]</w:t>
      </w:r>
      <w:r>
        <w:rPr>
          <w:rFonts w:ascii="Times New Roman" w:eastAsia="Times New Roman" w:hAnsi="Times New Roman" w:hint="cs"/>
          <w:lang w:bidi="fa-IR"/>
          <w:rtl/>
        </w:rPr>
        <w:t xml:space="preserve">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۲- </w:t>
      </w:r>
      <w:r>
        <w:rPr>
          <w:rFonts w:ascii="Times New Roman" w:eastAsia="Times New Roman" w:hAnsi="Times New Roman" w:hint="cs"/>
          <w:lang w:bidi="fa-IR"/>
          <w:rtl/>
        </w:rPr>
        <w:t xml:space="preserve">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۳- </w:t>
      </w:r>
      <w:r>
        <w:rPr>
          <w:rFonts w:ascii="Times New Roman" w:eastAsia="Times New Roman" w:hAnsi="Times New Roman" w:hint="cs"/>
          <w:lang w:bidi="fa-IR"/>
          <w:rtl/>
        </w:rPr>
        <w:t xml:space="preserve">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w:t>
      </w:r>
      <w:r>
        <w:rPr>
          <w:rFonts w:ascii="Times New Roman" w:eastAsia="Times New Roman" w:hAnsi="Times New Roman" w:hint="cs"/>
          <w:lang w:bidi="fa-IR"/>
          <w:rtl/>
          <w:color w:val="C00000"/>
        </w:rPr>
        <w:t>نقطه مقابل هوش است</w:t>
      </w:r>
      <w:r>
        <w:rPr>
          <w:rFonts w:ascii="Times New Roman" w:eastAsia="Times New Roman" w:hAnsi="Times New Roman" w:hint="cs"/>
          <w:lang w:bidi="fa-IR"/>
          <w:rtl/>
          <w:color w:val="1B7A3D"/>
        </w:rPr>
        <w:t xml:space="preserve"> [پیشنهاد: نقطه مقابل شکوفایی است]</w:t>
      </w:r>
      <w:r>
        <w:rPr>
          <w:rFonts w:ascii="Times New Roman" w:eastAsia="Times New Roman" w:hAnsi="Times New Roman" w:hint="cs"/>
          <w:lang w:bidi="fa-IR"/>
          <w:rtl/>
        </w:rPr>
        <w:t xml:space="preserve">.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color w:val="1B7A3D"/>
        </w:rPr>
        <w:t xml:space="preserve"> [پیشنهاد: کیفیت زندگی]</w:t>
      </w:r>
      <w:r>
        <w:rPr>
          <w:rFonts w:ascii="Times New Roman" w:eastAsia="Times New Roman" w:hAnsi="Times New Roman" w:hint="cs"/>
          <w:lang w:bidi="fa-IR"/>
          <w:rtl/>
        </w:rPr>
        <w:t xml:space="preserve"> مطلوب، همواره آرزوی بشر بوده و هست. در ابتدا رفاه و طول عمر بیشتر، معنی </w:t>
      </w: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color w:val="1B7A3D"/>
        </w:rPr>
        <w:t xml:space="preserve"> [پیشنهاد: کیفیت زندگی]</w:t>
      </w:r>
      <w:r>
        <w:rPr>
          <w:rFonts w:ascii="Times New Roman" w:eastAsia="Times New Roman" w:hAnsi="Times New Roman" w:hint="cs"/>
          <w:lang w:bidi="fa-IR"/>
          <w:rtl/>
        </w:rPr>
        <w:t xml:space="preserve"> بهتر را داشت. اما امروزه </w:t>
      </w: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color w:val="1B7A3D"/>
        </w:rPr>
        <w:t xml:space="preserve"> [پیشنهاد: کیفیت زندگی]</w:t>
      </w:r>
      <w:r>
        <w:rPr>
          <w:rFonts w:ascii="Times New Roman" w:eastAsia="Times New Roman" w:hAnsi="Times New Roman" w:hint="cs"/>
          <w:lang w:bidi="fa-IR"/>
          <w:rtl/>
        </w:rPr>
        <w:t xml:space="preserve">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color w:val="1B7A3D"/>
        </w:rPr>
        <w:t xml:space="preserve"> [پیشنهاد: کیفیت زندگی]</w:t>
      </w:r>
      <w:r>
        <w:rPr>
          <w:rFonts w:ascii="Times New Roman" w:eastAsia="Times New Roman" w:hAnsi="Times New Roman" w:hint="cs"/>
          <w:lang w:bidi="fa-IR"/>
          <w:rtl/>
        </w:rPr>
        <w:t xml:space="preserve"> مفهومی پویا و وسیعتر از سلامتی است بر طبق مدل سلامتی، </w:t>
      </w: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color w:val="1B7A3D"/>
        </w:rPr>
        <w:t xml:space="preserve"> [پیشنهاد: کیفیت زندگی]</w:t>
      </w:r>
      <w:r>
        <w:rPr>
          <w:rFonts w:ascii="Times New Roman" w:eastAsia="Times New Roman" w:hAnsi="Times New Roman" w:hint="cs"/>
          <w:lang w:bidi="fa-IR"/>
          <w:rtl/>
        </w:rPr>
        <w:t xml:space="preserve"> مطلوب باید چند بعد فیزیکی، خلقی-معنوی، اجتماعی، معنوی و شغلی را در بر گیرد.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color w:val="C00000"/>
        </w:rPr>
        <w:t>وگسترش</w:t>
      </w:r>
      <w:r>
        <w:rPr>
          <w:rFonts w:ascii="Times New Roman" w:eastAsia="Times New Roman" w:hAnsi="Times New Roman" w:hint="cs"/>
          <w:lang w:bidi="fa-IR"/>
          <w:rtl/>
          <w:color w:val="1B7A3D"/>
        </w:rPr>
        <w:t xml:space="preserve"> [پیشنهاد: و 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color w:val="C00000"/>
        </w:rPr>
        <w:t>تنیدگی</w:t>
      </w:r>
      <w:r>
        <w:rPr>
          <w:rFonts w:ascii="Times New Roman" w:eastAsia="Times New Roman" w:hAnsi="Times New Roman" w:hint="cs"/>
          <w:lang w:bidi="fa-IR"/>
          <w:rtl/>
          <w:color w:val="C00000"/>
        </w:rPr>
        <w:t xml:space="preserve"> شغلی</w:t>
      </w:r>
      <w:r>
        <w:rPr>
          <w:rFonts w:ascii="Times New Roman" w:eastAsia="Times New Roman" w:hAnsi="Times New Roman" w:hint="cs"/>
          <w:lang w:bidi="fa-IR"/>
          <w:rtl/>
          <w:color w:val="1B7A3D"/>
        </w:rPr>
        <w:t xml:space="preserve"> [پیشنهاد: کیفیت زندگی]</w:t>
      </w:r>
      <w:r>
        <w:rPr>
          <w:rFonts w:ascii="Times New Roman" w:eastAsia="Times New Roman" w:hAnsi="Times New Roman" w:hint="cs"/>
          <w:lang w:bidi="fa-IR"/>
          <w:rtl/>
        </w:rPr>
        <w:t xml:space="preserve"> </w:t>
      </w:r>
      <w:r>
        <w:rPr>
          <w:rFonts w:ascii="Times New Roman" w:eastAsia="Times New Roman" w:hAnsi="Times New Roman" w:hint="cs"/>
          <w:lang w:bidi="fa-IR"/>
          <w:rtl/>
          <w:color w:val="C00000"/>
        </w:rPr>
        <w:t>وگسترش</w:t>
      </w:r>
      <w:r>
        <w:rPr>
          <w:rFonts w:ascii="Times New Roman" w:eastAsia="Times New Roman" w:hAnsi="Times New Roman" w:hint="cs"/>
          <w:lang w:bidi="fa-IR"/>
          <w:rtl/>
          <w:color w:val="1B7A3D"/>
        </w:rPr>
        <w:t xml:space="preserve"> [پیشنهاد: و 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لحاظ تاریخی فلاسفه در تئوری های اخلاق به خصوص رویکردهای </w:t>
      </w:r>
      <w:r>
        <w:rPr>
          <w:rFonts w:ascii="Times New Roman" w:eastAsia="Times New Roman" w:hAnsi="Times New Roman" w:hint="cs"/>
          <w:lang w:bidi="fa-IR"/>
          <w:rtl/>
        </w:rPr>
        <w:t xml:space="preserve">لذت گرایانه </w:t>
      </w:r>
      <w:r>
        <w:rPr>
          <w:rFonts w:ascii="Times New Roman" w:eastAsia="Times New Roman" w:hAnsi="Times New Roman" w:hint="cs"/>
          <w:lang w:bidi="fa-IR"/>
          <w:rtl/>
          <w:color w:val="C00000"/>
        </w:rPr>
        <w:t>پیکوری</w:t>
      </w:r>
      <w:r>
        <w:rPr>
          <w:rFonts w:ascii="Times New Roman" w:eastAsia="Times New Roman" w:hAnsi="Times New Roman" w:hint="cs"/>
          <w:lang w:bidi="fa-IR"/>
          <w:rtl/>
          <w:color w:val="1B7A3D"/>
        </w:rPr>
        <w:t xml:space="preserve"> [پیشنهاد: اپیکوری]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w:t>
      </w:r>
      <w:r>
        <w:rPr>
          <w:rFonts w:ascii="Times New Roman" w:eastAsia="Times New Roman" w:hAnsi="Times New Roman" w:hint="cs"/>
          <w:lang w:bidi="fa-IR"/>
          <w:rtl/>
          <w:color w:val="C00000"/>
        </w:rPr>
        <w:t xml:space="preserve">برای اولین </w:t>
      </w:r>
      <w:r>
        <w:rPr>
          <w:rFonts w:ascii="Times New Roman" w:eastAsia="Times New Roman" w:hAnsi="Times New Roman" w:hint="cs"/>
          <w:lang w:bidi="fa-IR"/>
          <w:rtl/>
          <w:color w:val="C00000"/>
        </w:rPr>
        <w:t>باردر</w:t>
      </w:r>
      <w:r>
        <w:rPr>
          <w:rFonts w:ascii="Times New Roman" w:eastAsia="Times New Roman" w:hAnsi="Times New Roman" w:hint="cs"/>
          <w:lang w:bidi="fa-IR"/>
          <w:rtl/>
          <w:color w:val="1B7A3D"/>
        </w:rPr>
        <w:t xml:space="preserve"> [پیشنهاد: برای اولین بار 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64"/>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بعد هوش روان شناختی، </w:t>
      </w:r>
      <w:r>
        <w:rPr>
          <w:rFonts w:ascii="Times New Roman" w:eastAsia="Times New Roman" w:hAnsi="Times New Roman" w:hint="cs"/>
          <w:lang w:bidi="fa-IR"/>
          <w:rtl/>
          <w:color w:val="C00000"/>
        </w:rPr>
        <w:t>تمایزبر</w:t>
      </w:r>
      <w:r>
        <w:rPr>
          <w:rFonts w:ascii="Times New Roman" w:eastAsia="Times New Roman" w:hAnsi="Times New Roman" w:hint="cs"/>
          <w:lang w:bidi="fa-IR"/>
          <w:rtl/>
          <w:color w:val="C00000"/>
        </w:rPr>
        <w:t xml:space="preserve"> اساس</w:t>
      </w:r>
      <w:r>
        <w:rPr>
          <w:rFonts w:ascii="Times New Roman" w:eastAsia="Times New Roman" w:hAnsi="Times New Roman" w:hint="cs"/>
          <w:lang w:bidi="fa-IR"/>
          <w:rtl/>
          <w:color w:val="1B7A3D"/>
        </w:rPr>
        <w:t xml:space="preserve"> [پیشنهاد: تمایز بر اساس]</w:t>
      </w:r>
      <w:r>
        <w:rPr>
          <w:rFonts w:ascii="Times New Roman" w:eastAsia="Times New Roman" w:hAnsi="Times New Roman" w:hint="cs"/>
          <w:lang w:bidi="fa-IR"/>
          <w:rtl/>
        </w:rPr>
        <w:t xml:space="preserve">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w:t>
      </w:r>
      <w:r>
        <w:rPr>
          <w:rFonts w:ascii="Times New Roman" w:eastAsia="Times New Roman" w:hAnsi="Times New Roman" w:hint="cs"/>
          <w:lang w:bidi="fa-IR"/>
          <w:rtl/>
          <w:color w:val="C00000"/>
        </w:rPr>
        <w:t xml:space="preserve">استقلال </w:t>
      </w:r>
      <w:r>
        <w:rPr>
          <w:rFonts w:ascii="Times New Roman" w:eastAsia="Times New Roman" w:hAnsi="Times New Roman" w:hint="cs"/>
          <w:lang w:bidi="fa-IR"/>
          <w:rtl/>
          <w:color w:val="C00000"/>
        </w:rPr>
        <w:t>استقلال</w:t>
      </w:r>
      <w:r>
        <w:rPr>
          <w:rFonts w:ascii="Times New Roman" w:eastAsia="Times New Roman" w:hAnsi="Times New Roman" w:hint="cs"/>
          <w:lang w:bidi="fa-IR"/>
          <w:rtl/>
          <w:color w:val="1B7A3D"/>
        </w:rPr>
        <w:t xml:space="preserve"> [پیشنهاد: استقلال ساختاری]</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w:t>
      </w:r>
      <w:r>
        <w:rPr>
          <w:rFonts w:ascii="Times New Roman" w:eastAsia="Times New Roman" w:hAnsi="Times New Roman" w:hint="cs"/>
          <w:lang w:bidi="fa-IR"/>
          <w:rtl/>
          <w:color w:val="C00000"/>
        </w:rPr>
        <w:t>مطالعهی</w:t>
      </w:r>
      <w:r>
        <w:rPr>
          <w:rFonts w:ascii="Times New Roman" w:eastAsia="Times New Roman" w:hAnsi="Times New Roman" w:hint="cs"/>
          <w:lang w:bidi="fa-IR"/>
          <w:rtl/>
          <w:color w:val="1B7A3D"/>
        </w:rPr>
        <w:t xml:space="preserve"> [پیشنهاد: مطالعه‌ی]</w:t>
      </w:r>
      <w:r>
        <w:rPr>
          <w:rFonts w:ascii="Times New Roman" w:eastAsia="Times New Roman" w:hAnsi="Times New Roman" w:hint="cs"/>
          <w:lang w:bidi="fa-IR"/>
          <w:rtl/>
        </w:rPr>
        <w:t xml:space="preserve">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color w:val="C00000"/>
        </w:rPr>
        <w:t>تآکید</w:t>
      </w:r>
      <w:r>
        <w:rPr>
          <w:rFonts w:ascii="Times New Roman" w:eastAsia="Times New Roman" w:hAnsi="Times New Roman" w:hint="cs"/>
          <w:lang w:bidi="fa-IR"/>
          <w:rtl/>
          <w:color w:val="1B7A3D"/>
        </w:rPr>
        <w:t xml:space="preserve"> [پیشنهاد: تأکید]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60" w:name="_Toc238572046"/>
      <w:r>
        <w:rPr>
          <w:rFonts w:ascii="Times New Roman" w:hAnsi="Times New Roman" w:cs="B Titr" w:eastAsia="Times New Roman"/>
          <w:b/>
          <w:bCs/>
          <w:color w:val="000000"/>
          <w:kern w:val="32"/>
          <w:sz w:val="30"/>
          <w:szCs w:val="30"/>
          <w:rtl/>
          <w:cs/>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hAnsi="Times New Roman" w:eastAsia="Times New Roman" w:cs="Times New Roman"/>
          <w:rStyle w:val="FootnoteReference"/>
          <w:sz w:val="20"/>
          <w:szCs w:val="20"/>
          <w:vertAlign w:val="superscript"/>
          <w:rtl w:val="0"/>
          <w:cs w:val="0"/>
          <w:lang w:val="en-US"/>
        </w:rPr>
        <w:footnoteReference w:id="53"/>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65"/>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hAnsi="Times New Roman" w:eastAsia="Times New Roman" w:cs="Times New Roman"/>
          <w:rStyle w:val="FootnoteReference"/>
          <w:sz w:val="20"/>
          <w:szCs w:val="20"/>
          <w:vertAlign w:val="superscript"/>
          <w:rtl w:val="0"/>
          <w:cs w:val="0"/>
          <w:lang w:val="en-US"/>
        </w:rPr>
        <w:footnoteReference w:id="117"/>
      </w:r>
      <w:r>
        <w:rPr>
          <w:rFonts w:ascii="Times New Roman" w:eastAsia="Times New Roman" w:hAnsi="Times New Roman" w:hint="cs"/>
          <w:lang w:bidi="fa-IR"/>
          <w:rtl/>
        </w:rPr>
        <w:t>، ۲۰۰۹؛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67"/>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eastAsia="Times New Roman" w:hAnsi="Times New Roman" w:hint="cs"/>
          <w:lang w:bidi="fa-IR"/>
          <w:rtl/>
        </w:rPr>
        <w:t>،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pPr>
      <w:r>
        <w:rPr>
          <w:rFonts w:ascii="Times New Roman" w:hAnsi="Times New Roman" w:eastAsia="Times New Roman" w:cs="B Lotus"/>
          <w:b/>
          <w:bCs/>
          <w:color w:val="1B7A3D"/>
          <w:sz w:val="28"/>
          <w:szCs w:val="28"/>
          <w:rtl/>
          <w:cs/>
          <w:lang w:bidi="fa-IR" w:val="en-US"/>
        </w:rPr>
        <w:t>۲-۳-۴- مدل چهارعاملی هوش معنوی کینگ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و دی‌سیکو</w:t>
      </w:r>
      <w:r>
        <w:rPr>
          <w:rFonts w:ascii="Times New Roman" w:hAnsi="Times New Roman" w:eastAsia="Times New Roman" w:cs="Times New Roman"/>
          <w:rStyle w:val="FootnoteReference"/>
          <w:color w:val="1B7A3D"/>
          <w:sz w:val="20"/>
          <w:szCs w:val="20"/>
          <w:vertAlign w:val="superscript"/>
          <w:rtl w:val="0"/>
          <w:cs w:val="0"/>
          <w:lang w:val="en-US"/>
        </w:rPr>
        <w:footnoteReference w:id="38"/>
      </w:r>
      <w:r>
        <w:rPr>
          <w:rFonts w:ascii="Times New Roman" w:hAnsi="Times New Roman" w:eastAsia="Times New Roman" w:cs="B Lotus"/>
          <w:color w:val="1B7A3D"/>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pPr>
        <w:jc w:val="center"/>
        <w:bidi w:val="0"/>
      </w:pPr>
      <w:r>
        <w:drawing>
          <wp:inline distT="0" distB="0" distL="0" distR="0">
            <wp:extent cx="5669280" cy="3154680"/>
            <wp:effectExtent l="0" t="0" r="0" b="0"/>
            <wp:docPr id="23"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۴- درختواره اضطراب سلامت (مفهوم، مدل‌های نظری، عوامل و مداخلات)</w:t>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68"/>
      </w:r>
      <w:r>
        <w:rPr>
          <w:rStyle w:val="FootnoteReference"/>
          <w:rFonts w:ascii="Times New Roman" w:hAnsi="Times New Roman" w:hint="cs" w:eastAsia="Times New Roman" w:cs="Times New Roman"/>
          <w:lang w:bidi="fa-IR" w:val="en-US"/>
          <w:sz w:val="20"/>
          <w:szCs w:val="20"/>
          <w:vertAlign w:val="superscript"/>
          <w:rtl w:val="0"/>
        </w:rPr>
        <w:footnoteReference w:id="69"/>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70"/>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71"/>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w:t>
      </w:r>
    </w:p>
    <w:p>
      <w:pPr>
        <w:spacing w:after="0" w:line="276" w:lineRule="auto"/>
        <w:ind w:firstLine="397"/>
        <w:jc w:val="both"/>
        <w:rPr>
          <w:color w:val="auto"/>
          <w:lang w:bidi="fa-IR"/>
        </w:rPr>
      </w:pPr>
      <w:r>
        <w:rPr>
          <w:rFonts w:ascii="Times New Roman" w:hAnsi="Times New Roman" w:hint="cs"/>
          <w:lang w:bidi="fa-IR"/>
          <w:rtl/>
        </w:rPr>
        <w:t xml:space="preserve">۱- </w:t>
      </w:r>
      <w:r>
        <w:rPr>
          <w:rFonts w:ascii="Times New Roman" w:hAnsi="Times New Roman" w:hint="cs"/>
          <w:lang w:bidi="fa-IR"/>
          <w:rtl/>
        </w:rPr>
        <w:t xml:space="preserve">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w:t>
      </w:r>
    </w:p>
    <w:p>
      <w:pPr>
        <w:spacing w:after="0" w:line="276" w:lineRule="auto"/>
        <w:ind w:firstLine="397"/>
        <w:jc w:val="both"/>
        <w:rPr>
          <w:color w:val="auto"/>
          <w:lang w:bidi="fa-IR"/>
        </w:rPr>
      </w:pPr>
      <w:r>
        <w:rPr>
          <w:rFonts w:ascii="Times New Roman" w:hAnsi="Times New Roman" w:hint="cs"/>
          <w:lang w:bidi="fa-IR"/>
          <w:rtl/>
        </w:rPr>
        <w:t xml:space="preserve">۲- </w:t>
      </w:r>
      <w:r>
        <w:rPr>
          <w:rFonts w:ascii="Times New Roman" w:hAnsi="Times New Roman" w:hint="cs"/>
          <w:lang w:bidi="fa-IR"/>
          <w:rtl/>
        </w:rPr>
        <w:t xml:space="preserve">بعد هیجانی شامل ترس، نگرانی و اضطراب ناشی از احتمال بیماری است؛ و </w:t>
      </w:r>
    </w:p>
    <w:p>
      <w:pPr>
        <w:spacing w:after="0" w:line="276" w:lineRule="auto"/>
        <w:ind w:firstLine="397"/>
        <w:jc w:val="both"/>
        <w:rPr>
          <w:color w:val="auto"/>
          <w:lang w:bidi="fa-IR"/>
        </w:rPr>
      </w:pPr>
      <w:r>
        <w:rPr>
          <w:rFonts w:ascii="Times New Roman" w:hAnsi="Times New Roman" w:hint="cs"/>
          <w:lang w:bidi="fa-IR"/>
          <w:rtl/>
        </w:rPr>
        <w:t xml:space="preserve">۳- </w:t>
      </w:r>
      <w:r>
        <w:rPr>
          <w:rFonts w:ascii="Times New Roman" w:hAnsi="Times New Roman" w:hint="cs"/>
          <w:lang w:bidi="fa-IR"/>
          <w:rtl/>
        </w:rPr>
        <w:t xml:space="preserve">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w:t>
      </w:r>
    </w:p>
    <w:p>
      <w:pPr>
        <w:spacing w:after="0" w:line="276" w:lineRule="auto"/>
        <w:ind w:firstLine="397"/>
        <w:jc w:val="both"/>
        <w:rPr>
          <w:color w:val="auto"/>
          <w:lang w:bidi="fa-IR"/>
        </w:rPr>
      </w:pPr>
      <w:r>
        <w:rPr>
          <w:rFonts w:ascii="Times New Roman" w:hAnsi="Times New Roman" w:hint="cs"/>
          <w:lang w:bidi="fa-IR"/>
          <w:rtl/>
        </w:rPr>
        <w:t xml:space="preserve">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eastAsia="Times New Roman" w:cs="Times New Roman"/>
          <w:rStyle w:val="FootnoteReference"/>
          <w:sz w:val="20"/>
          <w:szCs w:val="20"/>
          <w:vertAlign w:val="superscript"/>
          <w:rtl w:val="0"/>
          <w:cs w:val="0"/>
          <w:lang w:val="en-US"/>
        </w:rPr>
        <w:footnoteReference w:id="133"/>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eastAsia="Times New Roman" w:cs="Times New Roman"/>
          <w:rStyle w:val="FootnoteReference"/>
          <w:sz w:val="20"/>
          <w:szCs w:val="20"/>
          <w:vertAlign w:val="superscript"/>
          <w:rtl w:val="0"/>
          <w:cs w:val="0"/>
          <w:lang w:val="en-US"/>
        </w:rPr>
        <w:footnoteReference w:id="134"/>
      </w:r>
      <w:r>
        <w:rPr>
          <w:rFonts w:ascii="Times New Roman" w:hAnsi="Times New Roman" w:hint="cs"/>
          <w:lang w:bidi="fa-IR"/>
          <w:rtl/>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Fonts w:ascii="Times New Roman" w:hAnsi="Times New Roman" w:eastAsia="Times New Roman" w:cs="Times New Roman"/>
          <w:rStyle w:val="FootnoteReference"/>
          <w:color w:val="1B7A3D"/>
          <w:sz w:val="20"/>
          <w:szCs w:val="20"/>
          <w:vertAlign w:val="superscript"/>
          <w:rtl w:val="0"/>
          <w:cs w:val="0"/>
          <w:lang w:val="en-US"/>
        </w:rPr>
        <w:footnoteReference w:id="71"/>
      </w:r>
      <w:r>
        <w:rPr>
          <w:rFonts w:ascii="Times New Roman" w:hAnsi="Times New Roman" w:eastAsia="Times New Roman" w:cs="B Lotus"/>
          <w:color w:val="1B7A3D"/>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73"/>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۲۰۲۲؛ کیکاس</w:t>
      </w:r>
      <w:r>
        <w:rPr>
          <w:rFonts w:ascii="Times New Roman" w:hAnsi="Times New Roman" w:eastAsia="Times New Roman" w:cs="Times New Roman"/>
          <w:rStyle w:val="FootnoteReference"/>
          <w:color w:val="1B7A3D"/>
          <w:sz w:val="20"/>
          <w:szCs w:val="20"/>
          <w:vertAlign w:val="superscript"/>
          <w:rtl w:val="0"/>
          <w:cs w:val="0"/>
          <w:lang w:val="en-US"/>
        </w:rPr>
        <w:footnoteReference w:id="139"/>
      </w:r>
      <w:r>
        <w:rPr>
          <w:rFonts w:ascii="Times New Roman" w:hAnsi="Times New Roman" w:eastAsia="Times New Roman" w:cs="B Lotus"/>
          <w:color w:val="1B7A3D"/>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76"/>
      </w:r>
      <w:r>
        <w:rPr>
          <w:rFonts w:ascii="Times New Roman" w:hAnsi="Times New Roman" w:eastAsia="Times New Roman" w:cs="B Lotus"/>
          <w:color w:val="1B7A3D"/>
          <w:sz w:val="28"/>
          <w:szCs w:val="28"/>
          <w:rtl/>
          <w:cs/>
          <w:lang w:bidi="fa-IR" w:val="en-US"/>
        </w:rPr>
        <w:t xml:space="preserve"> و برادوک</w:t>
      </w:r>
      <w:r>
        <w:rPr>
          <w:rFonts w:ascii="Times New Roman" w:hAnsi="Times New Roman" w:eastAsia="Times New Roman" w:cs="Times New Roman"/>
          <w:rStyle w:val="FootnoteReference"/>
          <w:color w:val="1B7A3D"/>
          <w:sz w:val="20"/>
          <w:szCs w:val="20"/>
          <w:vertAlign w:val="superscript"/>
          <w:rtl w:val="0"/>
          <w:cs w:val="0"/>
          <w:lang w:val="en-US"/>
        </w:rPr>
        <w:footnoteReference w:id="116"/>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۲۰۲۳؛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eastAsia="Times New Roman" w:cs="Times New Roman"/>
          <w:rStyle w:val="FootnoteReference"/>
          <w:sz w:val="20"/>
          <w:szCs w:val="20"/>
          <w:vertAlign w:val="superscript"/>
          <w:rtl w:val="0"/>
          <w:cs w:val="0"/>
          <w:lang w:val="en-US"/>
        </w:rPr>
        <w:footnoteReference w:id="135"/>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eastAsia="Times New Roman" w:cs="Times New Roman"/>
          <w:rStyle w:val="FootnoteReference"/>
          <w:sz w:val="20"/>
          <w:szCs w:val="20"/>
          <w:vertAlign w:val="superscript"/>
          <w:rtl w:val="0"/>
          <w:cs w:val="0"/>
          <w:lang w:val="en-US"/>
        </w:rPr>
        <w:footnoteReference w:id="136"/>
      </w:r>
      <w:r>
        <w:rPr>
          <w:rFonts w:ascii="Times New Roman" w:hAnsi="Times New Roman" w:hint="cs"/>
          <w:lang w:bidi="fa-IR"/>
          <w:rtl/>
        </w:rPr>
        <w:t>، ۲۰۱۹).</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eastAsia="Times New Roman" w:cs="Times New Roman"/>
          <w:rStyle w:val="FootnoteReference"/>
          <w:sz w:val="20"/>
          <w:szCs w:val="20"/>
          <w:vertAlign w:val="superscript"/>
          <w:rtl w:val="0"/>
          <w:cs w:val="0"/>
          <w:lang w:val="en-US"/>
        </w:rPr>
        <w:footnoteReference w:id="137"/>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eastAsia="Times New Roman" w:cs="Times New Roman"/>
          <w:rStyle w:val="FootnoteReference"/>
          <w:sz w:val="20"/>
          <w:szCs w:val="20"/>
          <w:vertAlign w:val="superscript"/>
          <w:rtl w:val="0"/>
          <w:cs w:val="0"/>
          <w:lang w:val="en-US"/>
        </w:rPr>
        <w:footnoteReference w:id="138"/>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72"/>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Fonts w:ascii="Times New Roman" w:hAnsi="Times New Roman" w:eastAsia="Times New Roman" w:cs="Times New Roman"/>
          <w:rStyle w:val="FootnoteReference"/>
          <w:color w:val="1B7A3D"/>
          <w:sz w:val="20"/>
          <w:szCs w:val="20"/>
          <w:vertAlign w:val="superscript"/>
          <w:rtl w:val="0"/>
          <w:cs w:val="0"/>
          <w:lang w:val="en-US"/>
        </w:rPr>
        <w:footnoteReference w:id="137"/>
      </w:r>
      <w:r>
        <w:rPr>
          <w:rFonts w:ascii="Times New Roman" w:hAnsi="Times New Roman" w:eastAsia="Times New Roman" w:cs="B Lotus"/>
          <w:color w:val="1B7A3D"/>
          <w:sz w:val="28"/>
          <w:szCs w:val="28"/>
          <w:rtl/>
          <w:cs/>
          <w:lang w:bidi="fa-IR" w:val="en-US"/>
        </w:rPr>
        <w:t xml:space="preserve"> و ایشیک</w:t>
      </w:r>
      <w:r>
        <w:rPr>
          <w:rFonts w:ascii="Times New Roman" w:hAnsi="Times New Roman" w:eastAsia="Times New Roman" w:cs="Times New Roman"/>
          <w:rStyle w:val="FootnoteReference"/>
          <w:color w:val="1B7A3D"/>
          <w:sz w:val="20"/>
          <w:szCs w:val="20"/>
          <w:vertAlign w:val="superscript"/>
          <w:rtl w:val="0"/>
          <w:cs w:val="0"/>
          <w:lang w:val="en-US"/>
        </w:rPr>
        <w:footnoteReference w:id="13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eastAsia="Times New Roman" w:cs="Times New Roman"/>
          <w:rStyle w:val="FootnoteReference"/>
          <w:sz w:val="20"/>
          <w:szCs w:val="20"/>
          <w:vertAlign w:val="superscript"/>
          <w:rtl w:val="0"/>
          <w:cs w:val="0"/>
          <w:lang w:val="en-US"/>
        </w:rPr>
        <w:footnoteReference w:id="131"/>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eastAsia="Times New Roman" w:cs="Times New Roman"/>
          <w:rStyle w:val="FootnoteReference"/>
          <w:sz w:val="20"/>
          <w:szCs w:val="20"/>
          <w:vertAlign w:val="superscript"/>
          <w:rtl w:val="0"/>
          <w:cs w:val="0"/>
          <w:lang w:val="en-US"/>
        </w:rPr>
        <w:footnoteReference w:id="132"/>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73"/>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74"/>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eastAsia="Times New Roman" w:cs="Times New Roman"/>
          <w:rStyle w:val="FootnoteReference"/>
          <w:sz w:val="20"/>
          <w:szCs w:val="20"/>
          <w:vertAlign w:val="superscript"/>
          <w:rtl w:val="0"/>
          <w:cs w:val="0"/>
          <w:lang w:val="en-US"/>
        </w:rPr>
        <w:footnoteReference w:id="115"/>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75"/>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شفیعی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76"/>
      </w:r>
      <w:r>
        <w:rPr>
          <w:rStyle w:val="FootnoteReference"/>
          <w:rFonts w:hint="cs" w:ascii="Times New Roman" w:hAnsi="Times New Roman" w:eastAsia="Times New Roman" w:cs="Times New Roman"/>
          <w:sz w:val="20"/>
          <w:szCs w:val="20"/>
          <w:vertAlign w:val="superscript"/>
          <w:lang w:val="en-US"/>
          <w:rtl w:val="0"/>
        </w:rPr>
        <w:footnoteReference w:id="7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eastAsia="Times New Roman" w:cs="Times New Roman"/>
          <w:rStyle w:val="FootnoteReference"/>
          <w:sz w:val="20"/>
          <w:szCs w:val="20"/>
          <w:vertAlign w:val="superscript"/>
          <w:rtl w:val="0"/>
          <w:cs w:val="0"/>
          <w:lang w:val="en-US"/>
        </w:rPr>
        <w:footnoteReference w:id="116"/>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78"/>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79"/>
      </w:r>
      <w:r>
        <w:rPr>
          <w:rFonts w:ascii="Times New Roman" w:hAnsi="Times New Roman" w:hint="cs"/>
          <w:lang w:bidi="fa-IR"/>
          <w:rtl/>
        </w:rPr>
        <w:t>، ۲۰۲۱؛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80"/>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81"/>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82"/>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83"/>
      </w:r>
      <w:r>
        <w:rPr>
          <w:rFonts w:ascii="Times New Roman" w:hAnsi="Times New Roman" w:hint="cs"/>
          <w:lang w:bidi="fa-IR"/>
          <w:rtl/>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84"/>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85"/>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86"/>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87"/>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89"/>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eastAsia="Times New Roman" w:cs="Times New Roman"/>
          <w:rStyle w:val="FootnoteReference"/>
          <w:sz w:val="20"/>
          <w:szCs w:val="20"/>
          <w:vertAlign w:val="superscript"/>
          <w:rtl w:val="0"/>
          <w:cs w:val="0"/>
          <w:lang w:val="en-US"/>
        </w:rPr>
        <w:footnoteReference w:id="146"/>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88"/>
      </w:r>
      <w:r>
        <w:rPr>
          <w:rFonts w:ascii="Times New Roman" w:hAnsi="Times New Roman" w:hint="cs"/>
          <w:lang w:bidi="fa-IR"/>
          <w:rtl/>
        </w:rPr>
        <w:t>،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90"/>
      </w:r>
      <w:r>
        <w:rPr>
          <w:rFonts w:ascii="Times New Roman" w:hAnsi="Times New Roman" w:hint="cs"/>
          <w:lang w:bidi="fa-IR"/>
          <w:rtl/>
        </w:rPr>
        <w:t xml:space="preserve"> و همکاران، ۲۰۲۲).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xml:space="preserve">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w:t>
      </w:r>
      <w:r>
        <w:rPr>
          <w:rFonts w:ascii="Times New Roman" w:hAnsi="Times New Roman" w:eastAsia="Times New Roman" w:cs="Times New Roman"/>
          <w:rStyle w:val="FootnoteReference"/>
          <w:sz w:val="20"/>
          <w:szCs w:val="20"/>
          <w:vertAlign w:val="superscript"/>
          <w:rtl w:val="0"/>
          <w:cs w:val="0"/>
          <w:lang w:val="en-US"/>
        </w:rPr>
        <w:footnoteReference w:id="150"/>
      </w:r>
      <w:r>
        <w:rPr>
          <w:rFonts w:ascii="Times New Roman" w:eastAsia="Times New Roman" w:hAnsi="Times New Roman" w:hint="cs"/>
          <w:lang w:bidi="fa-IR"/>
          <w:rtl/>
        </w:rPr>
        <w:t xml:space="preserve">، </w:t>
      </w:r>
      <w:r>
        <w:rPr>
          <w:rFonts w:ascii="Times New Roman" w:eastAsia="Times New Roman" w:hAnsi="Times New Roman" w:hint="cs"/>
          <w:lang w:bidi="fa-IR"/>
          <w:rtl/>
        </w:rPr>
        <w:t>یانگ</w:t>
      </w:r>
      <w:r>
        <w:rPr>
          <w:rFonts w:ascii="Times New Roman" w:hAnsi="Times New Roman" w:eastAsia="Times New Roman" w:cs="Times New Roman"/>
          <w:rStyle w:val="FootnoteReference"/>
          <w:sz w:val="20"/>
          <w:szCs w:val="20"/>
          <w:vertAlign w:val="superscript"/>
          <w:rtl w:val="0"/>
          <w:cs w:val="0"/>
          <w:lang w:val="en-US"/>
        </w:rPr>
        <w:footnoteReference w:id="140"/>
      </w:r>
      <w:r>
        <w:rPr>
          <w:rFonts w:ascii="Times New Roman" w:eastAsia="Times New Roman" w:hAnsi="Times New Roman" w:hint="cs"/>
          <w:lang w:bidi="fa-IR"/>
          <w:rtl/>
        </w:rPr>
        <w:t xml:space="preserve"> و ما</w:t>
      </w:r>
      <w:r>
        <w:rPr>
          <w:rFonts w:ascii="Times New Roman" w:hAnsi="Times New Roman" w:eastAsia="Times New Roman" w:cs="Times New Roman"/>
          <w:rStyle w:val="FootnoteReference"/>
          <w:sz w:val="20"/>
          <w:szCs w:val="20"/>
          <w:vertAlign w:val="superscript"/>
          <w:rtl w:val="0"/>
          <w:cs w:val="0"/>
          <w:lang w:val="en-US"/>
        </w:rPr>
        <w:footnoteReference w:id="151"/>
      </w:r>
      <w:r>
        <w:rPr>
          <w:rFonts w:ascii="Times New Roman" w:eastAsia="Times New Roman" w:hAnsi="Times New Roman" w:hint="cs"/>
          <w:lang w:bidi="fa-IR"/>
          <w:rtl/>
        </w:rPr>
        <w:t xml:space="preserve">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w:t>
      </w:r>
      <w:r>
        <w:rPr>
          <w:rFonts w:ascii="Times New Roman" w:hAnsi="Times New Roman" w:eastAsia="Times New Roman" w:cs="Times New Roman"/>
          <w:rStyle w:val="FootnoteReference"/>
          <w:sz w:val="20"/>
          <w:szCs w:val="20"/>
          <w:vertAlign w:val="superscript"/>
          <w:rtl w:val="0"/>
          <w:cs w:val="0"/>
          <w:lang w:val="en-US"/>
        </w:rPr>
        <w:footnoteReference w:id="141"/>
      </w:r>
      <w:r>
        <w:rPr>
          <w:rFonts w:ascii="Times New Roman" w:eastAsia="Times New Roman" w:hAnsi="Times New Roman" w:hint="cs"/>
          <w:lang w:bidi="fa-IR"/>
          <w:rtl/>
        </w:rPr>
        <w:t xml:space="preserve">، </w:t>
      </w:r>
      <w:r>
        <w:rPr>
          <w:rFonts w:ascii="Times New Roman" w:eastAsia="Times New Roman" w:hAnsi="Times New Roman" w:hint="cs"/>
          <w:lang w:bidi="fa-IR"/>
          <w:rtl/>
        </w:rPr>
        <w:t>رحمه</w:t>
      </w:r>
      <w:r>
        <w:rPr>
          <w:rFonts w:ascii="Times New Roman" w:hAnsi="Times New Roman" w:eastAsia="Times New Roman" w:cs="Times New Roman"/>
          <w:rStyle w:val="FootnoteReference"/>
          <w:sz w:val="20"/>
          <w:szCs w:val="20"/>
          <w:vertAlign w:val="superscript"/>
          <w:rtl w:val="0"/>
          <w:cs w:val="0"/>
          <w:lang w:val="en-US"/>
        </w:rPr>
        <w:footnoteReference w:id="142"/>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hAnsi="Times New Roman" w:eastAsia="Times New Roman" w:cs="Times New Roman"/>
          <w:rStyle w:val="FootnoteReference"/>
          <w:sz w:val="20"/>
          <w:szCs w:val="20"/>
          <w:vertAlign w:val="superscript"/>
          <w:rtl w:val="0"/>
          <w:cs w:val="0"/>
          <w:lang w:val="en-US"/>
        </w:rPr>
        <w:footnoteReference w:id="143"/>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hAnsi="Times New Roman" w:eastAsia="Times New Roman" w:cs="Times New Roman"/>
          <w:rStyle w:val="FootnoteReference"/>
          <w:sz w:val="20"/>
          <w:szCs w:val="20"/>
          <w:vertAlign w:val="superscript"/>
          <w:rtl w:val="0"/>
          <w:cs w:val="0"/>
          <w:lang w:val="en-US"/>
        </w:rPr>
        <w:footnoteReference w:id="144"/>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hAnsi="Times New Roman" w:eastAsia="Times New Roman" w:cs="Times New Roman"/>
          <w:rStyle w:val="FootnoteReference"/>
          <w:sz w:val="20"/>
          <w:szCs w:val="20"/>
          <w:vertAlign w:val="superscript"/>
          <w:rtl w:val="0"/>
          <w:cs w:val="0"/>
          <w:lang w:val="en-US"/>
        </w:rPr>
        <w:footnoteReference w:id="145"/>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w:t>
      </w:r>
      <w:r>
        <w:rPr>
          <w:rFonts w:ascii="Times New Roman" w:hAnsi="Times New Roman" w:eastAsia="Times New Roman" w:cs="Times New Roman"/>
          <w:rStyle w:val="FootnoteReference"/>
          <w:sz w:val="20"/>
          <w:szCs w:val="20"/>
          <w:vertAlign w:val="superscript"/>
          <w:rtl w:val="0"/>
          <w:cs w:val="0"/>
          <w:lang w:val="en-US"/>
        </w:rPr>
        <w:footnoteReference w:id="148"/>
      </w:r>
      <w:r>
        <w:rPr>
          <w:rFonts w:ascii="Times New Roman" w:eastAsia="Times New Roman" w:hAnsi="Times New Roman" w:hint="cs"/>
          <w:lang w:bidi="fa-IR"/>
          <w:rtl/>
        </w:rPr>
        <w:t xml:space="preserve">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91"/>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92"/>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93"/>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hAnsi="Times New Roman" w:eastAsia="Times New Roman" w:cs="Times New Roman"/>
          <w:rStyle w:val="FootnoteReference"/>
          <w:sz w:val="20"/>
          <w:szCs w:val="20"/>
          <w:vertAlign w:val="superscript"/>
          <w:rtl w:val="0"/>
          <w:cs w:val="0"/>
          <w:lang w:val="en-US"/>
        </w:rPr>
        <w:footnoteReference w:id="119"/>
      </w:r>
      <w:r>
        <w:rPr>
          <w:rFonts w:ascii="Times New Roman" w:eastAsia="Times New Roman" w:hAnsi="Times New Roman" w:hint="cs"/>
          <w:lang w:bidi="fa-IR"/>
          <w:rtl/>
        </w:rPr>
        <w:t xml:space="preserve"> و دهان</w:t>
      </w:r>
      <w:r>
        <w:rPr>
          <w:rFonts w:ascii="Times New Roman" w:hAnsi="Times New Roman" w:eastAsia="Times New Roman" w:cs="Times New Roman"/>
          <w:rStyle w:val="FootnoteReference"/>
          <w:sz w:val="20"/>
          <w:szCs w:val="20"/>
          <w:vertAlign w:val="superscript"/>
          <w:rtl w:val="0"/>
          <w:cs w:val="0"/>
          <w:lang w:val="en-US"/>
        </w:rPr>
        <w:footnoteReference w:id="120"/>
      </w:r>
      <w:r>
        <w:rPr>
          <w:rFonts w:ascii="Times New Roman" w:eastAsia="Times New Roman" w:hAnsi="Times New Roman" w:hint="cs"/>
          <w:lang w:bidi="fa-IR"/>
          <w:rtl/>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94"/>
      </w:r>
      <w:r>
        <w:rPr>
          <w:rFonts w:ascii="Times New Roman" w:eastAsia="Times New Roman" w:hAnsi="Times New Roman" w:hint="cs"/>
          <w:lang w:bidi="fa-IR"/>
          <w:rtl/>
        </w:rPr>
        <w:t xml:space="preserve">، گو</w:t>
      </w:r>
      <w:r>
        <w:rPr>
          <w:rFonts w:ascii="Times New Roman" w:hAnsi="Times New Roman" w:eastAsia="Times New Roman" w:cs="Times New Roman"/>
          <w:rStyle w:val="FootnoteReference"/>
          <w:sz w:val="20"/>
          <w:szCs w:val="20"/>
          <w:vertAlign w:val="superscript"/>
          <w:rtl w:val="0"/>
          <w:cs w:val="0"/>
          <w:lang w:val="en-US"/>
        </w:rPr>
        <w:footnoteReference w:id="149"/>
      </w:r>
      <w:r>
        <w:rPr>
          <w:rFonts w:ascii="Times New Roman" w:eastAsia="Times New Roman" w:hAnsi="Times New Roman" w:hint="cs"/>
          <w:lang w:bidi="fa-IR"/>
          <w:rtl/>
        </w:rPr>
        <w:t xml:space="preserve"> و جورج</w:t>
      </w:r>
      <w:r>
        <w:rPr>
          <w:rFonts w:ascii="Times New Roman" w:hAnsi="Times New Roman" w:eastAsia="Times New Roman" w:cs="Times New Roman"/>
          <w:rStyle w:val="FootnoteReference"/>
          <w:sz w:val="20"/>
          <w:szCs w:val="20"/>
          <w:vertAlign w:val="superscript"/>
          <w:rtl w:val="0"/>
          <w:cs w:val="0"/>
          <w:lang w:val="en-US"/>
        </w:rPr>
        <w:footnoteReference w:id="129"/>
      </w:r>
      <w:r>
        <w:rPr>
          <w:rFonts w:ascii="Times New Roman" w:eastAsia="Times New Roman" w:hAnsi="Times New Roman" w:hint="cs"/>
          <w:lang w:bidi="fa-IR"/>
          <w:rtl/>
        </w:rPr>
        <w:t xml:space="preserve">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95"/>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96"/>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hAnsi="Times New Roman" w:eastAsia="Times New Roman" w:cs="Times New Roman"/>
          <w:rStyle w:val="FootnoteReference"/>
          <w:sz w:val="20"/>
          <w:szCs w:val="20"/>
          <w:vertAlign w:val="superscript"/>
          <w:rtl w:val="0"/>
          <w:cs w:val="0"/>
          <w:lang w:val="en-US"/>
        </w:rPr>
        <w:footnoteReference w:id="127"/>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w:t>
      </w:r>
      <w:r>
        <w:rPr>
          <w:rFonts w:ascii="Times New Roman" w:hAnsi="Times New Roman" w:eastAsia="Times New Roman" w:cs="Times New Roman"/>
          <w:rStyle w:val="FootnoteReference"/>
          <w:sz w:val="20"/>
          <w:szCs w:val="20"/>
          <w:vertAlign w:val="superscript"/>
          <w:rtl w:val="0"/>
          <w:cs w:val="0"/>
          <w:lang w:val="en-US"/>
        </w:rPr>
        <w:footnoteReference w:id="128"/>
      </w:r>
      <w:r>
        <w:rPr>
          <w:rFonts w:ascii="Times New Roman" w:eastAsia="Times New Roman" w:hAnsi="Times New Roman" w:hint="cs"/>
          <w:lang w:bidi="fa-IR"/>
          <w:rtl/>
        </w:rPr>
        <w:t xml:space="preserve">(۲۰۱۰)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97"/>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hAnsi="Times New Roman" w:eastAsia="Times New Roman" w:cs="Times New Roman"/>
          <w:rStyle w:val="FootnoteReference"/>
          <w:sz w:val="20"/>
          <w:szCs w:val="20"/>
          <w:vertAlign w:val="superscript"/>
          <w:rtl w:val="0"/>
          <w:cs w:val="0"/>
          <w:lang w:val="en-US"/>
        </w:rPr>
        <w:footnoteReference w:id="121"/>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hAnsi="Times New Roman" w:eastAsia="Times New Roman" w:cs="Times New Roman"/>
          <w:rStyle w:val="FootnoteReference"/>
          <w:sz w:val="20"/>
          <w:szCs w:val="20"/>
          <w:vertAlign w:val="superscript"/>
          <w:rtl w:val="0"/>
          <w:cs w:val="0"/>
          <w:lang w:val="en-US"/>
        </w:rPr>
        <w:footnoteReference w:id="122"/>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98"/>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hAnsi="Times New Roman" w:eastAsia="Times New Roman" w:cs="Times New Roman"/>
          <w:rStyle w:val="FootnoteReference"/>
          <w:sz w:val="20"/>
          <w:szCs w:val="20"/>
          <w:vertAlign w:val="superscript"/>
          <w:rtl w:val="0"/>
          <w:cs w:val="0"/>
          <w:lang w:val="en-US"/>
        </w:rPr>
        <w:footnoteReference w:id="118"/>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99"/>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100"/>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101"/>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hAnsi="Times New Roman" w:eastAsia="Times New Roman" w:cs="Times New Roman"/>
          <w:rStyle w:val="FootnoteReference"/>
          <w:sz w:val="20"/>
          <w:szCs w:val="20"/>
          <w:vertAlign w:val="superscript"/>
          <w:rtl w:val="0"/>
          <w:cs w:val="0"/>
          <w:lang w:val="en-US"/>
        </w:rPr>
        <w:footnoteReference w:id="102"/>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hAnsi="Times New Roman" w:eastAsia="Times New Roman" w:cs="Times New Roman"/>
          <w:rStyle w:val="FootnoteReference"/>
          <w:sz w:val="20"/>
          <w:szCs w:val="20"/>
          <w:vertAlign w:val="superscript"/>
          <w:rtl w:val="0"/>
          <w:cs w:val="0"/>
          <w:lang w:val="en-US"/>
        </w:rPr>
        <w:footnoteReference w:id="126"/>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10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104"/>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105"/>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hAnsi="Times New Roman" w:eastAsia="Times New Roman" w:cs="Times New Roman"/>
          <w:rStyle w:val="FootnoteReference"/>
          <w:sz w:val="20"/>
          <w:szCs w:val="20"/>
          <w:vertAlign w:val="superscript"/>
          <w:rtl w:val="0"/>
          <w:cs w:val="0"/>
          <w:lang w:val="en-US"/>
        </w:rPr>
        <w:footnoteReference w:id="125"/>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106"/>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است.</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color w:val="1B7A3D"/>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color w:val="1B7A3D"/>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color w:val="1B7A3D"/>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color w:val="1B7A3D"/>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color w:val="1B7A3D"/>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color w:val="1B7A3D"/>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color w:val="1B7A3D"/>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 w:history="1">
        <w:r>
          <w:rPr>
            <w:rFonts w:ascii="Times New Roman" w:hAnsi="Times New Roman" w:eastAsia="Times New Roman" w:cs="B Lotus"/>
            <w:rStyle w:val="Hyperlink"/>
            <w:color w:val="1B7A3D"/>
            <w:sz w:val="28"/>
            <w:szCs w:val="28"/>
            <w:rtl w:val="0"/>
            <w:cs w:val="0"/>
            <w:lang w:val="en-US"/>
          </w:rPr>
          <w:t xml:space="preserve">https://doi.org/10.1016/j.cpr.2014.09.002</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King, D. B., &amp; DeCicco, T. L. (2009). A viable model and self-report measure of spiritual intelligence. International Journal of Transpersonal Studies, 28(1), 68–85.</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Menzies, R. E., &amp; Menzies, R. G. (2020). Death anxiety in the time of COVID-19: Theoretical explanations and clinical implications. The Cognitive Behaviour Therapist, 13, e19. </w:t>
      </w:r>
      <w:hyperlink r:id="rIdDoiMenz" w:history="1">
        <w:r>
          <w:rPr>
            <w:rFonts w:ascii="Times New Roman" w:hAnsi="Times New Roman" w:eastAsia="Times New Roman" w:cs="B Lotus"/>
            <w:rStyle w:val="Hyperlink"/>
            <w:color w:val="1B7A3D"/>
            <w:sz w:val="28"/>
            <w:szCs w:val="28"/>
            <w:rtl w:val="0"/>
            <w:cs w:val="0"/>
            <w:lang w:val="en-US"/>
          </w:rPr>
          <w:t xml:space="preserve">https://doi.org/10.1017/S1754470X20000215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Pyszczynski, T., Lockett, M., Greenberg, J., &amp; Solomon, S. (2021). Terror management theory and the COVID-19 pandemic. Journal of Humanistic Psychology, 61(2), 173–189. </w:t>
      </w:r>
      <w:hyperlink r:id="rIdDoiPysz" w:history="1">
        <w:r>
          <w:rPr>
            <w:rFonts w:ascii="Times New Roman" w:hAnsi="Times New Roman" w:eastAsia="Times New Roman" w:cs="B Lotus"/>
            <w:rStyle w:val="Hyperlink"/>
            <w:color w:val="1B7A3D"/>
            <w:sz w:val="28"/>
            <w:szCs w:val="28"/>
            <w:rtl w:val="0"/>
            <w:cs w:val="0"/>
            <w:lang w:val="en-US"/>
          </w:rPr>
          <w:t xml:space="preserve">https://doi.org/10.1177/0022167820959488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Wong, P. T. P. (2008). Meaning management theory and death acceptance. In A. Tomer, G. T. Eliason, &amp; P. T. P. Wong (Eds.), Existential and spiritual issues in death attitudes (pp. 65–87). Erlbaum.</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 w:id="40">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41">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42">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43">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4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45">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46">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Mikulincer</w:t>
      </w:r>
      <w:r>
        <w:rPr>
          <w:rFonts w:ascii="Times New Roman" w:hAnsi="Times New Roman" w:eastAsia="Times New Roman" w:cs="Times New Roman"/>
          <w:sz w:val="18"/>
          <w:szCs w:val="20"/>
          <w:rtl w:val="0"/>
          <w:lang w:val="en-US"/>
        </w:rPr>
        <w:t/>
      </w:r>
      <w:r>
        <w:rPr>
          <w:rFonts w:ascii="Times New Roman" w:hAnsi="Times New Roman" w:eastAsia="Times New Roman" w:cs="Times New Roman"/>
          <w:sz w:val="18"/>
          <w:szCs w:val="20"/>
          <w:rtl w:val="0"/>
          <w:lang w:val="en-US"/>
        </w:rPr>
        <w:t xml:space="preserve"/>
      </w:r>
    </w:p>
  </w:footnote>
  <w:footnote w:id="4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48">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49">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50">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51">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52">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w:t>
      </w:r>
    </w:p>
  </w:footnote>
  <w:footnote w:id="53">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5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5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5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5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5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5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60">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6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6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6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6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65">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66">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6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68">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69">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70">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7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72">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73">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74">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Fergus</w:t>
      </w:r>
      <w:r>
        <w:rPr>
          <w:rFonts w:ascii="Times New Roman" w:hAnsi="Times New Roman" w:eastAsia="Times New Roman" w:cs="Times New Roman"/>
          <w:sz w:val="18"/>
          <w:szCs w:val="20"/>
          <w:rtl w:val="0"/>
          <w:lang w:val="en-US"/>
        </w:rPr>
        <w:t xml:space="preserve"/>
      </w:r>
    </w:p>
  </w:footnote>
  <w:footnote w:id="75">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76">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Abramowitz</w:t>
      </w:r>
      <w:r>
        <w:rPr>
          <w:rFonts w:ascii="Times New Roman" w:hAnsi="Times New Roman" w:eastAsia="Times New Roman" w:cs="Times New Roman"/>
          <w:sz w:val="18"/>
          <w:szCs w:val="20"/>
          <w:rtl w:val="0"/>
          <w:lang w:val="en-US"/>
        </w:rPr>
        <w:t/>
      </w:r>
    </w:p>
  </w:footnote>
  <w:footnote w:id="7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78">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w:t>
      </w:r>
    </w:p>
  </w:footnote>
  <w:footnote w:id="7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80">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81">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82">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83">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84">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85">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86">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87">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89">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Beck</w:t>
      </w:r>
      <w:r>
        <w:rPr>
          <w:rFonts w:ascii="Times New Roman" w:hAnsi="Times New Roman" w:eastAsia="Times New Roman" w:cs="Times New Roman"/>
          <w:sz w:val="18"/>
          <w:szCs w:val="20"/>
          <w:rtl w:val="0"/>
          <w:lang w:val="en-US"/>
        </w:rPr>
        <w:t/>
      </w:r>
    </w:p>
  </w:footnote>
  <w:footnote w:id="90">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91">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Zhao</w:t>
      </w:r>
    </w:p>
  </w:footnote>
  <w:footnote w:id="92">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93">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Yonker</w:t>
      </w:r>
    </w:p>
  </w:footnote>
  <w:footnote w:id="94">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95">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96">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Mat Saad</w:t>
      </w:r>
    </w:p>
  </w:footnote>
  <w:footnote w:id="97">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Chlan</w:t>
      </w:r>
      <w:r>
        <w:rPr>
          <w:rFonts w:ascii="Times New Roman" w:hAnsi="Times New Roman" w:eastAsia="Times New Roman" w:cs="Times New Roman"/>
          <w:sz w:val="18"/>
          <w:szCs w:val="20"/>
          <w:lang w:bidi="fa-IR" w:val="en-US"/>
          <w:rtl w:val="0"/>
        </w:rPr>
        <w:t/>
      </w:r>
    </w:p>
  </w:footnote>
  <w:footnote w:id="98">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99">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p>
  </w:footnote>
  <w:footnote w:id="100">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101">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Thorson</w:t>
      </w:r>
    </w:p>
  </w:footnote>
  <w:footnote w:id="102">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Moreira-Almeida</w:t>
      </w:r>
    </w:p>
  </w:footnote>
  <w:footnote w:id="103">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r>
        <w:rPr>
          <w:rFonts w:ascii="Times New Roman" w:hAnsi="Times New Roman" w:eastAsia="Times New Roman" w:cs="Times New Roman"/>
          <w:sz w:val="18"/>
          <w:szCs w:val="20"/>
          <w:lang w:bidi="fa-IR" w:val="en-US"/>
          <w:rtl w:val="0"/>
        </w:rPr>
        <w:t/>
      </w:r>
    </w:p>
  </w:footnote>
  <w:footnote w:id="104">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105">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Tomer</w:t>
      </w:r>
      <w:r>
        <w:rPr>
          <w:rFonts w:ascii="Times New Roman" w:hAnsi="Times New Roman" w:eastAsia="Times New Roman" w:cs="Times New Roman"/>
          <w:sz w:val="18"/>
          <w:szCs w:val="20"/>
          <w:lang w:bidi="fa-IR" w:val="en-US"/>
          <w:rtl w:val="0"/>
        </w:rPr>
        <w:t/>
      </w:r>
    </w:p>
  </w:footnote>
  <w:footnote w:id="106">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Pyszczynski, Lockett, Greenberg &amp; Solomon</w:t>
      </w:r>
    </w:p>
  </w:footnote>
  <w:footnote w:id="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Iverach</w:t>
      </w:r>
    </w:p>
  </w:footnote>
  <w:footnote w:id="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Wong</w:t>
      </w:r>
    </w:p>
  </w:footnote>
  <w:footnote w:id="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Meaning Management Theory</w:t>
      </w:r>
    </w:p>
  </w:footnote>
  <w:footnote w:id="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w:t>
      </w:r>
    </w:p>
  </w:footnote>
  <w:footnote w:id="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0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w:t>
      </w:r>
    </w:p>
  </w:footnote>
  <w:footnote w:id="10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w:t>
      </w:r>
    </w:p>
  </w:footnote>
  <w:footnote w:id="10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Bohlmeijer</w:t>
      </w:r>
    </w:p>
  </w:footnote>
  <w:footnote w:id="1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Chan</w:t>
      </w:r>
    </w:p>
  </w:footnote>
  <w:footnote w:id="1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w:t>
      </w:r>
    </w:p>
  </w:footnote>
  <w:footnote w:id="1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Florian</w:t>
      </w:r>
    </w:p>
  </w:footnote>
  <w:footnote w:id="1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Salovey</w:t>
      </w:r>
    </w:p>
  </w:footnote>
  <w:footnote w:id="1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Valentiner</w:t>
      </w:r>
    </w:p>
  </w:footnote>
  <w:footnote w:id="1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Braddock</w:t>
      </w:r>
    </w:p>
  </w:footnote>
  <w:footnote w:id="1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Schnabelrauch</w:t>
      </w:r>
    </w:p>
  </w:footnote>
  <w:footnote w:id="1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DeHaan</w:t>
      </w:r>
    </w:p>
  </w:footnote>
  <w:footnote w:id="1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Zebracki</w:t>
      </w:r>
    </w:p>
  </w:footnote>
  <w:footnote w:id="1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Vogel</w:t>
      </w:r>
    </w:p>
  </w:footnote>
  <w:footnote w:id="1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Purohit</w:t>
      </w:r>
    </w:p>
  </w:footnote>
  <w:footnote w:id="1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Powell</w:t>
      </w:r>
    </w:p>
  </w:footnote>
  <w:footnote w:id="1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Eliason</w:t>
      </w:r>
    </w:p>
  </w:footnote>
  <w:footnote w:id="1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Koenig</w:t>
      </w:r>
    </w:p>
  </w:footnote>
  <w:footnote w:id="1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Hatta</w:t>
      </w:r>
    </w:p>
  </w:footnote>
  <w:footnote w:id="1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Mohamad</w:t>
      </w:r>
    </w:p>
  </w:footnote>
  <w:footnote w:id="1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George</w:t>
      </w:r>
    </w:p>
  </w:footnote>
  <w:footnote w:id="1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Rice</w:t>
      </w:r>
    </w:p>
  </w:footnote>
  <w:footnote w:id="1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Warwick</w:t>
      </w:r>
    </w:p>
  </w:footnote>
  <w:footnote w:id="1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Halldórsson</w:t>
      </w:r>
    </w:p>
  </w:footnote>
  <w:footnote w:id="1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Bolton</w:t>
      </w:r>
    </w:p>
  </w:footnote>
  <w:footnote w:id="1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Gillett</w:t>
      </w:r>
    </w:p>
  </w:footnote>
  <w:footnote w:id="1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Çarıkçı-Özgül</w:t>
      </w:r>
    </w:p>
  </w:footnote>
  <w:footnote w:id="1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Işık</w:t>
      </w:r>
    </w:p>
  </w:footnote>
  <w:footnote w:id="13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Kikas</w:t>
      </w:r>
    </w:p>
  </w:footnote>
  <w:footnote w:id="14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Yang</w:t>
      </w:r>
    </w:p>
  </w:footnote>
  <w:footnote w:id="14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Younes</w:t>
      </w:r>
    </w:p>
  </w:footnote>
  <w:footnote w:id="14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Rahme</w:t>
      </w:r>
    </w:p>
  </w:footnote>
  <w:footnote w:id="14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Rajha</w:t>
      </w:r>
    </w:p>
  </w:footnote>
  <w:footnote w:id="14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Mzawak</w:t>
      </w:r>
    </w:p>
  </w:footnote>
  <w:footnote w:id="14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Killingsworth</w:t>
      </w:r>
    </w:p>
  </w:footnote>
  <w:footnote w:id="14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Haigh</w:t>
      </w:r>
    </w:p>
  </w:footnote>
  <w:footnote w:id="14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w:t>
      </w:r>
    </w:p>
  </w:footnote>
  <w:footnote w:id="14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Wang</w:t>
      </w:r>
    </w:p>
  </w:footnote>
  <w:footnote w:id="14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Gu</w:t>
      </w:r>
    </w:p>
  </w:footnote>
  <w:footnote w:id="15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Lou</w:t>
      </w:r>
    </w:p>
  </w:footnote>
  <w:footnote w:id="15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Ma</w:t>
      </w:r>
    </w:p>
  </w:footnote>
  <w:footnote w:id="15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 Id="rIdDoiIver" Type="http://schemas.openxmlformats.org/officeDocument/2006/relationships/hyperlink" Target="https://doi.org/10.1016/j.cpr.2014.09.002" TargetMode="External"/><Relationship Id="rIdDoiMenz" Type="http://schemas.openxmlformats.org/officeDocument/2006/relationships/hyperlink" Target="https://doi.org/10.1017/S1754470X20000215" TargetMode="External"/><Relationship Id="rIdDoiPysz" Type="http://schemas.openxmlformats.org/officeDocument/2006/relationships/hyperlink" Target="https://doi.org/10.1177/0022167820959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