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bidi w:val="1"/>
        <w:jc w:val="center"/>
        <w:rPr>
          <w:b/>
          <w:bCs/>
          <w:color w:val="auto"/>
          <w:lang w:bidi="fa-IR"/>
        </w:rPr>
      </w:pPr>
    </w:p>
    <w:p w14:paraId="1BAF5A34" w14:textId="77777777">
      <w:pPr>
        <w:bidi w:val="1"/>
        <w:spacing w:line="240" w:lineRule="auto"/>
        <w:jc w:val="center"/>
        <w:rPr>
          <w:b/>
          <w:bCs/>
          <w:color w:val="auto"/>
          <w:lang w:bidi="fa-IR"/>
        </w:rPr>
      </w:pPr>
    </w:p>
    <w:p w14:paraId="31244712" w14:textId="77777777">
      <w:pPr>
        <w:bidi w:val="1"/>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bidi w:val="1"/>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bidi w:val="1"/>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bidi w:val="1"/>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bidi w:val="1"/>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bidi w:val="1"/>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bidi w:val="1"/>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bidi w:val="1"/>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bidi w:val="1"/>
        <w:adjustRightInd/>
        <w:spacing w:before="240" w:after="100" w:line="276" w:lineRule="auto"/>
        <w:jc w:val="right"/>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bidi w:val="1"/>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bidi w:val="1"/>
        <w:spacing w:before="240" w:after="100" w:line="276" w:lineRule="auto"/>
        <w:jc w:val="right"/>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bidi w:val="1"/>
        <w:spacing w:before="240" w:after="100" w:line="276" w:lineRule="auto"/>
        <w:jc w:val="right"/>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bidi w:val="1"/>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bidi w:val="1"/>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r>
        <w:rPr>
          <w:rFonts w:ascii="Times New Roman" w:hAnsi="Times New Roman" w:eastAsia="Times New Roman" w:cs="B Lotus"/>
          <w:color w:val="000000"/>
          <w:sz w:val="24"/>
          <w:szCs w:val="24"/>
          <w:rtl w:val="1"/>
          <w:cs w:val="1"/>
          <w:lang w:bidi="fa-IR"/>
        </w:rPr>
        <w:fldChar w:fldCharType="begin" w:dirty="true"/>
      </w:r>
      <w:r>
        <w:rPr>
          <w:rFonts w:cs="B Lotus" w:ascii="Times New Roman" w:hAnsi="Times New Roman" w:eastAsia="Times New Roman"/>
          <w:color w:val="000000"/>
          <w:sz w:val="24"/>
          <w:szCs w:val="24"/>
          <w:rtl w:val="1"/>
          <w:cs w:val="1"/>
          <w:lang w:bidi="fa-IR"/>
        </w:rPr>
        <w:instrText xml:space="preserve"> TOC \o "1-4" \h \z \u </w:instrText>
      </w:r>
      <w:r>
        <w:rPr>
          <w:rFonts w:ascii="Times New Roman" w:hAnsi="Times New Roman" w:eastAsia="Times New Roman" w:cs="B Lotus"/>
          <w:color w:val="000000"/>
          <w:sz w:val="24"/>
          <w:szCs w:val="24"/>
          <w:rtl w:val="1"/>
          <w:cs w:val="1"/>
          <w:lang w:bidi="fa-IR"/>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200" w:history="1">
        <w:r>
          <w:rPr>
            <w:rFonts w:ascii="Times New Roman" w:hAnsi="Times New Roman" w:cs="B Lotus" w:eastAsia="Times New Roman"/>
            <w:noProof/>
            <w:color w:val="000000"/>
            <w:sz w:val="24"/>
            <w:szCs w:val="24"/>
            <w:rtl/>
            <w:lang w:bidi="fa-IR"/>
          </w:rPr>
          <w:t xml:space="preserve">۲-۱-۲-۲-۴- نظریه انتخاب اجتماعی-هیجانی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_Toc238572200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مؤثر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201" w:history="1">
        <w:r>
          <w:rPr>
            <w:rFonts w:cs="B Lotus" w:ascii="Times New Roman" w:hAnsi="Times New Roman" w:eastAsia="Times New Roman"/>
            <w:kern w:val="32"/>
            <w:color w:val="000000"/>
            <w:sz w:val="24"/>
            <w:szCs w:val="24"/>
            <w:rtl/>
            <w:lang w:bidi="fa-IR"/>
          </w:rPr>
          <w:t xml:space="preserve">۲-۳-۴- مدل چهارعاملی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_Toc238572201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bidi w:val="1"/>
        <w:jc w:val="right"/>
      </w:pPr>
      <w:r>
        <w:rPr>
          <w:rFonts w:ascii="Times New Roman" w:hAnsi="Times New Roman"/>
        </w:rPr>
        <w:fldChar w:fldCharType="end"/>
      </w:r>
    </w:p>
    <w:p w14:paraId="335678AD" w14:textId="77777777">
      <w:pPr>
        <w:pageBreakBefore/>
        <w:bidi w:val="1"/>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dirty="true"/>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val="1"/>
          <w:cs w:val="1"/>
          <w:lang w:bidi="fa-IR" w:val="en-US"/>
        </w:rPr>
      </w:pPr>
      <w:bookmarkStart w:id="5001" w:name="_TocChekideh"/>
      <w:r>
        <w:rPr>
          <w:rFonts w:ascii="Times New Roman" w:hAnsi="Times New Roman" w:hint="cs" w:eastAsia="Times New Roman" w:cs="B Titr"/>
          <w:b/>
          <w:bCs/>
          <w:sz w:val="56"/>
          <w:szCs w:val="56"/>
          <w:rtl w:val="1"/>
          <w:cs w:val="1"/>
          <w:lang w:bidi="fa-IR"/>
        </w:rPr>
        <w:t>چکیده</w:t>
      </w:r>
      <w:r>
        <w:rPr>
          <w:rFonts w:ascii="Times New Roman" w:eastAsia="Times New Roman" w:hAnsi="Times New Roman" w:hint="cs" w:cs="B Titr"/>
          <w:rtl w:val="1"/>
          <w:cs w:val="1"/>
          <w:lang w:bidi="fa-IR"/>
        </w:rPr>
        <w:t xml:space="preserve"> </w:t>
      </w:r>
      <w:bookmarkEnd w:id="5001"/>
    </w:p>
    <w:p w14:paraId="25611BA5" w14:textId="3872EF37">
      <w:pPr>
        <w:bidi w:val="1"/>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bidi w:val="1"/>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 w:name="_Toc238572002"/>
      <w:r>
        <w:rPr>
          <w:rFonts w:ascii="Times New Roman" w:hAnsi="Times New Roman" w:cs="B Titr" w:eastAsia="Times New Roman"/>
          <w:b/>
          <w:bCs/>
          <w:color w:val="000000"/>
          <w:sz w:val="56"/>
          <w:szCs w:val="56"/>
          <w:rtl w:val="1"/>
          <w:cs w:val="1"/>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 w:name="_Toc238572003"/>
      <w:r>
        <w:rPr>
          <w:rFonts w:ascii="Times New Roman" w:hAnsi="Times New Roman" w:cs="B Titr" w:eastAsia="Times New Roman"/>
          <w:b/>
          <w:bCs/>
          <w:color w:val="000000"/>
          <w:sz w:val="30"/>
          <w:szCs w:val="30"/>
          <w:rtl w:val="1"/>
          <w:cs w:val="1"/>
          <w:lang w:bidi="fa-IR"/>
        </w:rPr>
        <w:lastRenderedPageBreak/>
        <w:t>۱-۱- مقدمه</w:t>
      </w:r>
      <w:bookmarkEnd w:id="2"/>
    </w:p>
    <w:p w14:paraId="5B22574B" w14:textId="77777777">
      <w:pPr>
        <w:bidi w:val="1"/>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bidi w:val="1"/>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bidi w:val="1"/>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 w:name="_Toc238572004"/>
      <w:r>
        <w:rPr>
          <w:rFonts w:ascii="Times New Roman" w:hAnsi="Times New Roman" w:cs="B Titr" w:eastAsia="Times New Roman"/>
          <w:b/>
          <w:bCs/>
          <w:color w:val="000000"/>
          <w:sz w:val="30"/>
          <w:szCs w:val="30"/>
          <w:rtl w:val="1"/>
          <w:cs w:val="1"/>
          <w:lang w:bidi="fa-IR"/>
        </w:rPr>
        <w:t>۱-۲- بیان مسأله</w:t>
      </w:r>
      <w:bookmarkEnd w:id="3"/>
    </w:p>
    <w:p w14:paraId="558E3B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14:paraId="7F3E9A2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 w:name="_Toc238572005"/>
      <w:r>
        <w:rPr>
          <w:rFonts w:ascii="Times New Roman" w:hAnsi="Times New Roman" w:cs="B Titr" w:eastAsia="Times New Roman"/>
          <w:b/>
          <w:bCs/>
          <w:color w:val="000000"/>
          <w:sz w:val="30"/>
          <w:szCs w:val="30"/>
          <w:rtl w:val="1"/>
          <w:cs w:val="1"/>
          <w:lang w:bidi="fa-IR"/>
        </w:rPr>
        <w:t>۱-۳- اهمیت و ضرورت پژوهش</w:t>
      </w:r>
      <w:bookmarkEnd w:id="5"/>
    </w:p>
    <w:p w14:paraId="420ABAB6"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 w:name="_Toc238572006"/>
      <w:r>
        <w:rPr>
          <w:rFonts w:ascii="Times New Roman" w:hAnsi="Times New Roman" w:cs="B Titr" w:eastAsia="Times New Roman"/>
          <w:b/>
          <w:bCs/>
          <w:color w:val="000000"/>
          <w:sz w:val="30"/>
          <w:szCs w:val="30"/>
          <w:rtl w:val="1"/>
          <w:cs w:val="1"/>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 w:name="_Toc238572007"/>
      <w:r>
        <w:rPr>
          <w:rFonts w:ascii="Times New Roman" w:hAnsi="Times New Roman" w:cs="B Titr" w:eastAsia="Times New Roman"/>
          <w:b/>
          <w:bCs/>
          <w:color w:val="000000"/>
          <w:sz w:val="30"/>
          <w:szCs w:val="30"/>
          <w:rtl w:val="1"/>
          <w:cs w:val="1"/>
          <w:lang w:bidi="fa-IR"/>
        </w:rPr>
        <w:t>۱-۴-۱- هدف اصلی:</w:t>
      </w:r>
      <w:bookmarkEnd w:id="7"/>
    </w:p>
    <w:p w14:paraId="7AEEF4F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0" w:name="_Toc238572008"/>
      <w:r>
        <w:rPr>
          <w:rFonts w:ascii="Times New Roman" w:hAnsi="Times New Roman" w:cs="B Titr" w:eastAsia="Times New Roman"/>
          <w:b/>
          <w:bCs/>
          <w:color w:val="000000"/>
          <w:sz w:val="30"/>
          <w:szCs w:val="30"/>
          <w:rtl w:val="1"/>
          <w:cs w:val="1"/>
          <w:lang w:bidi="fa-IR"/>
        </w:rPr>
        <w:t>۱-۴-۲- اهداف فرعی:</w:t>
      </w:r>
      <w:bookmarkEnd w:id="10"/>
    </w:p>
    <w:p w14:paraId="402B10CB"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1" w:name="_Toc238572009"/>
      <w:r>
        <w:rPr>
          <w:rFonts w:ascii="Times New Roman" w:hAnsi="Times New Roman" w:cs="B Titr" w:eastAsia="Times New Roman"/>
          <w:b/>
          <w:bCs/>
          <w:color w:val="000000"/>
          <w:sz w:val="30"/>
          <w:szCs w:val="30"/>
          <w:rtl w:val="1"/>
          <w:cs w:val="1"/>
          <w:lang w:bidi="fa-IR"/>
        </w:rPr>
        <w:lastRenderedPageBreak/>
        <w:t xml:space="preserve">۱-۵- فرضیه‌های پژوهش</w:t>
      </w:r>
      <w:bookmarkEnd w:id="11"/>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2" w:name="_Toc238572010"/>
      <w:r>
        <w:rPr>
          <w:rFonts w:ascii="Times New Roman" w:hAnsi="Times New Roman" w:cs="B Titr" w:eastAsia="Times New Roman"/>
          <w:b/>
          <w:bCs/>
          <w:color w:val="000000"/>
          <w:sz w:val="30"/>
          <w:szCs w:val="30"/>
          <w:rtl w:val="1"/>
          <w:cs w:val="1"/>
          <w:lang w:bidi="fa-IR"/>
        </w:rPr>
        <w:t>۱-۵-۱- فرضیه اصلی:</w:t>
      </w:r>
      <w:bookmarkEnd w:id="12"/>
    </w:p>
    <w:p w14:paraId="0331943C" w14:textId="77777777">
      <w:pPr>
        <w:bidi w:val="1"/>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5" w:name="_Toc238572011"/>
      <w:r>
        <w:rPr>
          <w:rFonts w:ascii="Times New Roman" w:hAnsi="Times New Roman" w:cs="B Titr" w:eastAsia="Times New Roman"/>
          <w:b/>
          <w:bCs/>
          <w:color w:val="000000"/>
          <w:sz w:val="30"/>
          <w:szCs w:val="30"/>
          <w:rtl w:val="1"/>
          <w:cs w:val="1"/>
          <w:lang w:bidi="fa-IR"/>
        </w:rPr>
        <w:t xml:space="preserve">۱-۵-۲- فرضیه‌های فرعی:</w:t>
      </w:r>
      <w:bookmarkEnd w:id="15"/>
    </w:p>
    <w:p w14:paraId="319DF98C"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8" w:name="_Toc238572012"/>
      <w:r>
        <w:rPr>
          <w:rFonts w:ascii="Times New Roman" w:hAnsi="Times New Roman" w:cs="B Titr" w:eastAsia="Times New Roman"/>
          <w:b/>
          <w:bCs/>
          <w:color w:val="000000"/>
          <w:sz w:val="30"/>
          <w:szCs w:val="30"/>
          <w:rtl w:val="1"/>
          <w:cs w:val="1"/>
          <w:lang w:bidi="fa-IR"/>
        </w:rPr>
        <w:t xml:space="preserve">۱-۶- تعاریف نظری و عملیاتی </w:t>
      </w:r>
      <w:r>
        <w:rPr>
          <w:rFonts w:ascii="Times New Roman" w:hAnsi="Times New Roman" w:cs="B Titr" w:eastAsia="Times New Roman"/>
          <w:b/>
          <w:bCs/>
          <w:color w:val="000000"/>
          <w:sz w:val="30"/>
          <w:szCs w:val="30"/>
          <w:rtl w:val="1"/>
          <w:cs w:val="1"/>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9" w:name="_Toc238572013"/>
      <w:r>
        <w:rPr>
          <w:rFonts w:ascii="Times New Roman" w:hAnsi="Times New Roman" w:cs="B Titr" w:eastAsia="Times New Roman"/>
          <w:b/>
          <w:bCs/>
          <w:color w:val="000000"/>
          <w:sz w:val="30"/>
          <w:szCs w:val="30"/>
          <w:rtl w:val="1"/>
          <w:cs w:val="1"/>
          <w:lang w:bidi="fa-IR"/>
        </w:rPr>
        <w:t xml:space="preserve">۱-۶-۱- تعاریف نظری </w:t>
      </w:r>
      <w:r>
        <w:rPr>
          <w:rFonts w:ascii="Times New Roman" w:hAnsi="Times New Roman" w:cs="B Titr" w:eastAsia="Times New Roman"/>
          <w:b/>
          <w:bCs/>
          <w:color w:val="000000"/>
          <w:sz w:val="30"/>
          <w:szCs w:val="30"/>
          <w:rtl w:val="1"/>
          <w:cs w:val="1"/>
          <w:lang w:bidi="fa-IR"/>
        </w:rPr>
        <w:t>متغیرها</w:t>
      </w:r>
      <w:bookmarkEnd w:id="19"/>
    </w:p>
    <w:p w14:paraId="6DA708E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20" w:name="_Toc238572014"/>
      <w:r>
        <w:rPr>
          <w:rFonts w:ascii="Times New Roman" w:hAnsi="Times New Roman" w:cs="B Titr" w:eastAsia="Times New Roman"/>
          <w:b/>
          <w:bCs/>
          <w:color w:val="000000"/>
          <w:sz w:val="30"/>
          <w:szCs w:val="30"/>
          <w:rtl w:val="1"/>
          <w:cs w:val="1"/>
          <w:lang w:bidi="fa-IR"/>
        </w:rPr>
        <w:t xml:space="preserve">۱-۶-۲- تعاریف عملیاتی </w:t>
      </w:r>
      <w:r>
        <w:rPr>
          <w:rFonts w:ascii="Times New Roman" w:hAnsi="Times New Roman" w:cs="B Titr" w:eastAsia="Times New Roman"/>
          <w:b/>
          <w:bCs/>
          <w:color w:val="000000"/>
          <w:sz w:val="30"/>
          <w:szCs w:val="30"/>
          <w:rtl w:val="1"/>
          <w:cs w:val="1"/>
          <w:lang w:bidi="fa-IR"/>
        </w:rPr>
        <w:t>متغیرها</w:t>
      </w:r>
      <w:bookmarkEnd w:id="20"/>
    </w:p>
    <w:p w14:paraId="68B0A26F" w14:textId="77777777">
      <w:pPr>
        <w:bidi w:val="1"/>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bidi w:val="1"/>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bidi w:val="1"/>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val="1"/>
          <w:cs w:val="1"/>
          <w:lang w:bidi="fa-IR" w:val="en-US"/>
        </w:rPr>
      </w:pPr>
      <w:bookmarkStart w:id="21" w:name="_Toc238572015"/>
      <w:r>
        <w:rPr>
          <w:rFonts w:ascii="Times New Roman" w:hAnsi="Times New Roman" w:cs="B Titr" w:eastAsia="Times New Roman"/>
          <w:b/>
          <w:bCs/>
          <w:color w:val="000000"/>
          <w:sz w:val="56"/>
          <w:szCs w:val="56"/>
          <w:rtl w:val="1"/>
          <w:cs w:val="1"/>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2" w:name="_Toc238572016"/>
      <w:r>
        <w:rPr>
          <w:rFonts w:ascii="Times New Roman" w:hAnsi="Times New Roman" w:cs="B Titr" w:eastAsia="Times New Roman"/>
          <w:b/>
          <w:bCs/>
          <w:color w:val="000000"/>
          <w:sz w:val="30"/>
          <w:szCs w:val="30"/>
          <w:rtl w:val="1"/>
          <w:cs w:val="1"/>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3" w:name="_Toc238572017"/>
      <w:r>
        <w:rPr>
          <w:rFonts w:ascii="Times New Roman" w:hAnsi="Times New Roman" w:cs="B Titr" w:eastAsia="Times New Roman"/>
          <w:b/>
          <w:bCs/>
          <w:color w:val="000000"/>
          <w:sz w:val="30"/>
          <w:szCs w:val="30"/>
          <w:rtl w:val="1"/>
          <w:cs w:val="1"/>
          <w:lang w:bidi="fa-IR"/>
        </w:rPr>
        <w:t>۲-۱-۱- مفهوم سالمندی</w:t>
      </w:r>
      <w:bookmarkEnd w:id="23"/>
    </w:p>
    <w:p w14:paraId="2CA3490E"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سال‌های اخیر،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14:paraId="0F3658C2"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4" w:name="_Toc238572018"/>
      <w:r>
        <w:rPr>
          <w:rFonts w:ascii="Times New Roman" w:hAnsi="Times New Roman" w:cs="B Titr" w:eastAsia="Times New Roman"/>
          <w:b/>
          <w:bCs/>
          <w:color w:val="000000"/>
          <w:sz w:val="30"/>
          <w:szCs w:val="30"/>
          <w:rtl w:val="1"/>
          <w:cs w:val="1"/>
          <w:lang w:bidi="fa-IR"/>
        </w:rPr>
        <w:t xml:space="preserve">۲-۱-۲- نظریه‌های سالمندی</w:t>
      </w:r>
      <w:bookmarkEnd w:id="24"/>
    </w:p>
    <w:p>
      <w:pPr>
        <w:jc w:val="center"/>
        <w:bidi w:val="0"/>
      </w:pPr>
      <w:r>
        <w:drawing>
          <wp:inline distT="0" distB="0" distL="0" distR="0">
            <wp:extent cx="5669280" cy="4297680"/>
            <wp:effectExtent l="0" t="0" r="0" b="0"/>
            <wp:docPr id="20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۱- درختواره نظریه‌های سالمندی (شاخه زیست‌شناختی، روان‌شناختی و جامعه‌شناختی)</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32F7C692" w14:textId="77777777">
      <w:pPr>
        <w:bidi w:val="1"/>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همچنین،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xml:space="preserve">، ۲۰۲۳؛ سازمان جهانی بهداشت، ۲۰۲۰).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5" w:name="_Toc238572019"/>
      <w:r>
        <w:rPr>
          <w:rFonts w:ascii="Times New Roman" w:hAnsi="Times New Roman" w:cs="B Titr" w:eastAsia="Times New Roman"/>
          <w:b/>
          <w:bCs/>
          <w:color w:val="000000"/>
          <w:sz w:val="30"/>
          <w:szCs w:val="30"/>
          <w:rtl w:val="1"/>
          <w:cs w:val="1"/>
          <w:lang w:bidi="fa-IR"/>
        </w:rPr>
        <w:t xml:space="preserve">۲-۱-۲-۱- نظریه‌های زیست شناختی</w:t>
      </w:r>
      <w:bookmarkEnd w:id="25"/>
    </w:p>
    <w:p w14:paraId="484366E1"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7" w:name="_Toc238572020"/>
      <w:r>
        <w:rPr>
          <w:rFonts w:ascii="Times New Roman" w:hAnsi="Times New Roman" w:cs="B Titr" w:eastAsia="Times New Roman"/>
          <w:b/>
          <w:bCs/>
          <w:color w:val="000000"/>
          <w:sz w:val="30"/>
          <w:szCs w:val="30"/>
          <w:rtl w:val="1"/>
          <w:cs w:val="1"/>
          <w:lang w:bidi="fa-IR"/>
        </w:rPr>
        <w:lastRenderedPageBreak/>
        <w:t xml:space="preserve">۲-۱-۲-۱-۱- نظریه ایمنی</w:t>
      </w:r>
      <w:bookmarkEnd w:id="2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پژوهش‌های سال‌های اخیر، مفهوم «التهاب پیری» یا اینفلامجینگ</w:t>
      </w:r>
      <w:r>
        <w:rPr>
          <w:rStyle w:val="FootnoteReference"/>
          <w:rFonts w:ascii="Times New Roman" w:eastAsia="Times New Roman" w:hAnsi="Times New Roman" w:hint="cs" w:cs="Times New Roman"/>
          <w:lang w:bidi="fa-IR" w:val="en-US"/>
          <w:sz w:val="20"/>
          <w:szCs w:val="20"/>
          <w:vertAlign w:val="superscript"/>
          <w:rtl w:val="0"/>
        </w:rPr>
        <w:footnoteReference w:id="106"/>
      </w:r>
      <w:r>
        <w:rPr>
          <w:rFonts w:ascii="Times New Roman" w:hAnsi="Times New Roman" w:eastAsia="Times New Roman" w:cs="B Lotus"/>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Fonts w:ascii="Times New Roman" w:eastAsia="Times New Roman" w:hAnsi="Times New Roman" w:hint="cs" w:cs="Times New Roman"/>
          <w:lang w:bidi="fa-IR" w:val="en-US"/>
          <w:sz w:val="20"/>
          <w:szCs w:val="20"/>
          <w:vertAlign w:val="superscript"/>
          <w:rtl w:val="0"/>
        </w:rPr>
        <w:footnoteReference w:id="107"/>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۲۰۱۸؛ فولپ</w:t>
      </w:r>
      <w:r>
        <w:rPr>
          <w:rStyle w:val="FootnoteReference"/>
          <w:rFonts w:ascii="Times New Roman" w:eastAsia="Times New Roman" w:hAnsi="Times New Roman" w:hint="cs" w:cs="Times New Roman"/>
          <w:lang w:bidi="fa-IR" w:val="en-US"/>
          <w:sz w:val="20"/>
          <w:szCs w:val="20"/>
          <w:vertAlign w:val="superscript"/>
          <w:rtl w:val="0"/>
        </w:rPr>
        <w:footnoteReference w:id="12"/>
      </w:r>
      <w:r>
        <w:rPr>
          <w:rFonts w:ascii="Times New Roman" w:hAnsi="Times New Roman" w:eastAsia="Times New Roman" w:cs="B Lotus"/>
          <w:sz w:val="28"/>
          <w:szCs w:val="28"/>
          <w:rtl/>
          <w:cs/>
          <w:lang w:bidi="fa-IR" w:val="en-US"/>
        </w:rPr>
        <w:t xml:space="preserve"> و همکاران، ۲۰۲۳).</w:t>
      </w:r>
    </w:p>
    <w:p w14:paraId="7CC44E55" w14:textId="77777777">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همچنین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14:paraId="11FE0E24"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8" w:name="_Toc238572021"/>
      <w:r>
        <w:rPr>
          <w:rFonts w:ascii="Times New Roman" w:hAnsi="Times New Roman" w:cs="B Titr" w:eastAsia="Times New Roman"/>
          <w:b/>
          <w:bCs/>
          <w:color w:val="000000"/>
          <w:sz w:val="30"/>
          <w:szCs w:val="30"/>
          <w:rtl w:val="1"/>
          <w:cs w:val="1"/>
          <w:lang w:bidi="fa-IR"/>
        </w:rPr>
        <w:t xml:space="preserve">۲-۱-۲-۱-۲- نظریه پیر شدن سلولی</w:t>
      </w:r>
      <w:bookmarkEnd w:id="28"/>
    </w:p>
    <w:p w14:paraId="5A7126E9" w14:textId="77777777">
      <w:pPr>
        <w:bidi w:val="1"/>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9" w:name="_Toc238572022"/>
      <w:r>
        <w:rPr>
          <w:rFonts w:ascii="Times New Roman" w:hAnsi="Times New Roman" w:cs="B Titr" w:eastAsia="Times New Roman"/>
          <w:b/>
          <w:bCs/>
          <w:color w:val="000000"/>
          <w:sz w:val="30"/>
          <w:szCs w:val="30"/>
          <w:rtl w:val="1"/>
          <w:cs w:val="1"/>
          <w:lang w:bidi="fa-IR"/>
        </w:rPr>
        <w:lastRenderedPageBreak/>
        <w:t xml:space="preserve">۲-۱-۲-۱-۳- نظریه رادیکال آزاد</w:t>
      </w:r>
      <w:bookmarkEnd w:id="29"/>
    </w:p>
    <w:p w14:paraId="79F4BF84" w14:textId="77777777">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 xml:space="preserve">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همچنین،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Style w:val="FootnoteReference"/>
          <w:rFonts w:ascii="Times New Roman" w:eastAsia="Times New Roman" w:hAnsi="Times New Roman" w:hint="cs" w:cs="Times New Roman"/>
          <w:lang w:bidi="fa-IR" w:val="en-US"/>
          <w:sz w:val="20"/>
          <w:szCs w:val="20"/>
          <w:vertAlign w:val="superscript"/>
          <w:rtl w:val="0"/>
        </w:rPr>
        <w:footnoteReference w:id="15"/>
      </w:r>
      <w:r>
        <w:rPr>
          <w:rFonts w:ascii="Times New Roman" w:hAnsi="Times New Roman" w:eastAsia="Times New Roman" w:cs="B Lotus"/>
          <w:sz w:val="28"/>
          <w:szCs w:val="28"/>
          <w:rtl/>
          <w:cs/>
          <w:lang w:bidi="fa-IR" w:val="en-US"/>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0" w:name="_Toc238572023"/>
      <w:r>
        <w:rPr>
          <w:rFonts w:ascii="Times New Roman" w:hAnsi="Times New Roman" w:cs="B Titr" w:eastAsia="Times New Roman"/>
          <w:b/>
          <w:bCs/>
          <w:color w:val="000000"/>
          <w:sz w:val="30"/>
          <w:szCs w:val="30"/>
          <w:rtl w:val="1"/>
          <w:cs w:val="1"/>
          <w:lang w:bidi="fa-IR"/>
        </w:rPr>
        <w:t xml:space="preserve">۲-۱-۲-۲- نظریه‌های روانشناختی</w:t>
      </w:r>
      <w:bookmarkEnd w:id="30"/>
    </w:p>
    <w:p w14:paraId="4520A324"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۲۰۲۱).</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1" w:name="_Toc238572024"/>
      <w:r>
        <w:rPr>
          <w:rFonts w:ascii="Times New Roman" w:hAnsi="Times New Roman" w:cs="B Titr" w:eastAsia="Times New Roman"/>
          <w:b/>
          <w:bCs/>
          <w:color w:val="000000"/>
          <w:sz w:val="30"/>
          <w:szCs w:val="30"/>
          <w:rtl w:val="1"/>
          <w:cs w:val="1"/>
          <w:lang w:bidi="fa-IR"/>
        </w:rPr>
        <w:t xml:space="preserve">۲-۱-۲-۲-۱- نظریه گولد</w:t>
      </w:r>
      <w:bookmarkEnd w:id="31"/>
    </w:p>
    <w:p w14:paraId="20C23824" w14:textId="77777777">
      <w:pPr>
        <w:bidi w:val="1"/>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اگرچه صورت‌بندی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۲۰۲۱).</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2" w:name="_Toc238572025"/>
      <w:r>
        <w:rPr>
          <w:rFonts w:ascii="Times New Roman" w:hAnsi="Times New Roman" w:cs="B Titr" w:eastAsia="Times New Roman"/>
          <w:b/>
          <w:bCs/>
          <w:color w:val="000000"/>
          <w:sz w:val="30"/>
          <w:szCs w:val="30"/>
          <w:rtl w:val="1"/>
          <w:cs w:val="1"/>
          <w:lang w:bidi="fa-IR"/>
        </w:rPr>
        <w:t xml:space="preserve">۲-۱-۲-۲-۲- نظریه لوینسون و شی</w:t>
      </w:r>
      <w:bookmarkEnd w:id="3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صورت‌بندی مرحله‌ای لوینسون</w:t>
      </w:r>
      <w:r>
        <w:rPr>
          <w:rStyle w:val="FootnoteReference"/>
          <w:rFonts w:ascii="Times New Roman" w:eastAsia="Times New Roman" w:hAnsi="Times New Roman" w:hint="cs" w:cs="Times New Roman"/>
          <w:lang w:bidi="fa-IR" w:val="en-US"/>
          <w:sz w:val="20"/>
          <w:szCs w:val="20"/>
          <w:vertAlign w:val="superscript"/>
          <w:rtl w:val="0"/>
        </w:rPr>
        <w:footnoteReference w:id="17"/>
      </w:r>
      <w:r>
        <w:rPr>
          <w:rFonts w:ascii="Times New Roman" w:hAnsi="Times New Roman" w:eastAsia="Times New Roman" w:cs="B Lotus"/>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۲۰۰۶).</w:t>
      </w:r>
    </w:p>
    <w:p w14:paraId="081CFB18" w14:textId="77777777">
      <w:pPr>
        <w:bidi w:val="1"/>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3" w:name="_Toc238572026"/>
      <w:r>
        <w:rPr>
          <w:rFonts w:ascii="Times New Roman" w:hAnsi="Times New Roman" w:cs="B Titr" w:eastAsia="Times New Roman"/>
          <w:b/>
          <w:bCs/>
          <w:color w:val="000000"/>
          <w:sz w:val="30"/>
          <w:szCs w:val="30"/>
          <w:rtl w:val="1"/>
          <w:cs w:val="1"/>
          <w:lang w:bidi="fa-IR"/>
        </w:rPr>
        <w:t xml:space="preserve">۲-۱-۲-۲-۳- نظریه اریکسون</w:t>
      </w:r>
      <w:bookmarkEnd w:id="33"/>
    </w:p>
    <w:p w14:paraId="624436C2" w14:textId="77777777">
      <w:pPr>
        <w:bidi w:val="1"/>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Style w:val="FootnoteReference"/>
          <w:rFonts w:ascii="Times New Roman" w:eastAsia="Times New Roman" w:hAnsi="Times New Roman" w:hint="cs" w:cs="Times New Roman"/>
          <w:lang w:bidi="fa-IR" w:val="en-US"/>
          <w:sz w:val="20"/>
          <w:szCs w:val="20"/>
          <w:vertAlign w:val="superscript"/>
          <w:rtl w:val="0"/>
        </w:rPr>
        <w:footnoteReference w:id="19"/>
      </w:r>
      <w:r>
        <w:rPr>
          <w:rFonts w:ascii="Times New Roman" w:hAnsi="Times New Roman" w:eastAsia="Times New Roman" w:cs="B Lotus"/>
          <w:sz w:val="28"/>
          <w:szCs w:val="28"/>
          <w:rtl/>
          <w:cs/>
          <w:lang w:bidi="fa-IR" w:val="en-US"/>
        </w:rPr>
        <w:t xml:space="preserve"> همچنان برای فهم سازگاری و سلامت روان سالمندان راهگشا است (وسترهاف</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eastAsia="Times New Roman" w:cs="B Lotus"/>
          <w:sz w:val="28"/>
          <w:szCs w:val="28"/>
          <w:rtl/>
          <w:cs/>
          <w:lang w:bidi="fa-IR" w:val="en-US"/>
        </w:rPr>
        <w:t>، بولمایر</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eastAsia="Times New Roman" w:cs="B Lotus"/>
          <w:sz w:val="28"/>
          <w:szCs w:val="28"/>
          <w:rtl/>
          <w:cs/>
          <w:lang w:bidi="fa-IR" w:val="en-US"/>
        </w:rPr>
        <w:t xml:space="preserve"> و مک‌آدامز</w:t>
      </w:r>
      <w:r>
        <w:rPr>
          <w:rStyle w:val="FootnoteReference"/>
          <w:rFonts w:ascii="Times New Roman" w:eastAsia="Times New Roman" w:hAnsi="Times New Roman" w:hint="cs" w:cs="Times New Roman"/>
          <w:lang w:bidi="fa-IR" w:val="en-US"/>
          <w:sz w:val="20"/>
          <w:szCs w:val="20"/>
          <w:vertAlign w:val="superscript"/>
          <w:rtl w:val="0"/>
        </w:rPr>
        <w:footnoteReference w:id="111"/>
      </w:r>
      <w:r>
        <w:rPr>
          <w:rFonts w:ascii="Times New Roman" w:hAnsi="Times New Roman" w:eastAsia="Times New Roman" w:cs="B Lotus"/>
          <w:sz w:val="28"/>
          <w:szCs w:val="28"/>
          <w:rtl/>
          <w:cs/>
          <w:lang w:bidi="fa-IR" w:val="en-US"/>
        </w:rPr>
        <w:t>، ۲۰۱۷).</w:t>
      </w:r>
    </w:p>
    <w:p>
      <w:pPr>
        <w:pStyle w:val="Heading5"/>
        <w:bidi w:val="1"/>
        <w:spacing w:after="120" w:line="276" w:lineRule="auto"/>
        <w:jc w:val="right"/>
        <w:rPr>
          <w:rFonts w:ascii="Times New Roman" w:hAnsi="Times New Roman" w:eastAsia="Times New Roman" w:cs="B Titr"/>
          <w:rtl w:val="1"/>
          <w:cs w:val="1"/>
          <w:lang w:bidi="fa-IR" w:val="en-US"/>
        </w:rPr>
      </w:pPr>
      <w:bookmarkStart w:id="5002" w:name="_Toc238572200"/>
      <w:r>
        <w:rPr>
          <w:rFonts w:ascii="Times New Roman" w:hAnsi="Times New Roman" w:eastAsia="Times New Roman" w:cs="B Titr"/>
          <w:b/>
          <w:bCs/>
          <w:sz w:val="28"/>
          <w:szCs w:val="28"/>
          <w:rtl w:val="1"/>
          <w:cs w:val="1"/>
          <w:lang w:bidi="fa-IR" w:val="en-US"/>
        </w:rPr>
        <w:t>۲-۱-۲-۲-۴- نظریه انتخاب اجتماعی-هیجانی</w:t>
      </w:r>
      <w:bookmarkEnd w:id="500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انتخاب اجتماعی-هیجانی</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xml:space="preserve"> که توسط لورا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Fonts w:ascii="Times New Roman" w:eastAsia="Times New Roman" w:hAnsi="Times New Roman" w:hint="cs" w:cs="Times New Roman"/>
          <w:lang w:bidi="fa-IR" w:val="en-US"/>
          <w:sz w:val="20"/>
          <w:szCs w:val="20"/>
          <w:vertAlign w:val="superscript"/>
          <w:rtl w:val="0"/>
        </w:rPr>
        <w:footnoteReference w:id="113"/>
      </w:r>
      <w:r>
        <w:rPr>
          <w:rFonts w:ascii="Times New Roman" w:hAnsi="Times New Roman" w:eastAsia="Times New Roman" w:cs="B Lotus"/>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آیزاکوویتز</w:t>
      </w:r>
      <w:r>
        <w:rPr>
          <w:rStyle w:val="FootnoteReference"/>
          <w:rFonts w:ascii="Times New Roman" w:eastAsia="Times New Roman" w:hAnsi="Times New Roman" w:hint="cs" w:cs="Times New Roman"/>
          <w:lang w:bidi="fa-IR" w:val="en-US"/>
          <w:sz w:val="20"/>
          <w:szCs w:val="20"/>
          <w:vertAlign w:val="superscript"/>
          <w:rtl w:val="0"/>
        </w:rPr>
        <w:footnoteReference w:id="114"/>
      </w:r>
      <w:r>
        <w:rPr>
          <w:rFonts w:ascii="Times New Roman" w:hAnsi="Times New Roman" w:eastAsia="Times New Roman" w:cs="B Lotus"/>
          <w:sz w:val="28"/>
          <w:szCs w:val="28"/>
          <w:rtl/>
          <w:cs/>
          <w:lang w:bidi="fa-IR" w:val="en-US"/>
        </w:rPr>
        <w:t xml:space="preserve"> و چارلز</w:t>
      </w:r>
      <w:r>
        <w:rPr>
          <w:rStyle w:val="FootnoteReference"/>
          <w:rFonts w:ascii="Times New Roman" w:eastAsia="Times New Roman" w:hAnsi="Times New Roman" w:hint="cs" w:cs="Times New Roman"/>
          <w:lang w:bidi="fa-IR" w:val="en-US"/>
          <w:sz w:val="20"/>
          <w:szCs w:val="20"/>
          <w:vertAlign w:val="superscript"/>
          <w:rtl w:val="0"/>
        </w:rPr>
        <w:footnoteReference w:id="115"/>
      </w:r>
      <w:r>
        <w:rPr>
          <w:rFonts w:ascii="Times New Roman" w:hAnsi="Times New Roman" w:eastAsia="Times New Roman" w:cs="B Lotus"/>
          <w:sz w:val="28"/>
          <w:szCs w:val="28"/>
          <w:rtl/>
          <w:cs/>
          <w:lang w:bidi="fa-IR" w:val="en-US"/>
        </w:rPr>
        <w:t>، ۱۹۹۹؛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۲۰۰۶؛ رید</w:t>
      </w:r>
      <w:r>
        <w:rPr>
          <w:rStyle w:val="FootnoteReference"/>
          <w:rFonts w:ascii="Times New Roman" w:eastAsia="Times New Roman" w:hAnsi="Times New Roman" w:hint="cs" w:cs="Times New Roman"/>
          <w:lang w:bidi="fa-IR" w:val="en-US"/>
          <w:sz w:val="20"/>
          <w:szCs w:val="20"/>
          <w:vertAlign w:val="superscript"/>
          <w:rtl w:val="0"/>
        </w:rPr>
        <w:footnoteReference w:id="116"/>
      </w:r>
      <w:r>
        <w:rPr>
          <w:rFonts w:ascii="Times New Roman" w:hAnsi="Times New Roman" w:eastAsia="Times New Roman" w:cs="B Lotus"/>
          <w:sz w:val="28"/>
          <w:szCs w:val="28"/>
          <w:rtl/>
          <w:cs/>
          <w:lang w:bidi="fa-IR" w:val="en-US"/>
        </w:rPr>
        <w:t>، چان</w:t>
      </w:r>
      <w:r>
        <w:rPr>
          <w:rStyle w:val="FootnoteReference"/>
          <w:rFonts w:ascii="Times New Roman" w:eastAsia="Times New Roman" w:hAnsi="Times New Roman" w:hint="cs" w:cs="Times New Roman"/>
          <w:lang w:bidi="fa-IR" w:val="en-US"/>
          <w:sz w:val="20"/>
          <w:szCs w:val="20"/>
          <w:vertAlign w:val="superscript"/>
          <w:rtl w:val="0"/>
        </w:rPr>
        <w:footnoteReference w:id="117"/>
      </w:r>
      <w:r>
        <w:rPr>
          <w:rFonts w:ascii="Times New Roman" w:hAnsi="Times New Roman" w:eastAsia="Times New Roman" w:cs="B Lotus"/>
          <w:sz w:val="28"/>
          <w:szCs w:val="28"/>
          <w:rtl/>
          <w:cs/>
          <w:lang w:bidi="fa-IR" w:val="en-US"/>
        </w:rPr>
        <w:t xml:space="preserve"> و مایکلز</w:t>
      </w:r>
      <w:r>
        <w:rPr>
          <w:rStyle w:val="FootnoteReference"/>
          <w:rFonts w:ascii="Times New Roman" w:eastAsia="Times New Roman" w:hAnsi="Times New Roman" w:hint="cs" w:cs="Times New Roman"/>
          <w:lang w:bidi="fa-IR" w:val="en-US"/>
          <w:sz w:val="20"/>
          <w:szCs w:val="20"/>
          <w:vertAlign w:val="superscript"/>
          <w:rtl w:val="0"/>
        </w:rPr>
        <w:footnoteReference w:id="118"/>
      </w:r>
      <w:r>
        <w:rPr>
          <w:rFonts w:ascii="Times New Roman" w:hAnsi="Times New Roman" w:eastAsia="Times New Roman" w:cs="B Lotus"/>
          <w:sz w:val="28"/>
          <w:szCs w:val="28"/>
          <w:rtl/>
          <w:cs/>
          <w:lang w:bidi="fa-IR" w:val="en-US"/>
        </w:rPr>
        <w:t>، ۲۰۱۴؛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۲۰۲۱).</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4" w:name="_Toc238572027"/>
      <w:r>
        <w:rPr>
          <w:rFonts w:ascii="Times New Roman" w:hAnsi="Times New Roman" w:cs="B Titr" w:eastAsia="Times New Roman"/>
          <w:b/>
          <w:bCs/>
          <w:color w:val="000000"/>
          <w:sz w:val="30"/>
          <w:szCs w:val="30"/>
          <w:rtl w:val="1"/>
          <w:cs w:val="1"/>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6" w:name="_Toc238572028"/>
      <w:r>
        <w:rPr>
          <w:rFonts w:ascii="Times New Roman" w:hAnsi="Times New Roman" w:cs="B Titr" w:eastAsia="Times New Roman"/>
          <w:b/>
          <w:bCs/>
          <w:color w:val="000000"/>
          <w:sz w:val="30"/>
          <w:szCs w:val="30"/>
          <w:rtl w:val="1"/>
          <w:cs w:val="1"/>
          <w:lang w:bidi="fa-IR"/>
        </w:rPr>
        <w:t xml:space="preserve">۲-۱-۲-۳-۱- نظریه عدم تعهد</w:t>
      </w:r>
      <w:bookmarkEnd w:id="36"/>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14:paraId="31775D5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7" w:name="_Toc238572029"/>
      <w:r>
        <w:rPr>
          <w:rFonts w:ascii="Times New Roman" w:hAnsi="Times New Roman" w:cs="B Titr" w:eastAsia="Times New Roman"/>
          <w:b/>
          <w:bCs/>
          <w:color w:val="000000"/>
          <w:sz w:val="30"/>
          <w:szCs w:val="30"/>
          <w:rtl w:val="1"/>
          <w:cs w:val="1"/>
          <w:lang w:bidi="fa-IR"/>
        </w:rPr>
        <w:t xml:space="preserve">۲-۱-۲-۳-۲- نظریه فعالیت</w:t>
      </w:r>
      <w:bookmarkEnd w:id="3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Fonts w:ascii="Times New Roman" w:eastAsia="Times New Roman" w:hAnsi="Times New Roman" w:hint="cs" w:cs="Times New Roman"/>
          <w:lang w:bidi="fa-IR" w:val="en-US"/>
          <w:sz w:val="20"/>
          <w:szCs w:val="20"/>
          <w:vertAlign w:val="superscript"/>
          <w:rtl w:val="0"/>
        </w:rPr>
        <w:footnoteReference w:id="119"/>
      </w:r>
      <w:r>
        <w:rPr>
          <w:rFonts w:ascii="Times New Roman" w:hAnsi="Times New Roman" w:eastAsia="Times New Roman" w:cs="B Lotus"/>
          <w:sz w:val="28"/>
          <w:szCs w:val="28"/>
          <w:rtl/>
          <w:cs/>
          <w:lang w:bidi="fa-IR" w:val="en-US"/>
        </w:rPr>
        <w:t xml:space="preserve"> و کان</w:t>
      </w:r>
      <w:r>
        <w:rPr>
          <w:rStyle w:val="FootnoteReference"/>
          <w:rFonts w:ascii="Times New Roman" w:eastAsia="Times New Roman" w:hAnsi="Times New Roman" w:hint="cs" w:cs="Times New Roman"/>
          <w:lang w:bidi="fa-IR" w:val="en-US"/>
          <w:sz w:val="20"/>
          <w:szCs w:val="20"/>
          <w:vertAlign w:val="superscript"/>
          <w:rtl w:val="0"/>
        </w:rPr>
        <w:footnoteReference w:id="120"/>
      </w:r>
      <w:r>
        <w:rPr>
          <w:rFonts w:ascii="Times New Roman" w:hAnsi="Times New Roman" w:eastAsia="Times New Roman" w:cs="B Lotus"/>
          <w:sz w:val="28"/>
          <w:szCs w:val="28"/>
          <w:rtl/>
          <w:cs/>
          <w:lang w:bidi="fa-IR" w:val="en-US"/>
        </w:rPr>
        <w:t>، ۲۰۱۵).</w:t>
      </w:r>
    </w:p>
    <w:p w14:paraId="146A3D73" w14:textId="77777777">
      <w:pPr>
        <w:bidi w:val="1"/>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8" w:name="_Toc238572030"/>
      <w:r>
        <w:rPr>
          <w:rFonts w:ascii="Times New Roman" w:hAnsi="Times New Roman" w:cs="B Titr" w:eastAsia="Times New Roman"/>
          <w:b/>
          <w:bCs/>
          <w:color w:val="000000"/>
          <w:sz w:val="30"/>
          <w:szCs w:val="30"/>
          <w:rtl w:val="1"/>
          <w:cs w:val="1"/>
          <w:lang w:bidi="fa-IR"/>
        </w:rPr>
        <w:t xml:space="preserve">۲-۱-۲-۳-۳- نظریه مبادله یا تعامل</w:t>
      </w:r>
      <w:bookmarkEnd w:id="38"/>
    </w:p>
    <w:p w14:paraId="5EA435A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9" w:name="_Toc238572031"/>
      <w:r>
        <w:rPr>
          <w:rFonts w:ascii="Times New Roman" w:hAnsi="Times New Roman" w:cs="B Titr" w:eastAsia="Times New Roman"/>
          <w:b/>
          <w:bCs/>
          <w:color w:val="000000"/>
          <w:sz w:val="30"/>
          <w:szCs w:val="30"/>
          <w:rtl w:val="1"/>
          <w:cs w:val="1"/>
          <w:lang w:bidi="fa-IR"/>
        </w:rPr>
        <w:t xml:space="preserve">۲-۱-۲-۳-۴- نظریه استمرار</w:t>
      </w:r>
      <w:bookmarkEnd w:id="39"/>
    </w:p>
    <w:p w14:paraId="1A70B65D"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Style w:val="FootnoteReference"/>
          <w:rFonts w:ascii="Times New Roman" w:eastAsia="Times New Roman" w:hAnsi="Times New Roman" w:hint="cs" w:cs="Times New Roman"/>
          <w:lang w:bidi="fa-IR" w:val="en-US"/>
          <w:sz w:val="20"/>
          <w:szCs w:val="20"/>
          <w:vertAlign w:val="superscript"/>
          <w:rtl w:val="0"/>
        </w:rPr>
        <w:footnoteReference w:id="23"/>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0" w:name="_Toc238572032"/>
      <w:r>
        <w:rPr>
          <w:rFonts w:ascii="Times New Roman" w:hAnsi="Times New Roman" w:cs="B Titr" w:eastAsia="Times New Roman"/>
          <w:b/>
          <w:bCs/>
          <w:color w:val="000000"/>
          <w:sz w:val="30"/>
          <w:szCs w:val="30"/>
          <w:rtl w:val="1"/>
          <w:cs w:val="1"/>
          <w:lang w:bidi="fa-IR"/>
        </w:rPr>
        <w:t>۲-۲- گستره دوم: اضطراب مرگ</w:t>
      </w:r>
      <w:bookmarkEnd w:id="40"/>
    </w:p>
    <w:p>
      <w:pPr>
        <w:jc w:val="center"/>
        <w:bidi w:val="0"/>
      </w:pPr>
      <w:r>
        <w:drawing>
          <wp:inline distT="0" distB="0" distL="0" distR="0">
            <wp:extent cx="5669280" cy="3063240"/>
            <wp:effectExtent l="0" t="0" r="0" b="0"/>
            <wp:docPr id="220"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۲- درختواره اضطراب مرگ (نظریه‌ها، ابعاد، عوامل و پیامدها)</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1" w:name="_Toc238572033"/>
      <w:r>
        <w:rPr>
          <w:rFonts w:ascii="Times New Roman" w:hAnsi="Times New Roman" w:cs="B Titr" w:eastAsia="Times New Roman"/>
          <w:b/>
          <w:bCs/>
          <w:color w:val="000000"/>
          <w:sz w:val="30"/>
          <w:szCs w:val="30"/>
          <w:rtl w:val="1"/>
          <w:cs w:val="1"/>
          <w:lang w:bidi="fa-IR"/>
        </w:rPr>
        <w:t>۲-۲-۱- مفهوم اضطراب مرگ</w:t>
      </w:r>
      <w:bookmarkEnd w:id="41"/>
    </w:p>
    <w:p w14:paraId="5473E586"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3" w:name="_Toc238572034"/>
      <w:r>
        <w:rPr>
          <w:rFonts w:ascii="Times New Roman" w:hAnsi="Times New Roman" w:cs="B Titr" w:eastAsia="Times New Roman"/>
          <w:b/>
          <w:bCs/>
          <w:color w:val="000000"/>
          <w:sz w:val="30"/>
          <w:szCs w:val="30"/>
          <w:rtl w:val="1"/>
          <w:cs w:val="1"/>
          <w:lang w:bidi="fa-IR"/>
        </w:rPr>
        <w:lastRenderedPageBreak/>
        <w:t xml:space="preserve">۲-۲-۲- </w:t>
      </w:r>
      <w:r>
        <w:rPr>
          <w:rFonts w:ascii="Times New Roman" w:hAnsi="Times New Roman" w:cs="B Titr" w:eastAsia="Times New Roman"/>
          <w:b/>
          <w:bCs/>
          <w:color w:val="000000"/>
          <w:sz w:val="30"/>
          <w:szCs w:val="30"/>
          <w:rtl w:val="1"/>
          <w:cs w:val="1"/>
          <w:lang w:bidi="fa-IR"/>
        </w:rPr>
        <w:t>نظریه‌های</w:t>
      </w:r>
      <w:r>
        <w:rPr>
          <w:rFonts w:ascii="Times New Roman" w:hAnsi="Times New Roman" w:cs="B Titr" w:eastAsia="Times New Roman"/>
          <w:b/>
          <w:bCs/>
          <w:color w:val="000000"/>
          <w:sz w:val="30"/>
          <w:szCs w:val="30"/>
          <w:rtl w:val="1"/>
          <w:cs w:val="1"/>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4" w:name="_Toc238572035"/>
      <w:r>
        <w:rPr>
          <w:rFonts w:ascii="Times New Roman" w:hAnsi="Times New Roman" w:cs="B Titr" w:eastAsia="Times New Roman"/>
          <w:b/>
          <w:bCs/>
          <w:color w:val="000000"/>
          <w:sz w:val="30"/>
          <w:szCs w:val="30"/>
          <w:rtl w:val="1"/>
          <w:cs w:val="1"/>
          <w:lang w:bidi="fa-IR"/>
        </w:rPr>
        <w:t>۲-۲-۲-۱- نظریه فروید (</w:t>
      </w:r>
      <w:r>
        <w:rPr>
          <w:rFonts w:ascii="Times New Roman" w:hAnsi="Times New Roman" w:cs="B Titr" w:eastAsia="Times New Roman"/>
          <w:b/>
          <w:bCs/>
          <w:color w:val="000000"/>
          <w:sz w:val="30"/>
          <w:szCs w:val="30"/>
          <w:rtl w:val="1"/>
          <w:cs w:val="1"/>
          <w:lang w:bidi="fa-IR"/>
        </w:rPr>
        <w:t>روان‌تحلیل‌گری</w:t>
      </w:r>
      <w:r>
        <w:rPr>
          <w:rFonts w:ascii="Times New Roman" w:hAnsi="Times New Roman" w:cs="B Titr" w:eastAsia="Times New Roman"/>
          <w:b/>
          <w:bCs/>
          <w:color w:val="000000"/>
          <w:sz w:val="30"/>
          <w:szCs w:val="30"/>
          <w:rtl w:val="1"/>
          <w:cs w:val="1"/>
          <w:lang w:bidi="fa-IR"/>
        </w:rPr>
        <w:t>)</w:t>
      </w:r>
      <w:bookmarkEnd w:id="44"/>
    </w:p>
    <w:p w14:paraId="49CE6BEC" w14:textId="77777777">
      <w:pPr>
        <w:bidi w:val="1"/>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پژوهش‌های متأخر کمتر از تبیین کاملاً ناهشیار فروید</w:t>
      </w:r>
      <w:r>
        <w:rPr>
          <w:rStyle w:val="FootnoteReference"/>
          <w:rFonts w:ascii="Times New Roman" w:eastAsia="Times New Roman" w:hAnsi="Times New Roman" w:hint="cs" w:cs="Times New Roman"/>
          <w:lang w:bidi="fa-IR" w:val="en-US"/>
          <w:sz w:val="20"/>
          <w:szCs w:val="20"/>
          <w:vertAlign w:val="superscript"/>
          <w:rtl w:val="0"/>
        </w:rPr>
        <w:footnoteReference w:id="31"/>
      </w:r>
      <w:r>
        <w:rPr>
          <w:rFonts w:ascii="Times New Roman" w:hAnsi="Times New Roman" w:eastAsia="Times New Roman" w:cs="B Lotus"/>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6" w:name="_Toc238572036"/>
      <w:r>
        <w:rPr>
          <w:rFonts w:ascii="Times New Roman" w:hAnsi="Times New Roman" w:cs="B Titr" w:eastAsia="Times New Roman"/>
          <w:b/>
          <w:bCs/>
          <w:color w:val="000000"/>
          <w:sz w:val="30"/>
          <w:szCs w:val="30"/>
          <w:rtl w:val="1"/>
          <w:cs w:val="1"/>
          <w:lang w:bidi="fa-IR"/>
        </w:rPr>
        <w:t xml:space="preserve">۲-۲-۲-۲- نظریه </w:t>
      </w:r>
      <w:r>
        <w:rPr>
          <w:rFonts w:ascii="Times New Roman" w:hAnsi="Times New Roman" w:cs="B Titr" w:eastAsia="Times New Roman"/>
          <w:b/>
          <w:bCs/>
          <w:color w:val="000000"/>
          <w:sz w:val="30"/>
          <w:szCs w:val="30"/>
          <w:rtl w:val="1"/>
          <w:cs w:val="1"/>
          <w:lang w:bidi="fa-IR"/>
        </w:rPr>
        <w:t>یالوم</w:t>
      </w:r>
      <w:r>
        <w:rPr>
          <w:rFonts w:ascii="Times New Roman" w:hAnsi="Times New Roman" w:cs="B Titr" w:eastAsia="Times New Roman"/>
          <w:b/>
          <w:bCs/>
          <w:color w:val="000000"/>
          <w:sz w:val="30"/>
          <w:szCs w:val="30"/>
          <w:rtl w:val="1"/>
          <w:cs w:val="1"/>
          <w:lang w:bidi="fa-IR"/>
        </w:rPr>
        <w:t xml:space="preserve"> (</w:t>
      </w:r>
      <w:r>
        <w:rPr>
          <w:rFonts w:ascii="Times New Roman" w:hAnsi="Times New Roman" w:cs="B Titr" w:eastAsia="Times New Roman"/>
          <w:b/>
          <w:bCs/>
          <w:color w:val="000000"/>
          <w:sz w:val="30"/>
          <w:szCs w:val="30"/>
          <w:rtl w:val="1"/>
          <w:cs w:val="1"/>
          <w:lang w:bidi="fa-IR"/>
        </w:rPr>
        <w:t>وجودگرایی</w:t>
      </w:r>
      <w:r>
        <w:rPr>
          <w:rFonts w:ascii="Times New Roman" w:hAnsi="Times New Roman" w:cs="B Titr" w:eastAsia="Times New Roman"/>
          <w:b/>
          <w:bCs/>
          <w:color w:val="000000"/>
          <w:sz w:val="30"/>
          <w:szCs w:val="30"/>
          <w:rtl w:val="1"/>
          <w:cs w:val="1"/>
          <w:lang w:bidi="fa-IR"/>
        </w:rPr>
        <w:t>)</w:t>
      </w:r>
      <w:bookmarkEnd w:id="46"/>
    </w:p>
    <w:p w14:paraId="4FE7C253" w14:textId="77777777">
      <w:pPr>
        <w:bidi w:val="1"/>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رویکردهای وجودی معاصر همچنان بر چهار دغدغه یالوم</w:t>
      </w:r>
      <w:r>
        <w:rPr>
          <w:rStyle w:val="FootnoteReference"/>
          <w:rFonts w:ascii="Times New Roman" w:eastAsia="Times New Roman" w:hAnsi="Times New Roman" w:hint="cs" w:cs="Times New Roman"/>
          <w:lang w:bidi="fa-IR" w:val="en-US"/>
          <w:sz w:val="20"/>
          <w:szCs w:val="20"/>
          <w:vertAlign w:val="superscript"/>
          <w:rtl w:val="0"/>
        </w:rPr>
        <w:footnoteReference w:id="80"/>
      </w:r>
      <w:r>
        <w:rPr>
          <w:rFonts w:ascii="Times New Roman" w:hAnsi="Times New Roman" w:eastAsia="Times New Roman" w:cs="B Lotus"/>
          <w:sz w:val="28"/>
          <w:szCs w:val="28"/>
          <w:rtl/>
          <w:cs/>
          <w:lang w:bidi="fa-IR" w:val="en-US"/>
        </w:rPr>
        <w:t xml:space="preserve"> تأکید دارند؛ در کنار آن، نظریه مدیریت معنا</w:t>
      </w:r>
      <w:r>
        <w:rPr>
          <w:rStyle w:val="FootnoteReference"/>
          <w:rFonts w:ascii="Times New Roman" w:eastAsia="Times New Roman" w:hAnsi="Times New Roman" w:hint="cs" w:cs="Times New Roman"/>
          <w:lang w:bidi="fa-IR" w:val="en-US"/>
          <w:sz w:val="20"/>
          <w:szCs w:val="20"/>
          <w:vertAlign w:val="superscript"/>
          <w:rtl w:val="0"/>
        </w:rPr>
        <w:footnoteReference w:id="124"/>
      </w:r>
      <w:r>
        <w:rPr>
          <w:rFonts w:ascii="Times New Roman" w:hAnsi="Times New Roman" w:eastAsia="Times New Roman" w:cs="B Lotus"/>
          <w:sz w:val="28"/>
          <w:szCs w:val="28"/>
          <w:rtl/>
          <w:cs/>
          <w:lang w:bidi="fa-IR" w:val="en-US"/>
        </w:rPr>
        <w:t xml:space="preserve"> بیان می‌کند که معناجویی و پذیرش مرگ، مسیر سازگاری سالم‌تر در مواجهه با فناپذیری است (وانگ</w:t>
      </w:r>
      <w:r>
        <w:rPr>
          <w:rStyle w:val="FootnoteReference"/>
          <w:rFonts w:ascii="Times New Roman" w:eastAsia="Times New Roman" w:hAnsi="Times New Roman" w:hint="cs" w:cs="Times New Roman"/>
          <w:lang w:bidi="fa-IR" w:val="en-US"/>
          <w:sz w:val="20"/>
          <w:szCs w:val="20"/>
          <w:vertAlign w:val="superscript"/>
          <w:rtl w:val="0"/>
        </w:rPr>
        <w:footnoteReference w:id="125"/>
      </w:r>
      <w:r>
        <w:rPr>
          <w:rFonts w:ascii="Times New Roman" w:hAnsi="Times New Roman" w:eastAsia="Times New Roman" w:cs="B Lotus"/>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8" w:name="_Toc238572037"/>
      <w:r>
        <w:rPr>
          <w:rFonts w:ascii="Times New Roman" w:hAnsi="Times New Roman" w:cs="B Titr" w:eastAsia="Times New Roman"/>
          <w:b/>
          <w:bCs/>
          <w:color w:val="000000"/>
          <w:sz w:val="30"/>
          <w:szCs w:val="30"/>
          <w:rtl w:val="1"/>
          <w:cs w:val="1"/>
          <w:lang w:bidi="fa-IR"/>
        </w:rPr>
        <w:t>۲-۲-۲-۳- نظریه مدیریت وحشت (</w:t>
      </w:r>
      <w:r>
        <w:rPr>
          <w:rFonts w:ascii="Times New Roman" w:hAnsi="Times New Roman" w:cs="B Titr" w:eastAsia="Times New Roman"/>
          <w:b/>
          <w:bCs/>
          <w:color w:val="000000"/>
          <w:sz w:val="30"/>
          <w:szCs w:val="30"/>
          <w:rtl w:val="1"/>
          <w:cs w:val="1"/>
          <w:lang w:bidi="fa-IR" w:val="en-US"/>
        </w:rPr>
        <w:t>TMT)</w:t>
      </w:r>
      <w:bookmarkEnd w:id="48"/>
    </w:p>
    <w:p w14:paraId="4B5542D5" w14:textId="77777777">
      <w:pPr>
        <w:bidi w:val="1"/>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9" w:name="_Toc238572038"/>
      <w:r>
        <w:rPr>
          <w:rFonts w:ascii="Times New Roman" w:hAnsi="Times New Roman" w:cs="B Titr" w:eastAsia="Times New Roman"/>
          <w:b/>
          <w:bCs/>
          <w:color w:val="000000"/>
          <w:sz w:val="30"/>
          <w:szCs w:val="30"/>
          <w:rtl w:val="1"/>
          <w:cs w:val="1"/>
          <w:lang w:bidi="fa-IR"/>
        </w:rPr>
        <w:t>۲-۲-۲-۴- نظریه دلبستگی</w:t>
      </w:r>
      <w:bookmarkEnd w:id="49"/>
    </w:p>
    <w:p w14:paraId="7311123B" w14:textId="77777777">
      <w:pPr>
        <w:bidi w:val="1"/>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0" w:name="_Toc238572039"/>
      <w:r>
        <w:rPr>
          <w:rFonts w:ascii="Times New Roman" w:hAnsi="Times New Roman" w:cs="B Titr" w:eastAsia="Times New Roman"/>
          <w:b/>
          <w:bCs/>
          <w:color w:val="000000"/>
          <w:sz w:val="30"/>
          <w:szCs w:val="30"/>
          <w:rtl w:val="1"/>
          <w:cs w:val="1"/>
          <w:lang w:bidi="fa-IR"/>
        </w:rPr>
        <w:lastRenderedPageBreak/>
        <w:t>۲-۲-۳- ابعاد اضطراب مرگ</w:t>
      </w:r>
      <w:bookmarkEnd w:id="50"/>
    </w:p>
    <w:p w14:paraId="1050A04F" w14:textId="77777777">
      <w:pPr>
        <w:bidi w:val="1"/>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1" w:name="_Toc238572040"/>
      <w:r>
        <w:rPr>
          <w:rFonts w:ascii="Times New Roman" w:hAnsi="Times New Roman" w:cs="B Titr" w:eastAsia="Times New Roman"/>
          <w:b/>
          <w:bCs/>
          <w:color w:val="000000"/>
          <w:sz w:val="30"/>
          <w:szCs w:val="30"/>
          <w:rtl w:val="1"/>
          <w:cs w:val="1"/>
          <w:lang w:bidi="fa-IR"/>
        </w:rPr>
        <w:t>۲-۲-۴- عوامل مؤثر بر اضطراب مرگ در سالمندان</w:t>
      </w:r>
      <w:bookmarkEnd w:id="51"/>
    </w:p>
    <w:p w14:paraId="14442CB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2" w:name="_Toc238572041"/>
      <w:r>
        <w:rPr>
          <w:rFonts w:ascii="Times New Roman" w:hAnsi="Times New Roman" w:cs="B Titr" w:eastAsia="Times New Roman"/>
          <w:b/>
          <w:bCs/>
          <w:color w:val="000000"/>
          <w:sz w:val="30"/>
          <w:szCs w:val="30"/>
          <w:rtl w:val="1"/>
          <w:cs w:val="1"/>
          <w:lang w:bidi="fa-IR"/>
        </w:rPr>
        <w:t>۲-۲-۵- اضطراب مرگ و سالمندی</w:t>
      </w:r>
      <w:bookmarkEnd w:id="52"/>
    </w:p>
    <w:p w14:paraId="4A610D42"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3" w:name="_Toc238572042"/>
      <w:r>
        <w:rPr>
          <w:rFonts w:ascii="Times New Roman" w:hAnsi="Times New Roman" w:cs="B Titr" w:eastAsia="Times New Roman"/>
          <w:b/>
          <w:bCs/>
          <w:color w:val="000000"/>
          <w:sz w:val="30"/>
          <w:szCs w:val="30"/>
          <w:rtl w:val="1"/>
          <w:cs w:val="1"/>
          <w:lang w:bidi="fa-IR"/>
        </w:rPr>
        <w:t>۲-۲-۶- پیامدهای اضطراب مرگ</w:t>
      </w:r>
      <w:bookmarkEnd w:id="53"/>
    </w:p>
    <w:p w14:paraId="54DBB1F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bidi w:val="1"/>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5" w:name="_Toc238572043"/>
      <w:r>
        <w:rPr>
          <w:rFonts w:ascii="Times New Roman" w:hAnsi="Times New Roman" w:cs="B Titr" w:eastAsia="Times New Roman"/>
          <w:b/>
          <w:bCs/>
          <w:color w:val="000000"/>
          <w:sz w:val="30"/>
          <w:szCs w:val="30"/>
          <w:rtl w:val="1"/>
          <w:cs w:val="1"/>
          <w:lang w:bidi="fa-IR"/>
        </w:rPr>
        <w:lastRenderedPageBreak/>
        <w:t>۲-۳- گستره سوم: هوش معنوی</w:t>
      </w:r>
      <w:bookmarkEnd w:id="55"/>
    </w:p>
    <w:p>
      <w:pPr>
        <w:jc w:val="center"/>
        <w:bidi w:val="0"/>
      </w:pPr>
      <w:r>
        <w:drawing>
          <wp:inline distT="0" distB="0" distL="0" distR="0">
            <wp:extent cx="5669280" cy="3246120"/>
            <wp:effectExtent l="0" t="0" r="0" b="0"/>
            <wp:docPr id="240"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۳- درختواره هوش معنوی (مفهوم، فضیلت‌گرایی، عوامل و مدل چهارعاملی کینگ)</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7" w:name="_Toc238572044"/>
      <w:r>
        <w:rPr>
          <w:rFonts w:ascii="Times New Roman" w:hAnsi="Times New Roman" w:cs="B Titr" w:eastAsia="Times New Roman"/>
          <w:b/>
          <w:bCs/>
          <w:color w:val="000000"/>
          <w:sz w:val="30"/>
          <w:szCs w:val="30"/>
          <w:rtl w:val="1"/>
          <w:cs w:val="1"/>
          <w:lang w:bidi="fa-IR"/>
        </w:rPr>
        <w:t>۲-۳-۱- مفهوم هوش معنوی</w:t>
      </w:r>
      <w:bookmarkEnd w:id="57"/>
    </w:p>
    <w:p w14:paraId="772319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14:paraId="196F15DD"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val="1"/>
          <w:cs w:val="1"/>
          <w:lang w:bidi="fa-IR"/>
        </w:rPr>
        <w:t>۲-۳-۲- دیدگاه فضیلت گرایانه به هوش معنوی</w:t>
      </w:r>
      <w:bookmarkEnd w:id="59"/>
    </w:p>
    <w:p w14:paraId="6F06039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Fonts w:ascii="Times New Roman" w:eastAsia="Times New Roman" w:hAnsi="Times New Roman" w:hint="cs" w:cs="Times New Roman"/>
          <w:lang w:bidi="fa-IR" w:val="en-US"/>
          <w:sz w:val="20"/>
          <w:szCs w:val="20"/>
          <w:vertAlign w:val="superscript"/>
          <w:rtl w:val="0"/>
        </w:rPr>
        <w:footnoteReference w:id="96"/>
      </w:r>
      <w:r>
        <w:rPr>
          <w:rFonts w:ascii="Times New Roman" w:hAnsi="Times New Roman" w:eastAsia="Times New Roman" w:cs="B Lotus"/>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14:paraId="1877310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60" w:name="_Toc238572046"/>
      <w:r>
        <w:rPr>
          <w:rFonts w:ascii="Times New Roman" w:hAnsi="Times New Roman" w:cs="B Titr" w:eastAsia="Times New Roman"/>
          <w:b/>
          <w:bCs/>
          <w:color w:val="000000"/>
          <w:kern w:val="32"/>
          <w:sz w:val="30"/>
          <w:szCs w:val="30"/>
          <w:rtl w:val="1"/>
          <w:cs w:val="1"/>
          <w:lang w:bidi="fa-IR"/>
        </w:rPr>
        <w:t xml:space="preserve">۲-۳-۳- عوامل مؤثر بر هوش معنوی</w:t>
      </w:r>
      <w:bookmarkEnd w:id="58"/>
      <w:bookmarkEnd w:id="60"/>
    </w:p>
    <w:p w14:paraId="39BF5CC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rPr>
          <w:rFonts w:ascii="Times New Roman" w:hAnsi="Times New Roman" w:eastAsia="Times New Roman" w:cs="B Titr"/>
          <w:rtl w:val="1"/>
          <w:cs w:val="1"/>
          <w:lang w:bidi="fa-IR" w:val="en-US"/>
        </w:rPr>
      </w:pPr>
      <w:bookmarkStart w:id="5003" w:name="_Toc238572201"/>
      <w:r>
        <w:rPr>
          <w:rFonts w:ascii="Times New Roman" w:hAnsi="Times New Roman" w:eastAsia="Times New Roman" w:cs="B Titr"/>
          <w:b/>
          <w:bCs/>
          <w:sz w:val="28"/>
          <w:szCs w:val="28"/>
          <w:rtl w:val="1"/>
          <w:cs w:val="1"/>
          <w:lang w:bidi="fa-IR" w:val="en-US"/>
        </w:rPr>
        <w:t>۲-۳-۴- مدل چهارعاملی هوش معنوی کینگ</w:t>
      </w:r>
      <w:bookmarkEnd w:id="5003"/>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و دی‌سیکو</w:t>
      </w:r>
      <w:r>
        <w:rPr>
          <w:rStyle w:val="FootnoteReference"/>
          <w:rFonts w:ascii="Times New Roman" w:eastAsia="Times New Roman" w:hAnsi="Times New Roman" w:hint="cs" w:cs="Times New Roman"/>
          <w:lang w:bidi="fa-IR" w:val="en-US"/>
          <w:sz w:val="20"/>
          <w:szCs w:val="20"/>
          <w:vertAlign w:val="superscript"/>
          <w:rtl w:val="0"/>
        </w:rPr>
        <w:footnoteReference w:id="126"/>
      </w:r>
      <w:r>
        <w:rPr>
          <w:rFonts w:ascii="Times New Roman" w:hAnsi="Times New Roman" w:eastAsia="Times New Roman" w:cs="B Lotus"/>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1" w:name="_Toc238572047"/>
      <w:r>
        <w:rPr>
          <w:rFonts w:ascii="Times New Roman" w:hAnsi="Times New Roman" w:cs="B Titr" w:eastAsia="Times New Roman"/>
          <w:b/>
          <w:bCs/>
          <w:color w:val="000000"/>
          <w:sz w:val="30"/>
          <w:szCs w:val="30"/>
          <w:rtl w:val="1"/>
          <w:cs w:val="1"/>
          <w:lang w:bidi="fa-IR"/>
        </w:rPr>
        <w:t>۲-۴- گستره چهارم: اضطراب سلامتی</w:t>
      </w:r>
      <w:bookmarkEnd w:id="61"/>
    </w:p>
    <w:p>
      <w:pPr>
        <w:jc w:val="center"/>
        <w:bidi w:val="0"/>
      </w:pPr>
      <w:r>
        <w:drawing>
          <wp:inline distT="0" distB="0" distL="0" distR="0">
            <wp:extent cx="5669280" cy="3154680"/>
            <wp:effectExtent l="0" t="0" r="0" b="0"/>
            <wp:docPr id="260"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۴- درختواره اضطراب سلامت (مفهوم، مدل‌های نظری، عوامل و مداخلات)</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2" w:name="_Toc238572048"/>
      <w:r>
        <w:rPr>
          <w:rFonts w:ascii="Times New Roman" w:hAnsi="Times New Roman" w:cs="B Titr" w:eastAsia="Times New Roman"/>
          <w:b/>
          <w:bCs/>
          <w:color w:val="000000"/>
          <w:sz w:val="30"/>
          <w:szCs w:val="30"/>
          <w:rtl w:val="1"/>
          <w:cs w:val="1"/>
          <w:lang w:bidi="fa-IR"/>
        </w:rPr>
        <w:t>۲-۴-۱- مفهوم اضطراب سلامتی</w:t>
      </w:r>
      <w:bookmarkEnd w:id="62"/>
    </w:p>
    <w:p w14:paraId="6DCB5BA4"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bidi w:val="1"/>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bidi w:val="1"/>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Style w:val="FootnoteReference"/>
          <w:rFonts w:ascii="Times New Roman" w:eastAsia="Times New Roman" w:hAnsi="Times New Roman" w:hint="cs" w:cs="Times New Roman"/>
          <w:lang w:bidi="fa-IR" w:val="en-US"/>
          <w:sz w:val="20"/>
          <w:szCs w:val="20"/>
          <w:vertAlign w:val="superscript"/>
          <w:rtl w:val="0"/>
        </w:rPr>
        <w:footnoteReference w:id="105"/>
      </w:r>
      <w:r>
        <w:rPr>
          <w:rFonts w:ascii="Times New Roman" w:hAnsi="Times New Roman" w:eastAsia="Times New Roman" w:cs="B Lotus"/>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Style w:val="FootnoteReference"/>
          <w:rFonts w:ascii="Times New Roman" w:eastAsia="Times New Roman" w:hAnsi="Times New Roman" w:hint="cs" w:cs="Times New Roman"/>
          <w:lang w:bidi="fa-IR" w:val="en-US"/>
          <w:sz w:val="20"/>
          <w:szCs w:val="20"/>
          <w:vertAlign w:val="superscript"/>
          <w:rtl w:val="0"/>
        </w:rPr>
        <w:footnoteReference w:id="56"/>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۲۰۲۲؛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65" w:name="_Toc238572049"/>
      <w:r>
        <w:rPr>
          <w:rFonts w:ascii="Times New Roman" w:hAnsi="Times New Roman" w:cs="B Titr" w:eastAsia="Times New Roman"/>
          <w:b/>
          <w:bCs/>
          <w:color w:val="000000"/>
          <w:sz w:val="30"/>
          <w:szCs w:val="30"/>
          <w:rtl w:val="1"/>
          <w:cs w:val="1"/>
          <w:lang w:bidi="fa-IR"/>
        </w:rPr>
        <w:lastRenderedPageBreak/>
        <w:t xml:space="preserve">۲-۴-۲- </w:t>
      </w:r>
      <w:r>
        <w:rPr>
          <w:rFonts w:ascii="Times New Roman" w:hAnsi="Times New Roman" w:cs="B Titr" w:eastAsia="Times New Roman"/>
          <w:b/>
          <w:bCs/>
          <w:color w:val="000000"/>
          <w:sz w:val="30"/>
          <w:szCs w:val="30"/>
          <w:rtl w:val="1"/>
          <w:cs w:val="1"/>
          <w:lang w:bidi="fa-IR"/>
        </w:rPr>
        <w:t>مدل‌های</w:t>
      </w:r>
      <w:r>
        <w:rPr>
          <w:rFonts w:ascii="Times New Roman" w:hAnsi="Times New Roman" w:cs="B Titr" w:eastAsia="Times New Roman"/>
          <w:b/>
          <w:bCs/>
          <w:color w:val="000000"/>
          <w:sz w:val="30"/>
          <w:szCs w:val="30"/>
          <w:rtl w:val="1"/>
          <w:cs w:val="1"/>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7" w:name="_Toc238572050"/>
      <w:r>
        <w:rPr>
          <w:rFonts w:ascii="Times New Roman" w:hAnsi="Times New Roman" w:cs="B Titr" w:eastAsia="Times New Roman"/>
          <w:b/>
          <w:bCs/>
          <w:color w:val="000000"/>
          <w:sz w:val="30"/>
          <w:szCs w:val="30"/>
          <w:rtl w:val="1"/>
          <w:cs w:val="1"/>
          <w:lang w:bidi="fa-IR"/>
        </w:rPr>
        <w:t>۲-۴-۲-۱- مدل شناختی-رفتاری</w:t>
      </w:r>
      <w:bookmarkEnd w:id="67"/>
    </w:p>
    <w:p w14:paraId="456B13ED"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صورت‌بندی کلاسیک این مدل را سالکوویس</w:t>
      </w:r>
      <w:r>
        <w:rPr>
          <w:rStyle w:val="FootnoteReference"/>
          <w:rFonts w:ascii="Times New Roman" w:eastAsia="Times New Roman" w:hAnsi="Times New Roman" w:hint="cs" w:cs="Times New Roman"/>
          <w:lang w:bidi="fa-IR" w:val="en-US"/>
          <w:sz w:val="20"/>
          <w:szCs w:val="20"/>
          <w:vertAlign w:val="superscript"/>
          <w:rtl w:val="0"/>
        </w:rPr>
        <w:footnoteReference w:id="87"/>
      </w:r>
      <w:r>
        <w:rPr>
          <w:rFonts w:ascii="Times New Roman" w:hAnsi="Times New Roman" w:eastAsia="Times New Roman" w:cs="B Lotus"/>
          <w:sz w:val="28"/>
          <w:szCs w:val="28"/>
          <w:rtl/>
          <w:cs/>
          <w:lang w:bidi="fa-IR" w:val="en-US"/>
        </w:rPr>
        <w:t xml:space="preserve"> و وارویک</w:t>
      </w:r>
      <w:r>
        <w:rPr>
          <w:rStyle w:val="FootnoteReference"/>
          <w:rFonts w:ascii="Times New Roman" w:eastAsia="Times New Roman" w:hAnsi="Times New Roman" w:hint="cs" w:cs="Times New Roman"/>
          <w:lang w:bidi="fa-IR" w:val="en-US"/>
          <w:sz w:val="20"/>
          <w:szCs w:val="20"/>
          <w:vertAlign w:val="superscript"/>
          <w:rtl w:val="0"/>
        </w:rPr>
        <w:footnoteReference w:id="127"/>
      </w:r>
      <w:r>
        <w:rPr>
          <w:rFonts w:ascii="Times New Roman" w:hAnsi="Times New Roman" w:eastAsia="Times New Roman" w:cs="B Lotus"/>
          <w:sz w:val="28"/>
          <w:szCs w:val="28"/>
          <w:rtl/>
          <w:cs/>
          <w:lang w:bidi="fa-IR" w:val="en-US"/>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۱- باور به احتمال بالا یا حتی قطعی بودن ابتلا به بیماری، یا وجود پنهان آن؛</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۲- باور به وحشتناکی پیامدهای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۳- باور به ناتوانی فرد در مقابله با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۴- باور به ناکافی‌بودن یا غیرقابل‌اعتماد بودن خدمات پزشکی (سالکوویس و وارویک، ۱۹۹۰؛ تیلور</w:t>
      </w:r>
      <w:r>
        <w:rPr>
          <w:rStyle w:val="FootnoteReference"/>
          <w:rFonts w:ascii="Times New Roman" w:eastAsia="Times New Roman" w:hAnsi="Times New Roman" w:hint="cs" w:cs="Times New Roman"/>
          <w:lang w:bidi="fa-IR" w:val="en-US"/>
          <w:sz w:val="20"/>
          <w:szCs w:val="20"/>
          <w:vertAlign w:val="superscript"/>
          <w:rtl w:val="0"/>
        </w:rPr>
        <w:footnoteReference w:id="54"/>
      </w:r>
      <w:r>
        <w:rPr>
          <w:rFonts w:ascii="Times New Roman" w:hAnsi="Times New Roman" w:eastAsia="Times New Roman" w:cs="B Lotus"/>
          <w:sz w:val="28"/>
          <w:szCs w:val="28"/>
          <w:rtl/>
          <w:cs/>
          <w:lang w:bidi="fa-IR" w:val="en-US"/>
        </w:rPr>
        <w:t xml:space="preserve"> و آسموندسون</w:t>
      </w:r>
      <w:r>
        <w:rPr>
          <w:rStyle w:val="FootnoteReference"/>
          <w:rFonts w:ascii="Times New Roman" w:eastAsia="Times New Roman" w:hAnsi="Times New Roman" w:hint="cs" w:cs="Times New Roman"/>
          <w:lang w:bidi="fa-IR" w:val="en-US"/>
          <w:sz w:val="20"/>
          <w:szCs w:val="20"/>
          <w:vertAlign w:val="superscript"/>
          <w:rtl w:val="0"/>
        </w:rPr>
        <w:footnoteReference w:id="49"/>
      </w:r>
      <w:r>
        <w:rPr>
          <w:rFonts w:ascii="Times New Roman" w:hAnsi="Times New Roman" w:eastAsia="Times New Roman" w:cs="B Lotus"/>
          <w:sz w:val="28"/>
          <w:szCs w:val="28"/>
          <w:rtl/>
          <w:cs/>
          <w:lang w:bidi="fa-IR" w:val="en-US"/>
        </w:rPr>
        <w:t>،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xml:space="preserve"> و سالکووسکیس</w:t>
      </w:r>
      <w:r>
        <w:rPr>
          <w:rStyle w:val="FootnoteReference"/>
          <w:rFonts w:ascii="Times New Roman" w:eastAsia="Times New Roman" w:hAnsi="Times New Roman" w:hint="cs" w:cs="Times New Roman"/>
          <w:lang w:bidi="fa-IR" w:val="en-US"/>
          <w:sz w:val="20"/>
          <w:szCs w:val="20"/>
          <w:vertAlign w:val="superscript"/>
          <w:rtl w:val="0"/>
        </w:rPr>
        <w:footnoteReference w:id="87"/>
      </w:r>
      <w:r>
        <w:rPr>
          <w:rFonts w:ascii="Times New Roman" w:hAnsi="Times New Roman" w:eastAsia="Times New Roman" w:cs="B Lotus"/>
          <w:sz w:val="28"/>
          <w:szCs w:val="28"/>
          <w:rtl/>
          <w:cs/>
          <w:lang w:bidi="fa-IR" w:val="en-US"/>
        </w:rPr>
        <w:t>، ۲۰۲۳؛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 تیلور و آسموندسون،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در سالمندی همین چرخه غالباً بر بستر نشانه‌های جسمانی واقعی، بیماری مزمن و مراجعات پزشکی مکرر عمل می‌کند؛ بنابراین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۲۰۲۳؛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و همکاران، ۲۰۲۲؛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 بک</w:t>
      </w:r>
      <w:r>
        <w:rPr>
          <w:rStyle w:val="FootnoteReference"/>
          <w:rFonts w:ascii="Times New Roman" w:eastAsia="Times New Roman" w:hAnsi="Times New Roman" w:hint="cs" w:cs="Times New Roman"/>
          <w:lang w:bidi="fa-IR" w:val="en-US"/>
          <w:sz w:val="20"/>
          <w:szCs w:val="20"/>
          <w:vertAlign w:val="superscript"/>
          <w:rtl w:val="0"/>
        </w:rPr>
        <w:footnoteReference w:id="63"/>
      </w:r>
      <w:r>
        <w:rPr>
          <w:rFonts w:ascii="Times New Roman" w:hAnsi="Times New Roman" w:eastAsia="Times New Roman" w:cs="B Lotus"/>
          <w:sz w:val="28"/>
          <w:szCs w:val="28"/>
          <w:rtl/>
          <w:cs/>
          <w:lang w:bidi="fa-IR" w:val="en-US"/>
        </w:rPr>
        <w:t xml:space="preserve"> و هایگ</w:t>
      </w:r>
      <w:r>
        <w:rPr>
          <w:rStyle w:val="FootnoteReference"/>
          <w:rFonts w:ascii="Times New Roman" w:eastAsia="Times New Roman" w:hAnsi="Times New Roman" w:hint="cs" w:cs="Times New Roman"/>
          <w:lang w:bidi="fa-IR" w:val="en-US"/>
          <w:sz w:val="20"/>
          <w:szCs w:val="20"/>
          <w:vertAlign w:val="superscript"/>
          <w:rtl w:val="0"/>
        </w:rPr>
        <w:footnoteReference w:id="130"/>
      </w:r>
      <w:r>
        <w:rPr>
          <w:rFonts w:ascii="Times New Roman" w:hAnsi="Times New Roman" w:eastAsia="Times New Roman" w:cs="B Lotus"/>
          <w:sz w:val="28"/>
          <w:szCs w:val="28"/>
          <w:rtl/>
          <w:cs/>
          <w:lang w:bidi="fa-IR" w:val="en-US"/>
        </w:rPr>
        <w:t>، ۲۰۱۴).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۲۰۲۳؛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9" w:name="_Toc238572051"/>
      <w:r>
        <w:rPr>
          <w:rFonts w:ascii="Times New Roman" w:hAnsi="Times New Roman" w:cs="B Titr" w:eastAsia="Times New Roman"/>
          <w:b/>
          <w:bCs/>
          <w:color w:val="000000"/>
          <w:sz w:val="30"/>
          <w:szCs w:val="30"/>
          <w:rtl w:val="1"/>
          <w:cs w:val="1"/>
          <w:lang w:bidi="fa-IR"/>
        </w:rPr>
        <w:t>۲-۴-۲-۲- مدل زیستی-روانی-اجتماعی</w:t>
      </w:r>
      <w:bookmarkEnd w:id="69"/>
    </w:p>
    <w:p w14:paraId="64F4397F"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0" w:name="_Toc238572052"/>
      <w:r>
        <w:rPr>
          <w:rFonts w:ascii="Times New Roman" w:hAnsi="Times New Roman" w:cs="B Titr" w:eastAsia="Times New Roman"/>
          <w:b/>
          <w:bCs/>
          <w:color w:val="000000"/>
          <w:sz w:val="30"/>
          <w:szCs w:val="30"/>
          <w:rtl w:val="1"/>
          <w:cs w:val="1"/>
          <w:lang w:bidi="fa-IR"/>
        </w:rPr>
        <w:t>۲-۴-۲-۳- مدل دلبستگی</w:t>
      </w:r>
      <w:bookmarkEnd w:id="70"/>
    </w:p>
    <w:p w14:paraId="4B22398F"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31"/>
      </w:r>
      <w:r>
        <w:rPr>
          <w:rFonts w:ascii="Times New Roman" w:hAnsi="Times New Roman" w:eastAsia="Times New Roman" w:cs="B Lotus"/>
          <w:sz w:val="28"/>
          <w:szCs w:val="28"/>
          <w:rtl/>
          <w:cs/>
          <w:lang w:bidi="fa-IR" w:val="en-US"/>
        </w:rPr>
        <w:t xml:space="preserve"> و ایشیک</w:t>
      </w:r>
      <w:r>
        <w:rPr>
          <w:rStyle w:val="FootnoteReference"/>
          <w:rFonts w:ascii="Times New Roman" w:eastAsia="Times New Roman" w:hAnsi="Times New Roman" w:hint="cs" w:cs="Times New Roman"/>
          <w:lang w:bidi="fa-IR" w:val="en-US"/>
          <w:sz w:val="20"/>
          <w:szCs w:val="20"/>
          <w:vertAlign w:val="superscript"/>
          <w:rtl w:val="0"/>
        </w:rPr>
        <w:footnoteReference w:id="13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دلبستگی بالبی</w:t>
      </w:r>
      <w:r>
        <w:rPr>
          <w:rStyle w:val="FootnoteReference"/>
          <w:rFonts w:ascii="Times New Roman" w:eastAsia="Times New Roman" w:hAnsi="Times New Roman" w:hint="cs" w:cs="Times New Roman"/>
          <w:lang w:bidi="fa-IR" w:val="en-US"/>
          <w:sz w:val="20"/>
          <w:szCs w:val="20"/>
          <w:vertAlign w:val="superscript"/>
          <w:rtl w:val="0"/>
        </w:rPr>
        <w:footnoteReference w:id="98"/>
      </w:r>
      <w:r>
        <w:rPr>
          <w:rFonts w:ascii="Times New Roman" w:hAnsi="Times New Roman" w:eastAsia="Times New Roman" w:cs="B Lotus"/>
          <w:sz w:val="28"/>
          <w:szCs w:val="28"/>
          <w:rtl/>
          <w:cs/>
          <w:lang w:bidi="fa-IR" w:val="en-US"/>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مدل بین‌فردی خودبیمارانگاری که استوارت</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از جمله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1" w:name="_Toc238572053"/>
      <w:r>
        <w:rPr>
          <w:rFonts w:ascii="Times New Roman" w:hAnsi="Times New Roman" w:cs="B Titr" w:eastAsia="Times New Roman"/>
          <w:b/>
          <w:bCs/>
          <w:color w:val="000000"/>
          <w:sz w:val="30"/>
          <w:szCs w:val="30"/>
          <w:rtl w:val="1"/>
          <w:cs w:val="1"/>
          <w:lang w:bidi="fa-IR"/>
        </w:rPr>
        <w:t>۲-۴-۳- سالمندی و اضطراب سلامت</w:t>
      </w:r>
      <w:bookmarkEnd w:id="71"/>
    </w:p>
    <w:p w14:paraId="5786D2C2"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14:paraId="6A5047B2"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شفیعی و همکاران، ۲۰۲۵).</w:t>
      </w:r>
    </w:p>
    <w:p w14:paraId="24DB7519"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bidi w:val="1"/>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3" w:name="_Toc238572054"/>
      <w:r>
        <w:rPr>
          <w:rFonts w:ascii="Times New Roman" w:hAnsi="Times New Roman" w:cs="B Titr" w:eastAsia="Times New Roman"/>
          <w:b/>
          <w:bCs/>
          <w:color w:val="000000"/>
          <w:sz w:val="30"/>
          <w:szCs w:val="30"/>
          <w:rtl w:val="1"/>
          <w:cs w:val="1"/>
          <w:lang w:bidi="fa-IR"/>
        </w:rPr>
        <w:t xml:space="preserve">۲-۴-۴- عوامل </w:t>
      </w:r>
      <w:r>
        <w:rPr>
          <w:rFonts w:ascii="Times New Roman" w:hAnsi="Times New Roman" w:cs="B Titr" w:eastAsia="Times New Roman"/>
          <w:b/>
          <w:bCs/>
          <w:color w:val="000000"/>
          <w:sz w:val="30"/>
          <w:szCs w:val="30"/>
          <w:rtl w:val="1"/>
          <w:cs w:val="1"/>
          <w:lang w:bidi="fa-IR"/>
        </w:rPr>
        <w:t>زمینه‌ساز</w:t>
      </w:r>
      <w:r>
        <w:rPr>
          <w:rFonts w:ascii="Times New Roman" w:hAnsi="Times New Roman" w:cs="B Titr" w:eastAsia="Times New Roman"/>
          <w:b/>
          <w:bCs/>
          <w:color w:val="000000"/>
          <w:sz w:val="30"/>
          <w:szCs w:val="30"/>
          <w:rtl w:val="1"/>
          <w:cs w:val="1"/>
          <w:lang w:bidi="fa-IR"/>
        </w:rPr>
        <w:t xml:space="preserve"> اضطراب</w:t>
      </w:r>
      <w:bookmarkEnd w:id="73"/>
    </w:p>
    <w:p w14:paraId="3E0E6B6F"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bidi w:val="1"/>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bidi w:val="1"/>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4" w:name="_Toc238572055"/>
      <w:r>
        <w:rPr>
          <w:rFonts w:ascii="Times New Roman" w:hAnsi="Times New Roman" w:cs="B Titr" w:eastAsia="Times New Roman"/>
          <w:b/>
          <w:bCs/>
          <w:color w:val="000000"/>
          <w:sz w:val="30"/>
          <w:szCs w:val="30"/>
          <w:rtl w:val="1"/>
          <w:cs w:val="1"/>
          <w:lang w:bidi="fa-IR"/>
        </w:rPr>
        <w:t>۲-۴-۵- مداخلات معطوف به کاهش اضطراب سلامت سالمندان</w:t>
      </w:r>
      <w:bookmarkEnd w:id="74"/>
    </w:p>
    <w:p w14:paraId="51F54099" w14:textId="77777777">
      <w:pPr>
        <w:bidi w:val="1"/>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bidi w:val="1"/>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bidi w:val="1"/>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bidi w:val="1"/>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75" w:name="_Toc238572056"/>
      <w:r>
        <w:rPr>
          <w:rFonts w:ascii="Times New Roman" w:hAnsi="Times New Roman" w:cs="B Titr" w:eastAsia="Times New Roman"/>
          <w:b/>
          <w:bCs/>
          <w:color w:val="000000"/>
          <w:sz w:val="30"/>
          <w:szCs w:val="30"/>
          <w:rtl w:val="1"/>
          <w:cs w:val="1"/>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6" w:name="_Toc238572057"/>
      <w:r>
        <w:rPr>
          <w:rFonts w:ascii="Times New Roman" w:hAnsi="Times New Roman" w:cs="B Titr" w:eastAsia="Times New Roman"/>
          <w:b/>
          <w:bCs/>
          <w:color w:val="000000"/>
          <w:sz w:val="30"/>
          <w:szCs w:val="30"/>
          <w:rtl w:val="1"/>
          <w:cs w:val="1"/>
          <w:lang w:bidi="fa-IR"/>
        </w:rPr>
        <w:t xml:space="preserve">۲-۵-۱- پیشینه داخلی</w:t>
      </w:r>
      <w:bookmarkEnd w:id="76"/>
    </w:p>
    <w:p w14:paraId="7731F1CE"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7" w:name="_Toc238572058"/>
      <w:r>
        <w:rPr>
          <w:rFonts w:ascii="Times New Roman" w:hAnsi="Times New Roman" w:cs="B Titr" w:eastAsia="Times New Roman"/>
          <w:b/>
          <w:bCs/>
          <w:color w:val="000000"/>
          <w:sz w:val="30"/>
          <w:szCs w:val="30"/>
          <w:rtl w:val="1"/>
          <w:cs w:val="1"/>
          <w:lang w:bidi="fa-IR"/>
        </w:rPr>
        <w:t>۲-۵-۲- پیشینه خارجی</w:t>
      </w:r>
      <w:bookmarkEnd w:id="77"/>
    </w:p>
    <w:p w14:paraId="320E3D12"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است.</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78" w:name="_Toc238572059"/>
      <w:r>
        <w:rPr>
          <w:rFonts w:ascii="Times New Roman" w:hAnsi="Times New Roman" w:cs="B Titr" w:eastAsia="Times New Roman"/>
          <w:b/>
          <w:bCs/>
          <w:color w:val="000000"/>
          <w:sz w:val="56"/>
          <w:szCs w:val="56"/>
          <w:rtl w:val="1"/>
          <w:cs w:val="1"/>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9" w:name="_Toc238572060"/>
      <w:r>
        <w:rPr>
          <w:rFonts w:ascii="Times New Roman" w:hAnsi="Times New Roman" w:cs="B Titr" w:eastAsia="Times New Roman"/>
          <w:b/>
          <w:bCs/>
          <w:color w:val="000000"/>
          <w:sz w:val="30"/>
          <w:szCs w:val="30"/>
          <w:rtl w:val="1"/>
          <w:cs w:val="1"/>
          <w:lang w:bidi="fa-IR"/>
        </w:rPr>
        <w:lastRenderedPageBreak/>
        <w:t>۳-۱- طرح پژوهش</w:t>
      </w:r>
      <w:bookmarkEnd w:id="79"/>
    </w:p>
    <w:p w14:paraId="2981B68E" w14:textId="77777777">
      <w:pPr>
        <w:bidi w:val="1"/>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0" w:name="_Toc238572061"/>
      <w:r>
        <w:rPr>
          <w:rFonts w:ascii="Times New Roman" w:hAnsi="Times New Roman" w:cs="B Titr" w:eastAsia="Times New Roman"/>
          <w:b/>
          <w:bCs/>
          <w:color w:val="000000"/>
          <w:sz w:val="30"/>
          <w:szCs w:val="30"/>
          <w:rtl w:val="1"/>
          <w:cs w:val="1"/>
          <w:lang w:bidi="fa-IR"/>
        </w:rPr>
        <w:t xml:space="preserve">۳-۲- جامعه، نمونه و روش نمونه‌گیری</w:t>
      </w:r>
      <w:bookmarkEnd w:id="80"/>
    </w:p>
    <w:p w14:paraId="2937E5F2" w14:textId="4CE88DDD">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با توجه به 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1" w:name="_Toc238572062"/>
      <w:r>
        <w:rPr>
          <w:rFonts w:ascii="Times New Roman" w:hAnsi="Times New Roman" w:cs="B Titr" w:eastAsia="Times New Roman"/>
          <w:b/>
          <w:bCs/>
          <w:color w:val="000000"/>
          <w:sz w:val="30"/>
          <w:szCs w:val="30"/>
          <w:rtl w:val="1"/>
          <w:cs w:val="1"/>
          <w:lang w:bidi="fa-IR"/>
        </w:rPr>
        <w:t>۳-۳- ابزار پژوهش</w:t>
      </w:r>
      <w:bookmarkEnd w:id="81"/>
    </w:p>
    <w:p w14:paraId="42209556" w14:textId="77777777">
      <w:pPr>
        <w:bidi w:val="1"/>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2" w:name="_Toc238572063"/>
      <w:r>
        <w:rPr>
          <w:rFonts w:ascii="Times New Roman" w:hAnsi="Times New Roman" w:cs="B Titr" w:eastAsia="Times New Roman"/>
          <w:b/>
          <w:bCs/>
          <w:color w:val="000000"/>
          <w:sz w:val="30"/>
          <w:szCs w:val="30"/>
          <w:rtl w:val="1"/>
          <w:cs w:val="1"/>
          <w:lang w:bidi="fa-IR"/>
        </w:rPr>
        <w:t>۳-۳-۱- پرسشنامه هوش معنوی کینگ:</w:t>
      </w:r>
      <w:bookmarkEnd w:id="82"/>
    </w:p>
    <w:p w14:paraId="6BA5CAEF" w14:textId="77777777">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همچنین 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lastRenderedPageBreak/>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3" w:name="_Toc238572064"/>
      <w:r>
        <w:rPr>
          <w:rFonts w:ascii="Times New Roman" w:hAnsi="Times New Roman" w:cs="B Titr" w:eastAsia="Times New Roman"/>
          <w:b/>
          <w:bCs/>
          <w:color w:val="000000"/>
          <w:sz w:val="30"/>
          <w:szCs w:val="30"/>
          <w:rtl w:val="1"/>
          <w:cs w:val="1"/>
          <w:lang w:bidi="fa-IR"/>
        </w:rPr>
        <w:t xml:space="preserve">۳-۳-۲- پرسشنامه اضطراب مرگ (DAS)</w:t>
      </w:r>
      <w:r>
        <w:rPr>
          <w:rFonts w:ascii="Times New Roman" w:hAnsi="Times New Roman" w:cs="B Titr" w:eastAsia="Times New Roman"/>
          <w:b/>
          <w:bCs/>
          <w:color w:val="000000"/>
          <w:sz w:val="30"/>
          <w:szCs w:val="30"/>
          <w:rtl w:val="1"/>
          <w:cs w:val="1"/>
          <w:lang w:bidi="fa-IR" w:val="en-US"/>
        </w:rPr>
        <w:t xml:space="preserve"/>
      </w:r>
      <w:bookmarkEnd w:id="83"/>
    </w:p>
    <w:p w14:paraId="5A9676E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4" w:name="_Toc238572065"/>
      <w:r>
        <w:rPr>
          <w:rFonts w:ascii="Times New Roman" w:hAnsi="Times New Roman" w:cs="B Titr" w:eastAsia="Times New Roman"/>
          <w:b/>
          <w:bCs/>
          <w:color w:val="000000"/>
          <w:sz w:val="30"/>
          <w:szCs w:val="30"/>
          <w:rtl w:val="1"/>
          <w:cs w:val="1"/>
          <w:lang w:bidi="fa-IR"/>
        </w:rPr>
        <w:t xml:space="preserve">۳-۳-۳- پرسشنامه اضطراب سلامتی (HAI)</w:t>
      </w:r>
      <w:r>
        <w:rPr>
          <w:rFonts w:ascii="Times New Roman" w:hAnsi="Times New Roman" w:cs="B Titr" w:eastAsia="Times New Roman"/>
          <w:b/>
          <w:bCs/>
          <w:color w:val="000000"/>
          <w:sz w:val="30"/>
          <w:szCs w:val="30"/>
          <w:rtl w:val="1"/>
          <w:cs w:val="1"/>
          <w:lang w:bidi="fa-IR" w:val="en-US"/>
        </w:rPr>
        <w:t/>
      </w:r>
      <w:bookmarkEnd w:id="84"/>
    </w:p>
    <w:p w14:paraId="228F810E" w14:textId="77777777">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5" w:name="_Toc107794912"/>
      <w:bookmarkStart w:id="86" w:name="_Toc238572066"/>
      <w:r>
        <w:rPr>
          <w:rFonts w:ascii="Times New Roman" w:hAnsi="Times New Roman" w:cs="B Titr" w:eastAsia="Times New Roman"/>
          <w:b/>
          <w:bCs/>
          <w:color w:val="000000"/>
          <w:sz w:val="30"/>
          <w:szCs w:val="30"/>
          <w:rtl w:val="1"/>
          <w:cs w:val="1"/>
          <w:lang w:bidi="fa-IR"/>
        </w:rPr>
        <w:t xml:space="preserve">۳-۴- روش اجرای پژوهش</w:t>
      </w:r>
      <w:bookmarkEnd w:id="85"/>
      <w:bookmarkEnd w:id="86"/>
    </w:p>
    <w:p w14:paraId="766EA293" w14:textId="13CE6418">
      <w:pPr>
        <w:bidi w:val="1"/>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8" w:name="_Toc238572067"/>
      <w:r>
        <w:rPr>
          <w:rFonts w:ascii="Times New Roman" w:hAnsi="Times New Roman" w:cs="B Titr" w:eastAsia="Times New Roman"/>
          <w:b/>
          <w:bCs/>
          <w:color w:val="000000"/>
          <w:sz w:val="30"/>
          <w:szCs w:val="30"/>
          <w:rtl w:val="1"/>
          <w:cs w:val="1"/>
          <w:lang w:bidi="fa-IR"/>
        </w:rPr>
        <w:t xml:space="preserve">۳-۵- روش تجزیه و تحلیل داده‌ها</w:t>
      </w:r>
      <w:bookmarkEnd w:id="87"/>
      <w:bookmarkEnd w:id="88"/>
    </w:p>
    <w:p w14:paraId="326A488A"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89" w:name="_Toc238572068"/>
      <w:r>
        <w:rPr>
          <w:rFonts w:ascii="Times New Roman" w:hAnsi="Times New Roman" w:cs="B Titr" w:eastAsia="Times New Roman"/>
          <w:b/>
          <w:bCs/>
          <w:color w:val="000000"/>
          <w:sz w:val="56"/>
          <w:szCs w:val="56"/>
          <w:rtl w:val="1"/>
          <w:cs w:val="1"/>
          <w:lang w:bidi="fa-IR"/>
        </w:rPr>
        <w:lastRenderedPageBreak/>
        <w:t>فصل چهارم: تجزیه و تحلیل داده ها</w:t>
      </w:r>
      <w:bookmarkEnd w:id="89"/>
    </w:p>
    <w:p w14:paraId="33866655" w14:textId="77777777">
      <w:pPr>
        <w:pageBreakBefore/>
        <w:bidi w:val="1"/>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90" w:name="_Toc238572069"/>
      <w:r>
        <w:rPr>
          <w:rFonts w:ascii="Times New Roman" w:hAnsi="Times New Roman" w:cs="B Titr" w:eastAsia="Times New Roman"/>
          <w:b/>
          <w:bCs/>
          <w:color w:val="000000"/>
          <w:sz w:val="30"/>
          <w:szCs w:val="30"/>
          <w:rtl w:val="1"/>
          <w:cs w:val="1"/>
          <w:lang w:bidi="fa-IR"/>
        </w:rPr>
        <w:t xml:space="preserve">۴-۱- یافته‌های توصیفی</w:t>
      </w:r>
      <w:bookmarkEnd w:id="90"/>
    </w:p>
    <w:p w14:paraId="03618880" w14:textId="77777777">
      <w:pPr>
        <w:bidi w:val="1"/>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t>۱</w:t>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۲</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5" w:name="_Toc238572106"/>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۳</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فراوانی و درصد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bidi w:val="1"/>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7" w:name="_Toc238572107"/>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۴</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سن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bidi w:val="1"/>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13" w:name="_Toc238572108"/>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۵</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bidi w:val="1"/>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val="1"/>
        <w:spacing w:before="240" w:after="100" w:line="276" w:lineRule="auto"/>
        <w:ind w:firstLine="397"/>
        <w:jc w:val="right"/>
        <w:rPr>
          <w:rFonts w:cs="B Titr" w:ascii="Times New Roman" w:hAnsi="Times New Roman" w:eastAsia="Times New Roman"/>
          <w:b/>
          <w:bCs/>
          <w:color w:val="000000"/>
          <w:sz w:val="30"/>
          <w:szCs w:val="30"/>
          <w:rtl w:val="1"/>
          <w:cs w:val="1"/>
          <w:lang w:bidi="fa-IR" w:val="en-US"/>
        </w:rPr>
      </w:pPr>
      <w:bookmarkStart w:id="135" w:name="_Toc238572091"/>
      <w:r>
        <w:rPr>
          <w:rFonts w:ascii="Times New Roman" w:hAnsi="Times New Roman" w:cs="B Titr" w:eastAsia="Times New Roman"/>
          <w:b/>
          <w:bCs/>
          <w:color w:val="000000"/>
          <w:sz w:val="30"/>
          <w:szCs w:val="30"/>
          <w:rtl w:val="1"/>
          <w:cs w:val="1"/>
          <w:lang w:bidi="fa-IR"/>
        </w:rPr>
        <w:t xml:space="preserve">۴-۲- یافته‌های استنباطی</w:t>
      </w:r>
      <w:r>
        <w:rPr>
          <w:rFonts w:ascii="Times New Roman" w:hAnsi="Times New Roman" w:cs="B Titr" w:eastAsia="Times New Roman"/>
          <w:b/>
          <w:bCs/>
          <w:color w:val="000000"/>
          <w:sz w:val="30"/>
          <w:szCs w:val="30"/>
          <w:rtl w:val="1"/>
          <w:cs w:val="1"/>
          <w:lang w:bidi="fa-IR"/>
        </w:rPr>
        <w:t/>
      </w:r>
      <w:bookmarkEnd w:id="135"/>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138" w:name="_Toc238572092"/>
      <w:r>
        <w:rPr>
          <w:rFonts w:ascii="Times New Roman" w:hAnsi="Times New Roman" w:cs="B Titr" w:eastAsia="Times New Roman"/>
          <w:b/>
          <w:bCs/>
          <w:color w:val="000000"/>
          <w:sz w:val="30"/>
          <w:szCs w:val="30"/>
          <w:rtl w:val="1"/>
          <w:cs w:val="1"/>
          <w:lang w:bidi="fa-IR"/>
        </w:rPr>
        <w:t>۴-۲-۱- بررسی فرضیه فرعی اول پژوهش: بین هوش معنوی و اضطراب مرگ در سالمندان رابطه وجود دارد.</w:t>
      </w:r>
      <w:bookmarkEnd w:id="138"/>
    </w:p>
    <w:p w14:paraId="3D5129CE"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39" w:name="_Toc238572109"/>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۶</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ضرایب</w:t>
      </w:r>
      <w:r>
        <w:rPr>
          <w:rFonts w:cs="B Lotus" w:ascii="Times New Roman" w:hAnsi="Times New Roman" w:eastAsia="Times New Roman"/>
          <w:b/>
          <w:bCs/>
          <w:color w:val="000000"/>
          <w:sz w:val="24"/>
          <w:szCs w:val="24"/>
          <w:rtl w:val="1"/>
          <w:cs w:val="1"/>
          <w:lang w:bidi="fa-IR"/>
        </w:rPr>
        <w:t xml:space="preserve"> همبستگی </w:t>
      </w:r>
      <w:r>
        <w:rPr>
          <w:rFonts w:cs="B Lotus" w:ascii="Times New Roman" w:hAnsi="Times New Roman" w:eastAsia="Times New Roman"/>
          <w:b/>
          <w:bCs/>
          <w:color w:val="000000"/>
          <w:sz w:val="24"/>
          <w:szCs w:val="24"/>
          <w:rtl w:val="1"/>
          <w:cs w:val="1"/>
          <w:lang w:bidi="fa-IR"/>
        </w:rPr>
        <w:t>پیرسون</w:t>
      </w:r>
      <w:r>
        <w:rPr>
          <w:rFonts w:cs="B Lotus" w:ascii="Times New Roman" w:hAnsi="Times New Roman" w:eastAsia="Times New Roman"/>
          <w:b/>
          <w:bCs/>
          <w:color w:val="000000"/>
          <w:sz w:val="24"/>
          <w:szCs w:val="24"/>
          <w:rtl w:val="1"/>
          <w:cs w:val="1"/>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07A99543" w14:textId="77777777">
      <w:pPr>
        <w:bidi w:val="1"/>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 xml:space="preserve">r)</w:t>
      </w:r>
      <w:r>
        <w:rPr>
          <w:rFonts w:ascii="Times New Roman" w:hAnsi="Times New Roman" w:hint="cs"/>
          <w:lang w:bidi="fa-IR"/>
          <w:rtl/>
        </w:rPr>
        <w:t xml:space="preserve">، ایجاد معنای شخصی (۴۵/۰-=</w:t>
      </w:r>
      <w:r>
        <w:rPr>
          <w:rFonts w:ascii="Times New Roman" w:hAnsi="Times New Roman" w:hint="cs"/>
          <w:lang w:bidi="fa-IR" w:val="en-US"/>
          <w:rtl w:val="0"/>
        </w:rPr>
        <w:t xml:space="preserve">r)</w:t>
      </w:r>
      <w:r>
        <w:rPr>
          <w:rFonts w:ascii="Times New Roman" w:hAnsi="Times New Roman" w:hint="cs"/>
          <w:lang w:bidi="fa-IR"/>
          <w:rtl/>
        </w:rPr>
        <w:t xml:space="preserve">، آگاهی متعالی (۳۱/۰-=</w:t>
      </w:r>
      <w:r>
        <w:rPr>
          <w:rFonts w:ascii="Times New Roman" w:hAnsi="Times New Roman" w:hint="cs"/>
          <w:lang w:bidi="fa-IR" w:val="en-US"/>
          <w:rtl w:val="0"/>
        </w:rPr>
        <w:t xml:space="preserve">r)</w:t>
      </w:r>
      <w:r>
        <w:rPr>
          <w:rFonts w:ascii="Times New Roman" w:hAnsi="Times New Roman" w:hint="cs"/>
          <w:lang w:bidi="fa-IR"/>
          <w:rtl/>
        </w:rPr>
        <w:t xml:space="preserve">، و گسترش حالت هوشیاری (۲۹/۰-=</w:t>
      </w:r>
      <w:r>
        <w:rPr>
          <w:rFonts w:ascii="Times New Roman" w:hAnsi="Times New Roman" w:hint="cs"/>
          <w:lang w:bidi="fa-IR" w:val="en-US"/>
          <w:rtl w:val="0"/>
        </w:rPr>
        <w:t xml:space="preserve">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همچنین 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 xml:space="preserve">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0" w:name="_Toc238572093"/>
      <w:r>
        <w:rPr>
          <w:rFonts w:ascii="Times New Roman" w:hAnsi="Times New Roman" w:cs="B Titr" w:eastAsia="Times New Roman"/>
          <w:b/>
          <w:bCs/>
          <w:color w:val="000000"/>
          <w:sz w:val="30"/>
          <w:szCs w:val="30"/>
          <w:rtl w:val="1"/>
          <w:cs w:val="1"/>
          <w:lang w:bidi="fa-IR"/>
        </w:rPr>
        <w:t>۴-۲-۲- بررسی فرضیه فرعی دوم پژوهش: بین اضطراب سلامتی و اضطراب مرگ در سالمندان رابطه وجود دارد.</w:t>
      </w:r>
      <w:bookmarkEnd w:id="140"/>
    </w:p>
    <w:p w14:paraId="347B8B69"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5" w:name="_Toc238572110"/>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۷</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4EA08539" w14:textId="77777777">
      <w:pPr>
        <w:bidi w:val="1"/>
        <w:spacing w:after="0" w:line="276" w:lineRule="auto"/>
        <w:ind w:firstLine="397"/>
        <w:jc w:val="both"/>
        <w:rPr>
          <w:color w:val="auto"/>
          <w:sz w:val="26"/>
          <w:szCs w:val="26"/>
          <w:lang w:bidi="fa-IR"/>
        </w:rPr>
      </w:pPr>
      <w:r>
        <w:rPr>
          <w:rFonts w:ascii="Times New Roman" w:hAnsi="Times New Roman" w:hint="cs"/>
          <w:lang w:bidi="fa-IR"/>
          <w:rtl/>
        </w:rPr>
        <w:lastRenderedPageBreak/>
        <w:t xml:space="preserve">بر اساس نتایج جدول ۴-۷ بین اضطراب مرگ سالمندان با احتمال ابتلا به بیماری (۴۹/۰=</w:t>
      </w:r>
      <w:r>
        <w:rPr>
          <w:rFonts w:ascii="Times New Roman" w:hAnsi="Times New Roman" w:hint="cs"/>
          <w:lang w:bidi="fa-IR" w:val="en-US"/>
          <w:rtl w:val="0"/>
        </w:rPr>
        <w:lastRenderedPageBreak/>
        <w:t xml:space="preserve">r)</w:t>
      </w:r>
      <w:r>
        <w:rPr>
          <w:rFonts w:ascii="Times New Roman" w:hAnsi="Times New Roman" w:hint="cs"/>
          <w:lang w:bidi="fa-IR"/>
          <w:rtl/>
        </w:rPr>
        <w:lastRenderedPageBreak/>
        <w:t xml:space="preserve">، پیامدهای منفی بیماری (۵۵/۰=</w:t>
      </w:r>
      <w:r>
        <w:rPr>
          <w:rFonts w:ascii="Times New Roman" w:hAnsi="Times New Roman" w:hint="cs"/>
          <w:lang w:bidi="fa-IR" w:val="en-US"/>
          <w:rtl w:val="0"/>
        </w:rPr>
        <w:lastRenderedPageBreak/>
        <w:t xml:space="preserve">r) </w:t>
      </w:r>
      <w:r>
        <w:rPr>
          <w:rFonts w:ascii="Times New Roman" w:hAnsi="Times New Roman" w:hint="cs"/>
          <w:lang w:bidi="fa-IR"/>
          <w:rtl/>
        </w:rPr>
        <w:lastRenderedPageBreak/>
        <w:t xml:space="preserve">و اضطراب سلامتی کل(۵۸/۰=</w:t>
      </w:r>
      <w:r>
        <w:rPr>
          <w:rFonts w:ascii="Times New Roman" w:hAnsi="Times New Roman" w:hint="cs"/>
          <w:lang w:bidi="fa-IR" w:val="en-US"/>
          <w:rtl w:val="0"/>
        </w:rPr>
        <w:lastRenderedPageBreak/>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6" w:name="_Toc238572094"/>
      <w:r>
        <w:rPr>
          <w:rFonts w:ascii="Times New Roman" w:hAnsi="Times New Roman" w:cs="B Titr" w:eastAsia="Times New Roman"/>
          <w:b/>
          <w:bCs/>
          <w:color w:val="000000"/>
          <w:sz w:val="30"/>
          <w:szCs w:val="30"/>
          <w:rtl w:val="1"/>
          <w:cs w:val="1"/>
          <w:lang w:bidi="fa-IR"/>
        </w:rPr>
        <w:t>۴-۲-۳- بررسی فرضیه اصلی پژوهش: بین هوش معنوی و اضطراب سلامتی با اضطراب مرگ در سالمندان رابطه وجود دارد.</w:t>
      </w:r>
      <w:bookmarkEnd w:id="146"/>
    </w:p>
    <w:p w14:paraId="19E4176B"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9" w:name="_Toc238572111"/>
      <w:r>
        <w:rPr>
          <w:rFonts w:cs="B Lotus" w:ascii="Times New Roman" w:hAnsi="Times New Roman" w:eastAsia="Times New Roman"/>
          <w:b/>
          <w:bCs/>
          <w:color w:val="000000"/>
          <w:sz w:val="24"/>
          <w:szCs w:val="24"/>
          <w:rtl w:val="1"/>
          <w:cs w:val="1"/>
          <w:lang w:bidi="fa-IR"/>
        </w:rPr>
        <w:lastRenderedPageBreak/>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۸</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bidi w:val="1"/>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50" w:name="_Toc238572112"/>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۹</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bidi w:val="1"/>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14:paraId="0F8683C2" w14:textId="2350A9A9">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همچنین 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val="1"/>
          <w:cs w:val="1"/>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val="1"/>
          <w:cs w:val="1"/>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از جمله 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همچنین،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14:paraId="61E83F48" w14:textId="77777777">
      <w:pPr>
        <w:bidi w:val="1"/>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lastRenderedPageBreak/>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همچنین 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از جمله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color w:val="000000"/>
          <w:sz w:val="30"/>
          <w:szCs w:val="30"/>
          <w:rtl w:val="1"/>
          <w:cs w:val="1"/>
          <w:lang w:bidi="fa-IR"/>
        </w:rPr>
        <w:t xml:space="preserve">۵-۲- محدودیت‌های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bidi w:val="1"/>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14:paraId="6C696159" w14:textId="63313AF5">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همچنین،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val="1"/>
          <w:cs w:val="1"/>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val="1"/>
          <w:cs w:val="1"/>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val="1"/>
          <w:cs w:val="1"/>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bidi w:val="1"/>
        <w:spacing w:after="0" w:line="276" w:lineRule="auto"/>
        <w:ind w:firstLine="397"/>
        <w:jc w:val="both"/>
        <w:rPr>
          <w:lang w:bidi="fa-IR"/>
        </w:rPr>
      </w:pPr>
      <w:r>
        <w:rPr>
          <w:rFonts w:ascii="Times New Roman" w:hAnsi="Times New Roman" w:hint="cs"/>
          <w:lang w:bidi="fa-IR"/>
          <w:rtl/>
        </w:rPr>
        <w:t xml:space="preserve">_ با توجه به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val="1"/>
          <w:cs w:val="1"/>
          <w:lang w:bidi="fa-IR" w:val="en-US"/>
        </w:rPr>
      </w:pPr>
      <w:bookmarkStart w:id="235" w:name="_Toc238572101"/>
      <w:r>
        <w:rPr>
          <w:rFonts w:ascii="Times New Roman" w:hAnsi="Times New Roman" w:cs="B Titr" w:eastAsia="Times New Roman"/>
          <w:b/>
          <w:bCs/>
          <w:color w:val="000000"/>
          <w:sz w:val="56"/>
          <w:szCs w:val="56"/>
          <w:rtl w:val="1"/>
          <w:cs w:val="1"/>
          <w:lang w:bidi="fa-IR"/>
        </w:rPr>
        <w:lastRenderedPageBreak/>
        <w:t>منابع فارسی</w:t>
      </w:r>
      <w:bookmarkEnd w:id="235"/>
    </w:p>
    <w:p w14:paraId="6655392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val="1"/>
          <w:cs w:val="1"/>
          <w:lang w:bidi="fa-IR" w:val="en-US"/>
        </w:rPr>
      </w:pPr>
      <w:bookmarkStart w:id="236" w:name="_Toc238572102"/>
      <w:r>
        <w:rPr>
          <w:rFonts w:ascii="Times New Roman" w:hAnsi="Times New Roman" w:cs="B Titr" w:eastAsia="Times New Roman"/>
          <w:b/>
          <w:bCs/>
          <w:color w:val="000000"/>
          <w:sz w:val="56"/>
          <w:szCs w:val="56"/>
          <w:rtl w:val="1"/>
          <w:cs w:val="1"/>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14:paraId="08EE87D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r>
        <w:rPr>
          <w:rFonts w:ascii="Times New Roman" w:hAnsi="Times New Roman" w:eastAsia="Times New Roman" w:cs="Times New Roman"/>
          <w:rtl w:val="0"/>
          <w:cs w:val="0"/>
          <w:lang w:val="en-US"/>
        </w:rPr>
        <w:t xml:space="preserve"> </w:t>
      </w:r>
      <w:hyperlink r:id="rIdDoiAtchley89" w:history="1">
        <w:r>
          <w:rPr>
            <w:rFonts w:ascii="Times New Roman" w:hAnsi="Times New Roman" w:eastAsia="Times New Roman" w:cs="B Lotus"/>
            <w:rStyle w:val="Hyperlink"/>
            <w:sz w:val="28"/>
            <w:szCs w:val="28"/>
            <w:rtl w:val="0"/>
            <w:cs w:val="0"/>
            <w:lang w:val="en-US"/>
          </w:rPr>
          <w:t>https://doi.org/10.1093/geront/29.2.183</w:t>
        </w:r>
      </w:hyperlink>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14:paraId="5000EAB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14:paraId="184797C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14:paraId="5BE3248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14:paraId="0A654C06"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Erikson, E. H; Erikson, J. M; &amp; </w:t>
      </w:r>
      <w:r>
        <w:rPr>
          <w:rFonts w:ascii="Times New Roman" w:eastAsia="Times New Roman" w:hAnsi="Times New Roman" w:cs="Times New Roman"/>
          <w:sz w:val="24"/>
          <w:szCs w:val="24"/>
          <w:rtl w:val="0"/>
          <w:cs w:val="0"/>
          <w:lang w:val="en-US"/>
        </w:rPr>
        <w:t>Kivnick</w:t>
      </w:r>
      <w:r>
        <w:rPr>
          <w:rFonts w:ascii="Times New Roman" w:eastAsia="Times New Roman" w:hAnsi="Times New Roman" w:cs="Times New Roman"/>
          <w:sz w:val="24"/>
          <w:szCs w:val="24"/>
          <w:rtl w:val="0"/>
          <w:cs w:val="0"/>
          <w:lang w:val="en-US"/>
        </w:rPr>
        <w:t>, H. Q. (1986). Vital Involvement in Old Age. New York: W. W. Norton.</w:t>
      </w:r>
    </w:p>
    <w:p w14:paraId="6B223B9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Fergus, T. A; &amp; </w:t>
      </w:r>
      <w:r>
        <w:rPr>
          <w:rFonts w:ascii="Times New Roman" w:eastAsia="Times New Roman" w:hAnsi="Times New Roman" w:cs="Times New Roman"/>
          <w:sz w:val="24"/>
          <w:szCs w:val="24"/>
          <w:rtl w:val="0"/>
          <w:cs w:val="0"/>
          <w:lang w:val="en-US"/>
        </w:rPr>
        <w:t>Valentiner</w:t>
      </w:r>
      <w:r>
        <w:rPr>
          <w:rFonts w:ascii="Times New Roman" w:eastAsia="Times New Roman" w:hAnsi="Times New Roman" w:cs="Times New Roman"/>
          <w:sz w:val="24"/>
          <w:szCs w:val="24"/>
          <w:rtl w:val="0"/>
          <w:cs w:val="0"/>
          <w:lang w:val="en-US"/>
        </w:rPr>
        <w:t>, D. P. (2022). Health anxiety and illness anxiety disorder: Contemporary perspectives and clinical implications.</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c18" w:history="1">
        <w:r>
          <w:rPr>
            <w:rFonts w:ascii="Times New Roman" w:hAnsi="Times New Roman" w:eastAsia="Times New Roman" w:cs="B Lotus"/>
            <w:rStyle w:val="Hyperlink"/>
            <w:sz w:val="28"/>
            <w:szCs w:val="28"/>
            <w:rtl w:val="0"/>
            <w:cs w:val="0"/>
            <w:lang w:val="en-US"/>
          </w:rPr>
          <w:t xml:space="preserve">https://doi.org/10.1038/s41574-018-0059-4</w:t>
        </w:r>
      </w:hyperlink>
    </w:p>
    <w:p w14:paraId="1B5460F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w:t>
      </w:r>
      <w:r>
        <w:rPr>
          <w:rFonts w:ascii="Times New Roman" w:eastAsia="Times New Roman" w:hAnsi="Times New Roman" w:cs="Times New Roman"/>
          <w:sz w:val="24"/>
          <w:szCs w:val="24"/>
          <w:rtl w:val="0"/>
          <w:cs w:val="0"/>
          <w:lang w:val="en-US"/>
        </w:rPr>
        <w:t xml:space="preserve">, T; Larbi, A; Dupuis, G., et al. (2023). </w:t>
      </w:r>
      <w:r>
        <w:rPr>
          <w:rFonts w:ascii="Times New Roman" w:eastAsia="Times New Roman" w:hAnsi="Times New Roman" w:cs="Times New Roman"/>
          <w:sz w:val="24"/>
          <w:szCs w:val="24"/>
          <w:rtl w:val="0"/>
          <w:cs w:val="0"/>
          <w:lang w:val="en-US"/>
        </w:rPr>
        <w:t>Immunosenescence</w:t>
      </w:r>
      <w:r>
        <w:rPr>
          <w:rFonts w:ascii="Times New Roman" w:eastAsia="Times New Roman" w:hAnsi="Times New Roman" w:cs="Times New Roman"/>
          <w:sz w:val="24"/>
          <w:szCs w:val="24"/>
          <w:rtl w:val="0"/>
          <w:cs w:val="0"/>
          <w:lang w:val="en-US"/>
        </w:rPr>
        <w:t xml:space="preserv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14:paraId="650515E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w:t>
      </w:r>
      <w:r>
        <w:rPr>
          <w:rFonts w:ascii="Times New Roman" w:eastAsia="Times New Roman" w:hAnsi="Times New Roman" w:cs="Times New Roman"/>
          <w:sz w:val="24"/>
          <w:szCs w:val="24"/>
          <w:rtl w:val="0"/>
          <w:cs w:val="0"/>
          <w:lang w:val="en-US"/>
        </w:rPr>
        <w:t xml:space="preserve">, F; </w:t>
      </w:r>
      <w:r>
        <w:rPr>
          <w:rFonts w:ascii="Times New Roman" w:eastAsia="Times New Roman" w:hAnsi="Times New Roman" w:cs="Times New Roman"/>
          <w:sz w:val="24"/>
          <w:szCs w:val="24"/>
          <w:rtl w:val="0"/>
          <w:cs w:val="0"/>
          <w:lang w:val="en-US"/>
        </w:rPr>
        <w:t>Khoshravesh</w:t>
      </w:r>
      <w:r>
        <w:rPr>
          <w:rFonts w:ascii="Times New Roman" w:eastAsia="Times New Roman" w:hAnsi="Times New Roman" w:cs="Times New Roman"/>
          <w:sz w:val="24"/>
          <w:szCs w:val="24"/>
          <w:rtl w:val="0"/>
          <w:cs w:val="0"/>
          <w:lang w:val="en-US"/>
        </w:rPr>
        <w:t xml:space="preserve">, S., </w:t>
      </w:r>
      <w:r>
        <w:rPr>
          <w:rFonts w:ascii="Times New Roman" w:eastAsia="Times New Roman" w:hAnsi="Times New Roman" w:cs="Times New Roman"/>
          <w:sz w:val="24"/>
          <w:szCs w:val="24"/>
          <w:rtl w:val="0"/>
          <w:cs w:val="0"/>
          <w:lang w:val="en-US"/>
        </w:rPr>
        <w:t>Ayubi</w:t>
      </w:r>
      <w:r>
        <w:rPr>
          <w:rFonts w:ascii="Times New Roman" w:eastAsia="Times New Roman" w:hAnsi="Times New Roman" w:cs="Times New Roman"/>
          <w:sz w:val="24"/>
          <w:szCs w:val="24"/>
          <w:rtl w:val="0"/>
          <w:cs w:val="0"/>
          <w:lang w:val="en-US"/>
        </w:rPr>
        <w:t xml:space="preserve">, E; </w:t>
      </w:r>
      <w:r>
        <w:rPr>
          <w:rFonts w:ascii="Times New Roman" w:eastAsia="Times New Roman" w:hAnsi="Times New Roman" w:cs="Times New Roman"/>
          <w:sz w:val="24"/>
          <w:szCs w:val="24"/>
          <w:rtl w:val="0"/>
          <w:cs w:val="0"/>
          <w:lang w:val="en-US"/>
        </w:rPr>
        <w:t>Bashirian</w:t>
      </w:r>
      <w:r>
        <w:rPr>
          <w:rFonts w:ascii="Times New Roman" w:eastAsia="Times New Roman" w:hAnsi="Times New Roman" w:cs="Times New Roman"/>
          <w:sz w:val="24"/>
          <w:szCs w:val="24"/>
          <w:rtl w:val="0"/>
          <w:cs w:val="0"/>
          <w:lang w:val="en-US"/>
        </w:rPr>
        <w:t xml:space="preserve">, S; &amp; </w:t>
      </w:r>
      <w:r>
        <w:rPr>
          <w:rFonts w:ascii="Times New Roman" w:eastAsia="Times New Roman" w:hAnsi="Times New Roman" w:cs="Times New Roman"/>
          <w:sz w:val="24"/>
          <w:szCs w:val="24"/>
          <w:rtl w:val="0"/>
          <w:cs w:val="0"/>
          <w:lang w:val="en-US"/>
        </w:rPr>
        <w:t>Barati</w:t>
      </w:r>
      <w:r>
        <w:rPr>
          <w:rFonts w:ascii="Times New Roman" w:eastAsia="Times New Roman" w:hAnsi="Times New Roman" w:cs="Times New Roman"/>
          <w:sz w:val="24"/>
          <w:szCs w:val="24"/>
          <w:rtl w:val="0"/>
          <w:cs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14:paraId="6191429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w:t>
      </w:r>
      <w:r>
        <w:rPr>
          <w:rFonts w:ascii="Times New Roman" w:eastAsia="Times New Roman" w:hAnsi="Times New Roman" w:cs="Times New Roman"/>
          <w:sz w:val="24"/>
          <w:szCs w:val="24"/>
          <w:rtl w:val="0"/>
          <w:cs w:val="0"/>
          <w:lang w:val="en-US"/>
        </w:rPr>
        <w:t xml:space="preserve">, B; &amp; </w:t>
      </w:r>
      <w:r>
        <w:rPr>
          <w:rFonts w:ascii="Times New Roman" w:eastAsia="Times New Roman" w:hAnsi="Times New Roman" w:cs="Times New Roman"/>
          <w:sz w:val="24"/>
          <w:szCs w:val="24"/>
          <w:rtl w:val="0"/>
          <w:cs w:val="0"/>
          <w:lang w:val="en-US"/>
        </w:rPr>
        <w:t>Salkovskis</w:t>
      </w:r>
      <w:r>
        <w:rPr>
          <w:rFonts w:ascii="Times New Roman" w:eastAsia="Times New Roman" w:hAnsi="Times New Roman" w:cs="Times New Roman"/>
          <w:sz w:val="24"/>
          <w:szCs w:val="24"/>
          <w:rtl w:val="0"/>
          <w:cs w:val="0"/>
          <w:lang w:val="en-US"/>
        </w:rPr>
        <w:t xml:space="preserve">, P. M. (2023). Reassurance and its alternatives: Overview and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w:t>
      </w:r>
      <w:r>
        <w:rPr>
          <w:rFonts w:ascii="Times New Roman" w:eastAsia="Times New Roman" w:hAnsi="Times New Roman" w:cs="Times New Roman"/>
          <w:sz w:val="24"/>
          <w:szCs w:val="24"/>
          <w:rtl w:val="0"/>
          <w:cs w:val="0"/>
          <w:lang w:val="en-US"/>
        </w:rPr>
        <w:t>conceptualisation</w:t>
      </w:r>
      <w:r>
        <w:rPr>
          <w:rFonts w:ascii="Times New Roman" w:eastAsia="Times New Roman" w:hAnsi="Times New Roman" w:cs="Times New Roman"/>
          <w:sz w:val="24"/>
          <w:szCs w:val="24"/>
          <w:rtl w:val="0"/>
          <w:cs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w:t>
      </w:r>
      <w:r>
        <w:rPr>
          <w:rFonts w:ascii="Times New Roman" w:eastAsia="Times New Roman" w:hAnsi="Times New Roman" w:cs="Times New Roman"/>
          <w:sz w:val="24"/>
          <w:szCs w:val="24"/>
          <w:rtl w:val="0"/>
          <w:cs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14:paraId="1F05AE9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cs w:val="0"/>
          <w:lang w:val="en-US"/>
        </w:rPr>
        <w:t>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14:paraId="4050F5D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14" w:history="1">
        <w:r>
          <w:rPr>
            <w:rFonts w:ascii="Times New Roman" w:hAnsi="Times New Roman" w:eastAsia="Times New Roman" w:cs="B Lotus"/>
            <w:rStyle w:val="Hyperlink"/>
            <w:sz w:val="28"/>
            <w:szCs w:val="28"/>
            <w:rtl w:val="0"/>
            <w:cs w:val="0"/>
            <w:lang w:val="en-US"/>
          </w:rPr>
          <w:t xml:space="preserve">https://doi.org/10.1016/j.cpr.2014.09.002</w:t>
        </w:r>
      </w:hyperlink>
    </w:p>
    <w:p w14:paraId="7CF48A3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w:t>
      </w:r>
      <w:r>
        <w:rPr>
          <w:rFonts w:ascii="Times New Roman" w:eastAsia="Times New Roman" w:hAnsi="Times New Roman" w:cs="Times New Roman"/>
          <w:sz w:val="24"/>
          <w:szCs w:val="24"/>
          <w:rtl w:val="0"/>
          <w:cs w:val="0"/>
          <w:lang w:val="en-US"/>
        </w:rPr>
        <w:t>Koulaee</w:t>
      </w:r>
      <w:r>
        <w:rPr>
          <w:rFonts w:ascii="Times New Roman" w:eastAsia="Times New Roman" w:hAnsi="Times New Roman" w:cs="Times New Roman"/>
          <w:sz w:val="24"/>
          <w:szCs w:val="24"/>
          <w:rtl w:val="0"/>
          <w:cs w:val="0"/>
          <w:lang w:val="en-US"/>
        </w:rPr>
        <w:t xml:space="preserve">, A; Mohammadi, E., Fox, M. T., </w:t>
      </w:r>
      <w:r>
        <w:rPr>
          <w:rFonts w:ascii="Times New Roman" w:eastAsia="Times New Roman" w:hAnsi="Times New Roman" w:cs="Times New Roman"/>
          <w:sz w:val="24"/>
          <w:szCs w:val="24"/>
          <w:rtl w:val="0"/>
          <w:cs w:val="0"/>
          <w:lang w:val="en-US"/>
        </w:rPr>
        <w:t>Rasekhi</w:t>
      </w:r>
      <w:r>
        <w:rPr>
          <w:rFonts w:ascii="Times New Roman" w:eastAsia="Times New Roman" w:hAnsi="Times New Roman" w:cs="Times New Roman"/>
          <w:sz w:val="24"/>
          <w:szCs w:val="24"/>
          <w:rtl w:val="0"/>
          <w:cs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cs w:val="0"/>
          <w:lang w:val="en-US"/>
        </w:rPr>
        <w:t>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14:paraId="45E498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Johnco</w:t>
      </w:r>
      <w:r>
        <w:rPr>
          <w:rFonts w:ascii="Times New Roman" w:eastAsia="Times New Roman" w:hAnsi="Times New Roman" w:cs="Times New Roman"/>
          <w:sz w:val="24"/>
          <w:szCs w:val="24"/>
          <w:rtl w:val="0"/>
          <w:cs w:val="0"/>
          <w:lang w:val="en-US"/>
        </w:rPr>
        <w:t xml:space="preserve">, C. J; </w:t>
      </w:r>
      <w:r>
        <w:rPr>
          <w:rFonts w:ascii="Times New Roman" w:eastAsia="Times New Roman" w:hAnsi="Times New Roman" w:cs="Times New Roman"/>
          <w:sz w:val="24"/>
          <w:szCs w:val="24"/>
          <w:rtl w:val="0"/>
          <w:cs w:val="0"/>
          <w:lang w:val="en-US"/>
        </w:rPr>
        <w:t>Matovic</w:t>
      </w:r>
      <w:r>
        <w:rPr>
          <w:rFonts w:ascii="Times New Roman" w:eastAsia="Times New Roman" w:hAnsi="Times New Roman" w:cs="Times New Roman"/>
          <w:sz w:val="24"/>
          <w:szCs w:val="24"/>
          <w:rtl w:val="0"/>
          <w:cs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cs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w:t>
      </w:r>
      <w:r>
        <w:rPr>
          <w:rFonts w:ascii="Times New Roman" w:eastAsia="Times New Roman" w:hAnsi="Times New Roman" w:cs="Times New Roman"/>
          <w:sz w:val="24"/>
          <w:szCs w:val="24"/>
          <w:rtl w:val="0"/>
          <w:cs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://doi.org/10.1007/s11920-024-01507-2</w:t>
      </w:r>
    </w:p>
    <w:p w14:paraId="5517067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14:paraId="411A272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King, D. B; &amp; </w:t>
      </w:r>
      <w:r>
        <w:rPr>
          <w:rFonts w:ascii="Times New Roman" w:eastAsia="Times New Roman" w:hAnsi="Times New Roman" w:cs="Times New Roman"/>
          <w:sz w:val="24"/>
          <w:szCs w:val="24"/>
          <w:rtl w:val="0"/>
          <w:cs w:val="0"/>
          <w:lang w:val="en-US"/>
        </w:rPr>
        <w:t>DeCicco</w:t>
      </w:r>
      <w:r>
        <w:rPr>
          <w:rFonts w:ascii="Times New Roman" w:eastAsia="Times New Roman" w:hAnsi="Times New Roman" w:cs="Times New Roman"/>
          <w:sz w:val="24"/>
          <w:szCs w:val="24"/>
          <w:rtl w:val="0"/>
          <w:cs w:val="0"/>
          <w:lang w:val="en-US"/>
        </w:rPr>
        <w:t>,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14:paraId="064CB21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cs w:val="0"/>
          <w:lang w:val="en-US"/>
        </w:rPr>
        <w:lastRenderedPageBreak/>
        <w:t>https://doi.org/10.1016/j.jamda.2024.105334.</w:t>
      </w:r>
    </w:p>
    <w:p w14:paraId="475944B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://pubmed.ncbi.nlm.nih.gov/39900466/</w:t>
      </w:r>
    </w:p>
    <w:p w14:paraId="46AE264D"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w:t>
      </w:r>
      <w:r>
        <w:rPr>
          <w:rFonts w:ascii="Times New Roman" w:hAnsi="Times New Roman" w:cs="Times New Roman" w:eastAsia="Times New Roman"/>
          <w:sz w:val="24"/>
          <w:szCs w:val="24"/>
          <w:rtl w:val="0"/>
          <w:cs w:val="0"/>
          <w:lang w:val="en-US"/>
        </w:rPr>
        <w:t>Otín</w:t>
      </w:r>
      <w:r>
        <w:rPr>
          <w:rFonts w:ascii="Times New Roman" w:hAnsi="Times New Roman" w:cs="Times New Roman" w:eastAsia="Times New Roman"/>
          <w:sz w:val="24"/>
          <w:szCs w:val="24"/>
          <w:rtl w:val="0"/>
          <w:cs w:val="0"/>
          <w:lang w:val="en-US"/>
        </w:rPr>
        <w:t xml:space="preserve">, C; </w:t>
      </w:r>
      <w:r>
        <w:rPr>
          <w:rFonts w:ascii="Times New Roman" w:hAnsi="Times New Roman" w:cs="Times New Roman" w:eastAsia="Times New Roman"/>
          <w:sz w:val="24"/>
          <w:szCs w:val="24"/>
          <w:rtl w:val="0"/>
          <w:cs w:val="0"/>
          <w:lang w:val="en-US"/>
        </w:rPr>
        <w:t>Blasco</w:t>
      </w:r>
      <w:r>
        <w:rPr>
          <w:rFonts w:ascii="Times New Roman" w:hAnsi="Times New Roman" w:cs="Times New Roman" w:eastAsia="Times New Roman"/>
          <w:sz w:val="24"/>
          <w:szCs w:val="24"/>
          <w:rtl w:val="0"/>
          <w:cs w:val="0"/>
          <w:lang w:val="en-US"/>
        </w:rPr>
        <w:t>, M. A., Partridge, L., Serrano, M., &amp; Kroemer, G. (2023). Hallmarks of Aging: An Expanding Universe. Cell.</w:t>
      </w:r>
      <w:r>
        <w:rPr>
          <w:rFonts w:ascii="Times New Roman" w:hAnsi="Times New Roman" w:eastAsia="Times New Roman" w:cs="Times New Roman"/>
          <w:rtl w:val="0"/>
          <w:cs w:val="0"/>
          <w:lang w:val="en-US"/>
        </w:rPr>
        <w:t xml:space="preserve"> </w:t>
      </w:r>
      <w:hyperlink r:id="rIdDoiLopez23" w:history="1">
        <w:r>
          <w:rPr>
            <w:rFonts w:ascii="Times New Roman" w:hAnsi="Times New Roman" w:eastAsia="Times New Roman" w:cs="B Lotus"/>
            <w:rStyle w:val="Hyperlink"/>
            <w:sz w:val="28"/>
            <w:szCs w:val="28"/>
            <w:rtl w:val="0"/>
            <w:cs w:val="0"/>
            <w:lang w:val="en-US"/>
          </w:rPr>
          <w:t>https://doi.org/10.1016/j.cell.2022.11.001</w:t>
        </w:r>
      </w:hyperlink>
    </w:p>
    <w:p w14:paraId="2200418C"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14:paraId="7EDF6F13"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Mayer, J. D; &amp; Salovey, P. (2020). The Intelligence of Emotional </w:t>
      </w:r>
      <w:r>
        <w:rPr>
          <w:rFonts w:ascii="Times New Roman" w:hAnsi="Times New Roman" w:cs="Times New Roman" w:eastAsia="Times New Roman"/>
          <w:sz w:val="24"/>
          <w:szCs w:val="24"/>
          <w:rtl w:val="0"/>
          <w:cs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Menzies, R. E., &amp; Menzies, R. G. (2020). Death anxiety in the time of COVID-19: Theoretical explanations and clinical implications. The Cognitive Behaviour Therapist, 13, e19. </w:t>
      </w:r>
      <w:hyperlink r:id="rIdDoiMenz20" w:history="1">
        <w:r>
          <w:rPr>
            <w:rFonts w:ascii="Times New Roman" w:hAnsi="Times New Roman" w:eastAsia="Times New Roman" w:cs="B Lotus"/>
            <w:rStyle w:val="Hyperlink"/>
            <w:sz w:val="28"/>
            <w:szCs w:val="28"/>
            <w:rtl w:val="0"/>
            <w:cs w:val="0"/>
            <w:lang w:val="en-US"/>
          </w:rPr>
          <w:t xml:space="preserve">https://doi.org/10.1017/S1754470X20000215</w:t>
        </w:r>
      </w:hyperlink>
    </w:p>
    <w:p w14:paraId="5CB51639"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Miri, S; Farhadi, B; </w:t>
      </w:r>
      <w:r>
        <w:rPr>
          <w:rFonts w:ascii="Times New Roman" w:hAnsi="Times New Roman" w:cs="Times New Roman" w:eastAsia="Times New Roman"/>
          <w:sz w:val="24"/>
          <w:szCs w:val="24"/>
          <w:rtl w:val="0"/>
          <w:cs w:val="0"/>
          <w:lang w:val="en-US"/>
        </w:rPr>
        <w:t>Takasi</w:t>
      </w:r>
      <w:r>
        <w:rPr>
          <w:rFonts w:ascii="Times New Roman" w:hAnsi="Times New Roman" w:cs="Times New Roman" w:eastAsia="Times New Roman"/>
          <w:sz w:val="24"/>
          <w:szCs w:val="24"/>
          <w:rtl w:val="0"/>
          <w:cs w:val="0"/>
          <w:lang w:val="en-US"/>
        </w:rPr>
        <w:t xml:space="preserve">, P; </w:t>
      </w:r>
      <w:r>
        <w:rPr>
          <w:rFonts w:ascii="Times New Roman" w:hAnsi="Times New Roman" w:cs="Times New Roman" w:eastAsia="Times New Roman"/>
          <w:sz w:val="24"/>
          <w:szCs w:val="24"/>
          <w:rtl w:val="0"/>
          <w:cs w:val="0"/>
          <w:lang w:val="en-US"/>
        </w:rPr>
        <w:t>Ghorbani</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Vajargah</w:t>
      </w:r>
      <w:r>
        <w:rPr>
          <w:rFonts w:ascii="Times New Roman" w:hAnsi="Times New Roman" w:cs="Times New Roman" w:eastAsia="Times New Roman"/>
          <w:sz w:val="24"/>
          <w:szCs w:val="24"/>
          <w:rtl w:val="0"/>
          <w:cs w:val="0"/>
          <w:lang w:val="en-US"/>
        </w:rPr>
        <w:t xml:space="preserve">, P; &amp; </w:t>
      </w:r>
      <w:r>
        <w:rPr>
          <w:rFonts w:ascii="Times New Roman" w:hAnsi="Times New Roman" w:cs="Times New Roman" w:eastAsia="Times New Roman"/>
          <w:sz w:val="24"/>
          <w:szCs w:val="24"/>
          <w:rtl w:val="0"/>
          <w:cs w:val="0"/>
          <w:lang w:val="en-US"/>
        </w:rPr>
        <w:t>Karkhah</w:t>
      </w:r>
      <w:r>
        <w:rPr>
          <w:rFonts w:ascii="Times New Roman" w:hAnsi="Times New Roman" w:cs="Times New Roman" w:eastAsia="Times New Roman"/>
          <w:sz w:val="24"/>
          <w:szCs w:val="24"/>
          <w:rtl w:val="0"/>
          <w:cs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eastAsia="Times New Roman"/>
          <w:sz w:val="24"/>
          <w:szCs w:val="24"/>
          <w:rtl w:val="0"/>
          <w:cs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w:t>
      </w:r>
      <w:r>
        <w:rPr>
          <w:rFonts w:ascii="Times New Roman" w:hAnsi="Times New Roman" w:cs="Times New Roman" w:eastAsia="Times New Roman"/>
          <w:sz w:val="24"/>
          <w:szCs w:val="24"/>
          <w:rtl w:val="0"/>
          <w:cs w:val="0"/>
          <w:lang w:val="en-US"/>
        </w:rPr>
        <w:t xml:space="preserve">, M; </w:t>
      </w:r>
      <w:r>
        <w:rPr>
          <w:rFonts w:ascii="Times New Roman" w:hAnsi="Times New Roman" w:cs="Times New Roman" w:eastAsia="Times New Roman"/>
          <w:sz w:val="24"/>
          <w:szCs w:val="24"/>
          <w:rtl w:val="0"/>
          <w:cs w:val="0"/>
          <w:lang w:val="en-US"/>
        </w:rPr>
        <w:t>Zanjari</w:t>
      </w:r>
      <w:r>
        <w:rPr>
          <w:rFonts w:ascii="Times New Roman" w:hAnsi="Times New Roman" w:cs="Times New Roman" w:eastAsia="Times New Roman"/>
          <w:sz w:val="24"/>
          <w:szCs w:val="24"/>
          <w:rtl w:val="0"/>
          <w:cs w:val="0"/>
          <w:lang w:val="en-US"/>
        </w:rPr>
        <w:t xml:space="preserve">, N; </w:t>
      </w:r>
      <w:r>
        <w:rPr>
          <w:rFonts w:ascii="Times New Roman" w:hAnsi="Times New Roman" w:cs="Times New Roman" w:eastAsia="Times New Roman"/>
          <w:sz w:val="24"/>
          <w:szCs w:val="24"/>
          <w:rtl w:val="0"/>
          <w:cs w:val="0"/>
          <w:lang w:val="en-US"/>
        </w:rPr>
        <w:t>Delbari</w:t>
      </w:r>
      <w:r>
        <w:rPr>
          <w:rFonts w:ascii="Times New Roman" w:hAnsi="Times New Roman" w:cs="Times New Roman" w:eastAsia="Times New Roman"/>
          <w:sz w:val="24"/>
          <w:szCs w:val="24"/>
          <w:rtl w:val="0"/>
          <w:cs w:val="0"/>
          <w:lang w:val="en-US"/>
        </w:rPr>
        <w:t xml:space="preserve">, A; </w:t>
      </w:r>
      <w:r>
        <w:rPr>
          <w:rFonts w:ascii="Times New Roman" w:hAnsi="Times New Roman" w:cs="Times New Roman" w:eastAsia="Times New Roman"/>
          <w:sz w:val="24"/>
          <w:szCs w:val="24"/>
          <w:rtl w:val="0"/>
          <w:cs w:val="0"/>
          <w:lang w:val="en-US"/>
        </w:rPr>
        <w:t>Foroughan</w:t>
      </w:r>
      <w:r>
        <w:rPr>
          <w:rFonts w:ascii="Times New Roman" w:hAnsi="Times New Roman" w:cs="Times New Roman" w:eastAsia="Times New Roman"/>
          <w:sz w:val="24"/>
          <w:szCs w:val="24"/>
          <w:rtl w:val="0"/>
          <w:cs w:val="0"/>
          <w:lang w:val="en-US"/>
        </w:rPr>
        <w:t xml:space="preserve">, M; &amp; </w:t>
      </w:r>
      <w:r>
        <w:rPr>
          <w:rFonts w:ascii="Times New Roman" w:hAnsi="Times New Roman" w:cs="Times New Roman" w:eastAsia="Times New Roman"/>
          <w:sz w:val="24"/>
          <w:szCs w:val="24"/>
          <w:rtl w:val="0"/>
          <w:cs w:val="0"/>
          <w:lang w:val="en-US"/>
        </w:rPr>
        <w:t>Tabesh</w:t>
      </w:r>
      <w:r>
        <w:rPr>
          <w:rFonts w:ascii="Times New Roman" w:hAnsi="Times New Roman" w:cs="Times New Roman" w:eastAsia="Times New Roman"/>
          <w:sz w:val="24"/>
          <w:szCs w:val="24"/>
          <w:rtl w:val="0"/>
          <w:cs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eastAsia="Times New Roman"/>
          <w:sz w:val="24"/>
          <w:szCs w:val="24"/>
          <w:rtl w:val="0"/>
          <w:cs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Pyszczynski, T., Lockett, M., Greenberg, J., &amp; Solomon, S. (2021). Terror management theory and the COVID-19 pandemic. Journal of Humanistic Psychology, 61(2), 173–189. </w:t>
      </w:r>
      <w:hyperlink r:id="rIdDoiPysz21" w:history="1">
        <w:r>
          <w:rPr>
            <w:rFonts w:ascii="Times New Roman" w:hAnsi="Times New Roman" w:eastAsia="Times New Roman" w:cs="B Lotus"/>
            <w:rStyle w:val="Hyperlink"/>
            <w:sz w:val="28"/>
            <w:szCs w:val="28"/>
            <w:rtl w:val="0"/>
            <w:cs w:val="0"/>
            <w:lang w:val="en-US"/>
          </w:rPr>
          <w:t xml:space="preserve">https://doi.org/10.1177/0022167820959488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14"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Rowe, J. W., &amp; Kahn, R. L. (2015). Successful aging 2.0: Conceptual expansions for the 21st century. The Journals of Gerontology, Series B, 70(4), 593–596. </w:t>
      </w:r>
      <w:hyperlink r:id="rIdDoiRowe15" w:history="1">
        <w:r>
          <w:rPr>
            <w:rFonts w:ascii="Times New Roman" w:hAnsi="Times New Roman" w:eastAsia="Times New Roman" w:cs="B Lotus"/>
            <w:rStyle w:val="Hyperlink"/>
            <w:sz w:val="28"/>
            <w:szCs w:val="28"/>
            <w:rtl w:val="0"/>
            <w:cs w:val="0"/>
            <w:lang w:val="en-US"/>
          </w:rPr>
          <w:t xml:space="preserve">https://doi.org/10.1093/geronb/gbv025</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17" w:history="1">
        <w:r>
          <w:rPr>
            <w:rFonts w:ascii="Times New Roman" w:hAnsi="Times New Roman" w:eastAsia="Times New Roman" w:cs="B Lotus"/>
            <w:rStyle w:val="Hyperlink"/>
            <w:sz w:val="28"/>
            <w:szCs w:val="28"/>
            <w:rtl w:val="0"/>
            <w:cs w:val="0"/>
            <w:lang w:val="en-US"/>
          </w:rPr>
          <w:t xml:space="preserve">https://doi.org/10.1093/geronb/gbv062</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Wong, P. T. P. (2008). Meaning management theory and death acceptance. In A. Tomer, G. T. Eliason, &amp; P. T. P. Wong (Eds.), Existential and spiritual issues in death attitudes (pp. 65–87). Erlbaum.</w:t>
      </w:r>
    </w:p>
    <w:p w14:paraId="524B98F9"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w:t>
      </w:r>
      <w:r>
        <w:rPr>
          <w:rFonts w:ascii="Times New Roman" w:eastAsia="Times New Roman" w:hAnsi="Times New Roman" w:cs="Times New Roman"/>
          <w:color w:val="auto"/>
          <w:rtl w:val="0"/>
          <w:cs w:val="0"/>
          <w:lang w:val="en-US"/>
        </w:rPr>
        <w:t xml:space="preserve">, D. N; &amp; </w:t>
      </w:r>
      <w:r>
        <w:rPr>
          <w:rFonts w:ascii="Times New Roman" w:eastAsia="Times New Roman" w:hAnsi="Times New Roman" w:cs="Times New Roman"/>
          <w:color w:val="auto"/>
          <w:rtl w:val="0"/>
          <w:cs w:val="0"/>
          <w:lang w:val="en-US"/>
        </w:rPr>
        <w:t>Işık</w:t>
      </w:r>
      <w:r>
        <w:rPr>
          <w:rFonts w:ascii="Times New Roman" w:eastAsia="Times New Roman" w:hAnsi="Times New Roman" w:cs="Times New Roman"/>
          <w:color w:val="auto"/>
          <w:rtl w:val="0"/>
          <w:cs w:val="0"/>
          <w:lang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s="Times New Roman"/>
          <w:color w:val="auto"/>
          <w:rtl w:val="0"/>
          <w:cs w:val="0"/>
          <w:lang w:val="en-US"/>
        </w:rPr>
        <w:t> \t "_</w:t>
      </w:r>
      <w:r>
        <w:rPr>
          <w:rFonts w:ascii="Times New Roman" w:eastAsia="Times New Roman" w:hAnsi="Times New Roman" w:cs="Times New Roman"/>
          <w:color w:val="auto"/>
          <w:rtl w:val="0"/>
          <w:cs w:val="0"/>
          <w:lang w:val="en-US"/>
        </w:rPr>
        <w:t>new"https</w:t>
      </w:r>
      <w:r>
        <w:rPr>
          <w:rFonts w:ascii="Times New Roman" w:eastAsia="Times New Roman" w:hAnsi="Times New Roman" w:cs="Times New Roman"/>
          <w:color w:val="auto"/>
          <w:rtl w:val="0"/>
          <w:cs w:val="0"/>
          <w:lang w:val="en-US"/>
        </w:rPr>
        <w:t>://doi.org/10.1007/s12144-024-05659-5</w:t>
      </w:r>
    </w:p>
    <w:p w14:paraId="46B915CB" w14:textId="77777777">
      <w:pPr>
        <w:autoSpaceDE/>
        <w:autoSpaceDN/>
        <w:bidi w:val="0"/>
        <w:adjustRightInd/>
        <w:jc w:val="right"/>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14:paraId="401C5CB0" w14:textId="77777777">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w:t>
      </w:r>
      <w:r>
        <w:rPr>
          <w:rFonts w:ascii="Times New Roman" w:hAnsi="Times New Roman" w:cs="Times New Roman" w:eastAsia="Times New Roman"/>
          <w:sz w:val="24"/>
          <w:szCs w:val="24"/>
          <w:rtl w:val="0"/>
          <w:cs w:val="0"/>
          <w:lang w:val="en-US"/>
        </w:rPr>
        <w:t>, J; et al. (2023). The twilight of immunity: emerging concepts in aging of the immune system. Nature Immunology.</w:t>
      </w:r>
    </w:p>
    <w:p w14:paraId="1B1CA33B" w14:textId="77777777">
      <w:pPr>
        <w:bidi w:val="0"/>
        <w:spacing w:line="276" w:lineRule="auto"/>
        <w:jc w:val="both"/>
      </w:pPr>
    </w:p>
    <w:p w14:paraId="46224998" w14:textId="4585F891">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w:t>
      </w:r>
      <w:r>
        <w:rPr>
          <w:rFonts w:ascii="Times New Roman" w:hAnsi="Times New Roman" w:cs="Times New Roman" w:eastAsia="Times New Roman"/>
          <w:sz w:val="24"/>
          <w:szCs w:val="24"/>
          <w:rtl w:val="0"/>
          <w:cs w:val="0"/>
          <w:lang w:val="en-US"/>
        </w:rPr>
        <w:t xml:space="preserve">, L. F; van </w:t>
      </w:r>
      <w:r>
        <w:rPr>
          <w:rFonts w:ascii="Times New Roman" w:hAnsi="Times New Roman" w:cs="Times New Roman" w:eastAsia="Times New Roman"/>
          <w:sz w:val="24"/>
          <w:szCs w:val="24"/>
          <w:rtl w:val="0"/>
          <w:cs w:val="0"/>
          <w:lang w:val="en-US"/>
        </w:rPr>
        <w:t>Harreveld</w:t>
      </w:r>
      <w:r>
        <w:rPr>
          <w:rFonts w:ascii="Times New Roman" w:hAnsi="Times New Roman" w:cs="Times New Roman" w:eastAsia="Times New Roman"/>
          <w:sz w:val="24"/>
          <w:szCs w:val="24"/>
          <w:rtl w:val="0"/>
          <w:cs w:val="0"/>
          <w:lang w:val="en-US"/>
        </w:rPr>
        <w:t xml:space="preserve">, F., &amp; van der </w:t>
      </w:r>
      <w:r>
        <w:rPr>
          <w:rFonts w:ascii="Times New Roman" w:hAnsi="Times New Roman" w:cs="Times New Roman" w:eastAsia="Times New Roman"/>
          <w:sz w:val="24"/>
          <w:szCs w:val="24"/>
          <w:rtl w:val="0"/>
          <w:cs w:val="0"/>
          <w:lang w:val="en-US"/>
        </w:rPr>
        <w:t>Pligt</w:t>
      </w:r>
      <w:r>
        <w:rPr>
          <w:rFonts w:ascii="Times New Roman" w:hAnsi="Times New Roman" w:cs="Times New Roman" w:eastAsia="Times New Roman"/>
          <w:sz w:val="24"/>
          <w:szCs w:val="24"/>
          <w:rtl w:val="0"/>
          <w:cs w:val="0"/>
          <w:lang w:val="en-US"/>
        </w:rPr>
        <w:t xml:space="preserve">, J. (2022). The psychology of death anxiety and mortality </w:t>
      </w:r>
      <w:r>
        <w:rPr>
          <w:rFonts w:ascii="Times New Roman" w:hAnsi="Times New Roman" w:cs="Times New Roman" w:eastAsia="Times New Roman"/>
          <w:sz w:val="24"/>
          <w:szCs w:val="24"/>
          <w:rtl w:val="0"/>
          <w:cs w:val="0"/>
          <w:lang w:val="en-US"/>
        </w:rPr>
        <w:t>salience.</w:t>
      </w:r>
      <w:r>
        <w:rPr>
          <w:rFonts w:ascii="Times New Roman" w:hAnsi="Times New Roman" w:cs="Times New Roman" w:eastAsia="Times New Roman"/>
          <w:noProof/>
          <w:sz w:val="24"/>
          <w:szCs w:val="24"/>
          <w:rtl w:val="0"/>
          <w:cs w:val="0"/>
          <w:lang w:val="en-US"/>
        </w:rPr>
        <w:t>Noyes</w:t>
      </w:r>
      <w:r>
        <w:rPr>
          <w:rFonts w:ascii="Times New Roman" w:hAnsi="Times New Roman" w:cs="Times New Roman" w:eastAsia="Times New Roman"/>
          <w:noProof/>
          <w:sz w:val="24"/>
          <w:szCs w:val="24"/>
          <w:rtl w:val="0"/>
          <w:cs w:val="0"/>
          <w:lang w:val="en-US"/>
        </w:rPr>
        <w:t>, R., Jr., Stuart, S., Longley, S. L., Langbehn, D. R., &amp; Happel, R. L. (2002). Hypochondriasis and fear of death. Journal of Nervous and Mental Disease, 190(8), 503–509. </w:t>
      </w:r>
      <w:hyperlink r:id="rIdU117">
        <w:r>
          <w:rPr>
            <w:rStyle w:val="Hyperlink"/>
            <w:rFonts w:ascii="Times New Roman" w:hAnsi="Times New Roman" w:cs="Times New Roman"/>
            <w:noProof/>
            <w:sz w:val="24"/>
            <w:szCs w:val="24"/>
            <w:rtl w:val="0"/>
            <w:lang w:val="en-US"/>
          </w:rPr>
          <w:t xml:space="preserve">https://doi.org/10.1097/00005053-200208000-00002</w:t>
        </w:r>
      </w:hyperlink>
    </w:p>
    <w:p w14:paraId="2C6E1C9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://doi.org/10.1080/16549716.2024.2362310</w:t>
      </w:r>
    </w:p>
    <w:p w14:paraId="174CAF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14:paraId="25C7699A"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w:t>
      </w:r>
      <w:r>
        <w:rPr>
          <w:rFonts w:ascii="Times New Roman" w:hAnsi="Times New Roman" w:cs="Times New Roman" w:eastAsia="Times New Roman"/>
          <w:sz w:val="24"/>
          <w:szCs w:val="24"/>
          <w:rtl w:val="0"/>
          <w:cs w:val="0"/>
          <w:lang w:val="en-US"/>
        </w:rPr>
        <w:t xml:space="preserve">, A; Mohammadi, I; Rajai, S; </w:t>
      </w:r>
      <w:r>
        <w:rPr>
          <w:rFonts w:ascii="Times New Roman" w:hAnsi="Times New Roman" w:cs="Times New Roman" w:eastAsia="Times New Roman"/>
          <w:sz w:val="24"/>
          <w:szCs w:val="24"/>
          <w:rtl w:val="0"/>
          <w:cs w:val="0"/>
          <w:lang w:val="en-US"/>
        </w:rPr>
        <w:t>Jafarabady</w:t>
      </w:r>
      <w:r>
        <w:rPr>
          <w:rFonts w:ascii="Times New Roman" w:hAnsi="Times New Roman" w:cs="Times New Roman" w:eastAsia="Times New Roman"/>
          <w:sz w:val="24"/>
          <w:szCs w:val="24"/>
          <w:rtl w:val="0"/>
          <w:cs w:val="0"/>
          <w:lang w:val="en-US"/>
        </w:rPr>
        <w:t xml:space="preserve">, K; &amp; </w:t>
      </w:r>
      <w:r>
        <w:rPr>
          <w:rFonts w:ascii="Times New Roman" w:hAnsi="Times New Roman" w:cs="Times New Roman" w:eastAsia="Times New Roman"/>
          <w:sz w:val="24"/>
          <w:szCs w:val="24"/>
          <w:rtl w:val="0"/>
          <w:cs w:val="0"/>
          <w:lang w:val="en-US"/>
        </w:rPr>
        <w:t>Abdollahi</w:t>
      </w:r>
      <w:r>
        <w:rPr>
          <w:rFonts w:ascii="Times New Roman" w:hAnsi="Times New Roman" w:cs="Times New Roman" w:eastAsia="Times New Roman"/>
          <w:sz w:val="24"/>
          <w:szCs w:val="24"/>
          <w:rtl w:val="0"/>
          <w:cs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eastAsia="Times New Roman"/>
          <w:sz w:val="24"/>
          <w:szCs w:val="24"/>
          <w:rtl w:val="0"/>
          <w:cs w:val="0"/>
          <w:lang w:val="en-US"/>
        </w:rPr>
        <w:t>https://doi.org/10.1002/jgf2.750</w:t>
      </w:r>
    </w:p>
    <w:p w14:paraId="6E2B06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14:paraId="24491DC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14:paraId="5ADEE5A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w:t>
      </w:r>
      <w:r>
        <w:rPr>
          <w:rFonts w:ascii="Times New Roman" w:eastAsia="Times New Roman" w:hAnsi="Times New Roman" w:cs="Times New Roman" w:hint="cs"/>
          <w:sz w:val="24"/>
          <w:szCs w:val="24"/>
          <w:rtl w:val="0"/>
          <w:cs w:val="0"/>
          <w:lang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van </w:t>
      </w:r>
      <w:r>
        <w:rPr>
          <w:rFonts w:ascii="Times New Roman" w:eastAsia="Times New Roman" w:hAnsi="Times New Roman" w:cs="Times New Roman" w:hint="cs"/>
          <w:sz w:val="24"/>
          <w:szCs w:val="24"/>
          <w:rtl w:val="0"/>
          <w:cs w:val="0"/>
          <w:lang w:val="en-US"/>
        </w:rPr>
        <w:t>Bruggen</w:t>
      </w:r>
      <w:r>
        <w:rPr>
          <w:rFonts w:ascii="Times New Roman" w:eastAsia="Times New Roman" w:hAnsi="Times New Roman" w:cs="Times New Roman" w:hint="cs"/>
          <w:sz w:val="24"/>
          <w:szCs w:val="24"/>
          <w:rtl w:val="0"/>
          <w:cs w:val="0"/>
          <w:lang w:val="en-US"/>
        </w:rPr>
        <w:t xml:space="preserve">, V; Vos, J., </w:t>
      </w:r>
      <w:r>
        <w:rPr>
          <w:rFonts w:ascii="Times New Roman" w:eastAsia="Times New Roman" w:hAnsi="Times New Roman" w:cs="Times New Roman" w:hint="cs"/>
          <w:sz w:val="24"/>
          <w:szCs w:val="24"/>
          <w:rtl w:val="0"/>
          <w:cs w:val="0"/>
          <w:lang w:val="en-US"/>
        </w:rPr>
        <w:t>Bohlmeijer</w:t>
      </w:r>
      <w:r>
        <w:rPr>
          <w:rFonts w:ascii="Times New Roman" w:eastAsia="Times New Roman" w:hAnsi="Times New Roman" w:cs="Times New Roman" w:hint="cs"/>
          <w:sz w:val="24"/>
          <w:szCs w:val="24"/>
          <w:rtl w:val="0"/>
          <w:cs w:val="0"/>
          <w:lang w:val="en-US"/>
        </w:rPr>
        <w:t>,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14:paraId="527BE1A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Wang, S; Lin, J., </w:t>
      </w:r>
      <w:r>
        <w:rPr>
          <w:rFonts w:ascii="Times New Roman" w:eastAsia="Times New Roman" w:hAnsi="Times New Roman" w:cs="Times New Roman" w:hint="cs"/>
          <w:sz w:val="24"/>
          <w:szCs w:val="24"/>
          <w:rtl w:val="0"/>
          <w:cs w:val="0"/>
          <w:lang w:val="en-US"/>
        </w:rPr>
        <w:t>Kuang</w:t>
      </w:r>
      <w:r>
        <w:rPr>
          <w:rFonts w:ascii="Times New Roman" w:eastAsia="Times New Roman" w:hAnsi="Times New Roman" w:cs="Times New Roman" w:hint="cs"/>
          <w:sz w:val="24"/>
          <w:szCs w:val="24"/>
          <w:rtl w:val="0"/>
          <w:cs w:val="0"/>
          <w:lang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14:paraId="08FE5E9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Younes, R. S; </w:t>
      </w:r>
      <w:r>
        <w:rPr>
          <w:rFonts w:ascii="Times New Roman" w:eastAsia="Times New Roman" w:hAnsi="Times New Roman" w:cs="Times New Roman" w:hint="cs"/>
          <w:sz w:val="24"/>
          <w:szCs w:val="24"/>
          <w:rtl w:val="0"/>
          <w:cs w:val="0"/>
          <w:lang w:val="en-US"/>
        </w:rPr>
        <w:t>Rahme</w:t>
      </w:r>
      <w:r>
        <w:rPr>
          <w:rFonts w:ascii="Times New Roman" w:eastAsia="Times New Roman" w:hAnsi="Times New Roman" w:cs="Times New Roman" w:hint="cs"/>
          <w:sz w:val="24"/>
          <w:szCs w:val="24"/>
          <w:rtl w:val="0"/>
          <w:cs w:val="0"/>
          <w:lang w:val="en-US"/>
        </w:rPr>
        <w:t xml:space="preserve">, E; </w:t>
      </w:r>
      <w:r>
        <w:rPr>
          <w:rFonts w:ascii="Times New Roman" w:eastAsia="Times New Roman" w:hAnsi="Times New Roman" w:cs="Times New Roman" w:hint="cs"/>
          <w:sz w:val="24"/>
          <w:szCs w:val="24"/>
          <w:rtl w:val="0"/>
          <w:cs w:val="0"/>
          <w:lang w:val="en-US"/>
        </w:rPr>
        <w:t>Rajha</w:t>
      </w:r>
      <w:r>
        <w:rPr>
          <w:rFonts w:ascii="Times New Roman" w:eastAsia="Times New Roman" w:hAnsi="Times New Roman" w:cs="Times New Roman" w:hint="cs"/>
          <w:sz w:val="24"/>
          <w:szCs w:val="24"/>
          <w:rtl w:val="0"/>
          <w:cs w:val="0"/>
          <w:lang w:val="en-US"/>
        </w:rPr>
        <w:t xml:space="preserve">, F; &amp; </w:t>
      </w:r>
      <w:r>
        <w:rPr>
          <w:rFonts w:ascii="Times New Roman" w:eastAsia="Times New Roman" w:hAnsi="Times New Roman" w:cs="Times New Roman" w:hint="cs"/>
          <w:sz w:val="24"/>
          <w:szCs w:val="24"/>
          <w:rtl w:val="0"/>
          <w:cs w:val="0"/>
          <w:lang w:val="en-US"/>
        </w:rPr>
        <w:t>Mzawak</w:t>
      </w:r>
      <w:r>
        <w:rPr>
          <w:rFonts w:ascii="Times New Roman" w:eastAsia="Times New Roman" w:hAnsi="Times New Roman" w:cs="Times New Roman" w:hint="cs"/>
          <w:sz w:val="24"/>
          <w:szCs w:val="24"/>
          <w:rtl w:val="0"/>
          <w:cs w:val="0"/>
          <w:lang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cs w:val="0"/>
          <w:lang w:val="en-US"/>
        </w:rPr>
        <w:t>Fereshteghan</w:t>
      </w:r>
      <w:r>
        <w:rPr>
          <w:rFonts w:ascii="Times New Roman" w:eastAsia="Times New Roman" w:hAnsi="Times New Roman" w:cs="Times New Roman" w:hint="cs"/>
          <w:sz w:val="24"/>
          <w:szCs w:val="24"/>
          <w:rtl w:val="0"/>
          <w:cs w:val="0"/>
          <w:lang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cs w:val="0"/>
          <w:lang w:val="en-US"/>
        </w:rPr>
        <w:t>Salkoskis</w:t>
      </w:r>
      <w:r>
        <w:rPr>
          <w:rFonts w:ascii="Times New Roman" w:eastAsia="Times New Roman" w:hAnsi="Times New Roman" w:cs="Times New Roman" w:hint="cs"/>
          <w:sz w:val="24"/>
          <w:szCs w:val="24"/>
          <w:rtl w:val="0"/>
          <w:cs w:val="0"/>
          <w:lang w:val="en-US"/>
        </w:rPr>
        <w:t xml:space="preserve"> and Warwick's Health Anxiety Questionnaire (2002), and </w:t>
      </w:r>
      <w:r>
        <w:rPr>
          <w:rFonts w:ascii="Times New Roman" w:eastAsia="Times New Roman" w:hAnsi="Times New Roman" w:cs="Times New Roman" w:hint="cs"/>
          <w:sz w:val="24"/>
          <w:szCs w:val="24"/>
          <w:rtl w:val="0"/>
          <w:cs w:val="0"/>
          <w:lang w:val="en-US"/>
        </w:rPr>
        <w:t>Templer's</w:t>
      </w:r>
      <w:r>
        <w:rPr>
          <w:rFonts w:ascii="Times New Roman" w:eastAsia="Times New Roman" w:hAnsi="Times New Roman" w:cs="Times New Roman" w:hint="cs"/>
          <w:sz w:val="24"/>
          <w:szCs w:val="24"/>
          <w:rtl w:val="0"/>
          <w:cs w:val="0"/>
          <w:lang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Keywords: Spiritual intelligence, health anxiety, death anxiety, elderly.</w:t>
      </w:r>
    </w:p>
    <w:p>
      <w:pPr>
        <w:pStyle w:val="EnglishText"/>
        <w:pageBreakBefore/>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b/>
          <w:bCs/>
          <w:noProof/>
          <w:sz w:val="36"/>
          <w:szCs w:val="36"/>
          <w:rtl w:val="0"/>
          <w:cs w:val="0"/>
          <w:lang w:val="en-US"/>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sz w:val="32"/>
          <w:szCs w:val="32"/>
          <w:rtl w:val="0"/>
          <w:cs w:val="0"/>
          <w:lang w:val="en-US"/>
        </w:rPr>
        <w:t xml:space="preserve">Payame Noor University</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Sari Center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Master's Thesis</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Psychology Major, Islamic Psychology Major, Positive Psychology Major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Title</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36"/>
          <w:szCs w:val="36"/>
          <w:rtl w:val="0"/>
          <w:cs w:val="0"/>
          <w:lang w:val="en-US"/>
        </w:rPr>
        <w:t xml:space="preserve">Relationship between Spiritual Intelligence and Health Anxiety with Death Anxiety in the Elderly</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Fereshtegan Nursing Home, Eslamshahr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Supervisor</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Babollah Bakhshipour Joibari</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Author</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Fatemeh Bayat</w:t>
      </w:r>
    </w:p>
    <w:p>
      <w:pPr>
        <w:pStyle w:val="EnglishText"/>
        <w:bidi w:val="0"/>
        <w:spacing w:before="0" w:after="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10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Inflammaging</w:t>
      </w:r>
    </w:p>
  </w:footnote>
  <w:footnote w:id="10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Franceschi</w:t>
      </w:r>
    </w:p>
  </w:footnote>
  <w:footnote w:id="10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Carstensen</w:t>
      </w:r>
    </w:p>
  </w:footnote>
  <w:footnote w:id="10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Westerhof</w:t>
      </w:r>
    </w:p>
  </w:footnote>
  <w:footnote w:id="11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Bohlmeijer</w:t>
      </w:r>
    </w:p>
  </w:footnote>
  <w:footnote w:id="11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McAdams</w:t>
      </w:r>
    </w:p>
  </w:footnote>
  <w:footnote w:id="11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Socioemotional Selectivity Theory</w:t>
      </w:r>
    </w:p>
  </w:footnote>
  <w:footnote w:id="11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positivity effect</w:t>
      </w:r>
    </w:p>
  </w:footnote>
  <w:footnote w:id="11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Isaacowitz</w:t>
      </w:r>
    </w:p>
  </w:footnote>
  <w:footnote w:id="11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Charles</w:t>
      </w:r>
    </w:p>
  </w:footnote>
  <w:footnote w:id="11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Reed</w:t>
      </w:r>
    </w:p>
  </w:footnote>
  <w:footnote w:id="11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Chan</w:t>
      </w:r>
    </w:p>
  </w:footnote>
  <w:footnote w:id="11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Mikels</w:t>
      </w:r>
    </w:p>
  </w:footnote>
  <w:footnote w:id="11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Rowe</w:t>
      </w:r>
    </w:p>
  </w:footnote>
  <w:footnote w:id="12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Kahn</w:t>
      </w:r>
    </w:p>
  </w:footnote>
  <w:footnote w:id="12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Pyszczynski, Lockett, Greenberg &amp; Solomon</w:t>
      </w:r>
    </w:p>
  </w:footnote>
  <w:footnote w:id="12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Iverach</w:t>
      </w:r>
    </w:p>
  </w:footnote>
  <w:footnote w:id="12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Menzies</w:t>
      </w:r>
    </w:p>
  </w:footnote>
  <w:footnote w:id="12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Meaning Management Theory</w:t>
      </w:r>
    </w:p>
  </w:footnote>
  <w:footnote w:id="12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Wong</w:t>
      </w:r>
    </w:p>
  </w:footnote>
  <w:footnote w:id="12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DeCicco</w:t>
      </w:r>
    </w:p>
  </w:footnote>
  <w:footnote w:id="12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Warwick</w:t>
      </w:r>
    </w:p>
  </w:footnote>
  <w:footnote w:id="12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Halldórsson</w:t>
      </w:r>
    </w:p>
  </w:footnote>
  <w:footnote w:id="12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Braddock</w:t>
      </w:r>
    </w:p>
  </w:footnote>
  <w:footnote w:id="13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Haigh</w:t>
      </w:r>
    </w:p>
  </w:footnote>
  <w:footnote w:id="13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Çarıkçı-Özgül</w:t>
      </w:r>
    </w:p>
  </w:footnote>
  <w:footnote w:id="13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Işık</w:t>
      </w:r>
    </w:p>
  </w:footnote>
  <w:footnote w:id="13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Stuart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val="1"/>
        <w:cs w:val="1"/>
        <w:lang w:val="en-US" w:eastAsia="en-US" w:bidi="fa-IR"/>
      </w:rPr>
    </w:rPrDefault>
    <w:pPrDefault>
      <w:pPr>
        <w:bidi w:val="1"/>
        <w:jc w:val="right"/>
      </w:pPr>
    </w:pPrDefault>
  </w:docDefaults>
  <w:latentStyles w:defLockedState="0" w:defUIPriority="99" w:defSemiHidden="0" w:defUnhideWhenUsed="0" w:defQFormat="0" w:count="377">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English Text" w:qFormat="1" w:uiPriority="99"/>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val="1"/>
      <w:cs w:val="1"/>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EnglishText">
    <w:name w:val="English Text"/>
    <w:basedOn w:val="Normal"/>
    <w:next w:val="EnglishText"/>
    <w:qFormat/>
    <w:pPr>
      <w:bidi w:val="0"/>
      <w:jc w:val="left"/>
    </w:pPr>
    <w:rPr>
      <w:rFonts w:ascii="Times New Roman" w:hAnsi="Times New Roman" w:eastAsia="Times New Roman" w:cs="Times New Roman"/>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val="1"/>
      <w:cs w:val="1"/>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val="1"/>
      <w:cs w:val="1"/>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val="1"/>
      <w:cs w:val="1"/>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val="1"/>
      <w:cs w:val="1"/>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val="1"/>
      <w:cs w:val="1"/>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val="1"/>
      <w:cs w:val="1"/>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bidi w:val="1"/>
      <w:spacing w:after="0" w:line="240" w:lineRule="auto"/>
      <w:jc w:val="right"/>
    </w:pPr>
    <w:rPr>
      <w:rFonts w:ascii="Times New Roman" w:hAnsi="Times New Roman" w:eastAsia="Times New Roman" w:cs="B Lotus"/>
      <w:rtl w:val="1"/>
      <w:cs w:val="1"/>
      <w:lang w:bidi="fa-IR" w:val="en-US"/>
    </w:r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bidi w:val="1"/>
      <w:spacing w:after="100"/>
      <w:jc w:val="right"/>
    </w:pPr>
    <w:rPr>
      <w:rFonts w:ascii="Times New Roman" w:hAnsi="Times New Roman" w:cs="B Lotus" w:eastAsia="Times New Roman"/>
      <w:b/>
      <w:bCs/>
      <w:noProof/>
      <w:color w:val="000000"/>
      <w:sz w:val="24"/>
      <w:szCs w:val="24"/>
      <w:rtl w:val="1"/>
      <w:cs w:val="1"/>
      <w:lang w:bidi="fa-IR" w:val="en-US"/>
    </w:rPr>
  </w:style>
  <w:style w:type="paragraph" w:styleId="TOC2">
    <w:name w:val="toc 2"/>
    <w:basedOn w:val="Normal"/>
    <w:next w:val="Normal"/>
    <w:autoRedefine/>
    <w:uiPriority w:val="39"/>
    <w:unhideWhenUsed/>
    <w:qFormat/>
    <w:pPr>
      <w:bidi w:val="1"/>
      <w:spacing w:after="100"/>
      <w:ind w:left="200"/>
      <w:jc w:val="right"/>
    </w:pPr>
    <w:rPr>
      <w:rFonts w:ascii="Times New Roman" w:hAnsi="Times New Roman" w:cs="B Lotus" w:eastAsia="Times New Roman"/>
      <w:color w:val="000000"/>
      <w:sz w:val="24"/>
      <w:szCs w:val="24"/>
      <w:rtl w:val="1"/>
      <w:cs w:val="1"/>
      <w:lang w:bidi="fa-IR" w:val="en-US"/>
    </w:rPr>
  </w:style>
  <w:style w:type="paragraph" w:styleId="TOC3">
    <w:name w:val="toc 3"/>
    <w:basedOn w:val="Normal"/>
    <w:next w:val="Normal"/>
    <w:autoRedefine/>
    <w:uiPriority w:val="39"/>
    <w:unhideWhenUsed/>
    <w:qFormat/>
    <w:pPr>
      <w:tabs>
        <w:tab w:val="right" w:leader="dot" w:pos="8494"/>
      </w:tabs>
      <w:bidi w:val="1"/>
      <w:spacing w:after="100"/>
      <w:ind w:left="400" w:right="400"/>
      <w:jc w:val="right"/>
    </w:pPr>
    <w:rPr>
      <w:rFonts w:ascii="Times New Roman" w:hAnsi="Times New Roman" w:cs="B Lotus" w:eastAsia="Times New Roman"/>
      <w:noProof/>
      <w:color w:val="000000"/>
      <w:sz w:val="24"/>
      <w:szCs w:val="24"/>
      <w:rtl w:val="1"/>
      <w:cs w:val="1"/>
      <w:lang w:bidi="fa-IR" w:val="en-US"/>
    </w:rPr>
  </w:style>
  <w:style w:type="paragraph" w:styleId="TOC4">
    <w:name w:val="toc 4"/>
    <w:basedOn w:val="Normal"/>
    <w:next w:val="Normal"/>
    <w:autoRedefine/>
    <w:uiPriority w:val="39"/>
    <w:unhideWhenUsed/>
    <w:pPr>
      <w:bidi w:val="1"/>
      <w:spacing w:after="100"/>
      <w:ind w:left="660"/>
      <w:jc w:val="right"/>
    </w:pPr>
    <w:rPr>
      <w:rFonts w:ascii="Times New Roman" w:eastAsia="Times New Roman" w:hAnsi="Times New Roman" w:cs="B Lotus"/>
      <w:color w:val="000000"/>
      <w:sz w:val="24"/>
      <w:szCs w:val="24"/>
      <w:rtl w:val="1"/>
      <w:cs w:val="1"/>
      <w:lang w:bidi="fa-IR" w:val="en-US"/>
    </w:rPr>
  </w:style>
  <w:style w:type="paragraph" w:styleId="TOC5">
    <w:name w:val="toc 5"/>
    <w:basedOn w:val="Normal"/>
    <w:next w:val="Normal"/>
    <w:autoRedefine/>
    <w:uiPriority w:val="39"/>
    <w:unhideWhenUsed/>
    <w:pPr>
      <w:bidi w:val="1"/>
      <w:spacing w:after="100"/>
      <w:ind w:left="880"/>
      <w:jc w:val="right"/>
    </w:pPr>
    <w:rPr>
      <w:rFonts w:ascii="Times New Roman" w:eastAsia="Times New Roman" w:hAnsi="Times New Roman" w:cs="B Lotus"/>
      <w:color w:val="000000"/>
      <w:sz w:val="24"/>
      <w:szCs w:val="24"/>
      <w:rtl w:val="1"/>
      <w:cs w:val="1"/>
      <w:lang w:bidi="fa-IR" w:val="en-US"/>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val="1"/>
      <w:cs w:val="1"/>
      <w:lang w:bidi="fa-IR" w:val="en-US"/>
    </w:rPr>
  </w:style>
  <w:style w:type="paragraph" w:styleId="TableofFigures">
    <w:name w:val="table of figures"/>
    <w:basedOn w:val="Normal"/>
    <w:next w:val="Normal"/>
    <w:uiPriority w:val="99"/>
    <w:qFormat/>
    <w:pPr>
      <w:tabs>
        <w:tab w:val="right" w:leader="dot" w:pos="8778"/>
      </w:tabs>
      <w:bidi w:val="1"/>
      <w:spacing w:before="0" w:after="40"/>
      <w:jc w:val="right"/>
    </w:pPr>
    <w:rPr>
      <w:rFonts w:ascii="Times New Roman" w:eastAsia="Times New Roman" w:hAnsi="Times New Roman" w:cs="B Lotus"/>
      <w:color w:val="000000"/>
      <w:sz w:val="24"/>
      <w:szCs w:val="24"/>
      <w:rtl w:val="1"/>
      <w:cs w:val="1"/>
      <w:lang w:eastAsia="en-US" w:bidi="fa-IR"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DoiFranc18" Type="http://schemas.openxmlformats.org/officeDocument/2006/relationships/hyperlink" Target="https://doi.org/10.1038/s41574-018-0059-4" TargetMode="External"/><Relationship Id="rIdDoiRowe15" Type="http://schemas.openxmlformats.org/officeDocument/2006/relationships/hyperlink" Target="https://doi.org/10.1093/geronb/gbv025" TargetMode="External"/><Relationship Id="rIdDoiWest17" Type="http://schemas.openxmlformats.org/officeDocument/2006/relationships/hyperlink" Target="https://doi.org/10.1093/geronb/gbv062" TargetMode="External"/><Relationship Id="rIdDoiIver14" Type="http://schemas.openxmlformats.org/officeDocument/2006/relationships/hyperlink" Target="https://doi.org/10.1016/j.cpr.2014.09.002" TargetMode="External"/><Relationship Id="rIdDoiMenz20" Type="http://schemas.openxmlformats.org/officeDocument/2006/relationships/hyperlink" Target="https://doi.org/10.1017/S1754470X20000215" TargetMode="External"/><Relationship Id="rIdDoiPysz21" Type="http://schemas.openxmlformats.org/officeDocument/2006/relationships/hyperlink" Target="https://doi.org/10.1177/0022167820959488"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SST99" Type="http://schemas.openxmlformats.org/officeDocument/2006/relationships/hyperlink" Target="https://doi.org/10.1037/0003-066X.54.3.165" TargetMode="External"/><Relationship Id="rIdDoiReed14" Type="http://schemas.openxmlformats.org/officeDocument/2006/relationships/hyperlink" Target="https://doi.org/10.1037/a0035194"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 Id="rIdDoiHav61" Type="http://schemas.openxmlformats.org/officeDocument/2006/relationships/hyperlink" Target="https://doi.org/10.1093/geront/1.1.8" TargetMode="External"/><Relationship Id="rIdDoiAtchley89" Type="http://schemas.openxmlformats.org/officeDocument/2006/relationships/hyperlink" Target="https://doi.org/10.1093/geront/29.2.183" TargetMode="External"/><Relationship Id="rIdDoiLopez23" Type="http://schemas.openxmlformats.org/officeDocument/2006/relationships/hyperlink" Target="https://doi.org/10.1016/j.cell.2022.1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