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276" w:lineRule="auto"/>
        <w:jc w:val="center"/>
      </w:pPr>
      <w:r>
        <w:rPr>
          <w:rFonts w:ascii="B Titr" w:hAnsi="B Titr" w:cs="B Titr"/>
          <w:b/>
          <w:color w:val="1F3864"/>
          <w:sz w:val="40"/>
          <w:szCs w:val="40"/>
          <w:rtl w:val="1"/>
          <w:lang w:bidi="fa-IR"/>
        </w:rPr>
        <w:t>اصلاح سه منبع</w:t>
      </w:r>
    </w:p>
    <w:p>
      <w:pPr>
        <w:bidi w:val="1"/>
        <w:spacing w:before="0" w:after="200" w:line="276" w:lineRule="auto"/>
        <w:jc w:val="center"/>
      </w:pPr>
      <w:r>
        <w:rPr>
          <w:rFonts w:ascii="B Lotus" w:hAnsi="B Lotus" w:cs="B Lotus"/>
          <w:b w:val="0"/>
          <w:color w:val="595959"/>
          <w:sz w:val="24"/>
          <w:szCs w:val="24"/>
          <w:rtl w:val="1"/>
          <w:lang w:bidi="fa-IR"/>
        </w:rPr>
        <w:t>بررسی نسخهٔ (Up-v2) — وضعیت منابع Zeng، Noyes و Wang &amp; Zhao</w:t>
      </w:r>
    </w:p>
    <w:p>
      <w:pPr>
        <w:bidi w:val="1"/>
        <w:spacing w:before="0" w:after="80" w:line="276" w:lineRule="auto"/>
        <w:jc w:val="right"/>
      </w:pPr>
      <w:r>
        <w:rPr>
          <w:rFonts w:ascii="B Titr" w:hAnsi="B Titr" w:cs="B Titr"/>
          <w:b/>
          <w:color w:val="1F3864"/>
          <w:sz w:val="28"/>
          <w:szCs w:val="28"/>
          <w:rtl w:val="1"/>
          <w:lang w:bidi="fa-IR"/>
        </w:rPr>
        <w:t>پاسخ کوتاه</w:t>
      </w:r>
    </w:p>
    <w:p>
      <w:pPr>
        <w:bidi w:val="1"/>
        <w:spacing w:before="0" w:after="160" w:line="276" w:lineRule="auto"/>
        <w:jc w:val="both"/>
      </w:pPr>
      <w:r>
        <w:rPr>
          <w:rFonts w:ascii="B Lotus" w:hAnsi="B Lotus" w:cs="B Lotus"/>
          <w:b w:val="0"/>
          <w:color w:val="C00000"/>
          <w:sz w:val="24"/>
          <w:szCs w:val="24"/>
          <w:rtl w:val="1"/>
          <w:lang w:bidi="fa-IR"/>
        </w:rPr>
        <w:t>بله، هر سه خطا در نسخهٔ Up-v2 هنوز پابرجاست. هیچ‌کدام اصلاح نشده‌اند. افزون بر این، مدخل Noyes دو بار در فهرست منابع تکرار شده و هر دو نسخه غلط است.</w:t>
      </w:r>
    </w:p>
    <w:p>
      <w:pPr>
        <w:bidi w:val="1"/>
        <w:spacing w:before="120" w:after="80" w:line="276" w:lineRule="auto"/>
        <w:jc w:val="right"/>
      </w:pPr>
      <w:r>
        <w:rPr>
          <w:rFonts w:ascii="B Titr" w:hAnsi="B Titr" w:cs="B Titr"/>
          <w:b/>
          <w:color w:val="B05A00"/>
          <w:sz w:val="30"/>
          <w:szCs w:val="30"/>
          <w:rtl w:val="1"/>
          <w:lang w:bidi="fa-IR"/>
        </w:rPr>
        <w:t>۱) Zeng — خطای شمارهٔ جلد</w:t>
      </w:r>
    </w:p>
    <w:p>
      <w:pPr>
        <w:bidi w:val="1"/>
        <w:spacing w:before="0" w:after="40" w:line="276" w:lineRule="auto"/>
        <w:jc w:val="right"/>
      </w:pPr>
      <w:r>
        <w:rPr>
          <w:rFonts w:ascii="B Lotus" w:hAnsi="B Lotus" w:cs="B Lotus"/>
          <w:b/>
          <w:sz w:val="23"/>
          <w:szCs w:val="23"/>
          <w:rtl w:val="1"/>
          <w:lang w:bidi="fa-IR"/>
        </w:rPr>
        <w:t>وضعیت فعلی در فهرست منابع:</w:t>
      </w:r>
    </w:p>
    <w:p>
      <w:pPr>
        <w:spacing w:before="40" w:after="80" w:line="264" w:lineRule="auto"/>
        <w:ind w:left="283"/>
        <w:jc w:val="left"/>
      </w:pPr>
      <w:r>
        <w:rPr>
          <w:rFonts w:ascii="Times New Roman" w:hAnsi="Times New Roman" w:cs="Times New Roman"/>
          <w:b w:val="0"/>
          <w:color w:val="C00000"/>
          <w:sz w:val="22"/>
          <w:szCs w:val="22"/>
          <w:lang w:bidi="fa-IR"/>
        </w:rPr>
        <w:t>Zeng, Y. (2011). Association of religious participation with mortality among Chinese old adults. Research on Aging, 1: 51-83.</w:t>
      </w:r>
    </w:p>
    <w:p>
      <w:pPr>
        <w:bidi w:val="1"/>
        <w:spacing w:before="0" w:after="80" w:line="276" w:lineRule="auto"/>
        <w:jc w:val="both"/>
      </w:pPr>
      <w:r>
        <w:rPr>
          <w:rFonts w:ascii="B Lotus" w:hAnsi="B Lotus" w:cs="B Lotus"/>
          <w:b w:val="0"/>
          <w:sz w:val="24"/>
          <w:szCs w:val="24"/>
          <w:rtl w:val="1"/>
          <w:lang w:bidi="fa-IR"/>
        </w:rPr>
        <w:t>سه ایراد: جلد «۱» نوشته شده که در واقع شمارهٔ نشریه است (جلد درست ۳۳ است)؛ دو نویسندهٔ دیگر (Danan Gu و Linda K. George) حذف شده‌اند؛ و قالب صفحه‌شماری با شیوه‌نامهٔ APA نمی‌خواند.</w:t>
      </w:r>
    </w:p>
    <w:p>
      <w:pPr>
        <w:bidi w:val="1"/>
        <w:spacing w:before="0" w:after="40" w:line="276" w:lineRule="auto"/>
        <w:jc w:val="right"/>
      </w:pPr>
      <w:r>
        <w:rPr>
          <w:rFonts w:ascii="B Lotus" w:hAnsi="B Lotus" w:cs="B Lotus"/>
          <w:b/>
          <w:color w:val="1E6B2E"/>
          <w:sz w:val="23"/>
          <w:szCs w:val="23"/>
          <w:rtl w:val="1"/>
          <w:lang w:bidi="fa-IR"/>
        </w:rPr>
        <w:t>جایگزین شود با:</w:t>
      </w:r>
    </w:p>
    <w:p>
      <w:pPr>
        <w:spacing w:before="40" w:after="80" w:line="264" w:lineRule="auto"/>
        <w:ind w:left="283"/>
        <w:jc w:val="left"/>
      </w:pPr>
      <w:r>
        <w:rPr>
          <w:rFonts w:ascii="Times New Roman" w:hAnsi="Times New Roman" w:cs="Times New Roman"/>
          <w:b w:val="0"/>
          <w:color w:val="1E6B2E"/>
          <w:sz w:val="22"/>
          <w:szCs w:val="22"/>
          <w:lang w:bidi="fa-IR"/>
        </w:rPr>
        <w:t>Zeng, Y., Gu, D., &amp; George, L. K. (2011). Association of religious participation with mortality among Chinese old adults. Research on Aging, 33(1), 51–83. https://doi.org/10.1177/0164027510383584</w:t>
      </w:r>
    </w:p>
    <w:p>
      <w:pPr>
        <w:bidi w:val="1"/>
        <w:spacing w:before="80" w:after="80" w:line="276" w:lineRule="auto"/>
        <w:jc w:val="both"/>
      </w:pPr>
      <w:r>
        <w:rPr>
          <w:rFonts w:ascii="B Lotus" w:hAnsi="B Lotus" w:cs="B Lotus"/>
          <w:b w:val="0"/>
          <w:sz w:val="24"/>
          <w:szCs w:val="24"/>
          <w:rtl w:val="1"/>
          <w:lang w:bidi="fa-IR"/>
        </w:rPr>
        <w:t>همچنین ادعای متن بدنه نادرست است. متن فعلی می‌گوید این پژوهش نشان داد اعمال مذهبی «بهداشت روانی» را افزایش می‌دهد (کاهش افسردگی، افزایش عزت نفس، حمایت اجتماعی و کیفیت زندگی). اما این مطالعه هیچ‌یک از این متغیرها را نسنجیده است؛ متغیر وابستهٔ آن «مرگ‌ومیر» بوده است.</w:t>
      </w:r>
    </w:p>
    <w:p>
      <w:pPr>
        <w:bidi w:val="1"/>
        <w:spacing w:before="0" w:after="40" w:line="276" w:lineRule="auto"/>
        <w:jc w:val="right"/>
      </w:pPr>
      <w:r>
        <w:rPr>
          <w:rFonts w:ascii="B Lotus" w:hAnsi="B Lotus" w:cs="B Lotus"/>
          <w:b/>
          <w:color w:val="1E6B2E"/>
          <w:sz w:val="23"/>
          <w:szCs w:val="23"/>
          <w:rtl w:val="1"/>
          <w:lang w:bidi="fa-IR"/>
        </w:rPr>
        <w:t>جملهٔ پیشنهادی برای متن بدنه:</w:t>
      </w:r>
    </w:p>
    <w:p>
      <w:pPr>
        <w:bidi w:val="1"/>
        <w:spacing w:before="0" w:after="160" w:line="276" w:lineRule="auto"/>
        <w:ind w:right="227"/>
        <w:jc w:val="both"/>
      </w:pPr>
      <w:r>
        <w:rPr>
          <w:rFonts w:ascii="B Lotus" w:hAnsi="B Lotus" w:cs="B Lotus"/>
          <w:b w:val="0"/>
          <w:color w:val="1E6B2E"/>
          <w:sz w:val="24"/>
          <w:szCs w:val="24"/>
          <w:rtl w:val="1"/>
          <w:lang w:bidi="fa-IR"/>
        </w:rPr>
        <w:t>«زنگ،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
        <w:br w:type="page"/>
      </w:r>
    </w:p>
    <w:p>
      <w:pPr>
        <w:bidi w:val="1"/>
        <w:spacing w:before="0" w:after="80" w:line="276" w:lineRule="auto"/>
        <w:jc w:val="right"/>
      </w:pPr>
      <w:r>
        <w:rPr>
          <w:rFonts w:ascii="B Titr" w:hAnsi="B Titr" w:cs="B Titr"/>
          <w:b/>
          <w:color w:val="C00000"/>
          <w:sz w:val="30"/>
          <w:szCs w:val="30"/>
          <w:rtl w:val="1"/>
          <w:lang w:bidi="fa-IR"/>
        </w:rPr>
        <w:t>۲) Noyes — منبعِ ارجاع‌شده اصلاً وجود ندارد</w:t>
      </w:r>
    </w:p>
    <w:p>
      <w:pPr>
        <w:bidi w:val="1"/>
        <w:spacing w:before="0" w:after="40" w:line="276" w:lineRule="auto"/>
        <w:jc w:val="right"/>
      </w:pPr>
      <w:r>
        <w:rPr>
          <w:rFonts w:ascii="B Lotus" w:hAnsi="B Lotus" w:cs="B Lotus"/>
          <w:b/>
          <w:sz w:val="23"/>
          <w:szCs w:val="23"/>
          <w:rtl w:val="1"/>
          <w:lang w:bidi="fa-IR"/>
        </w:rPr>
        <w:t>وضعیت فعلی در فهرست منابع (دو مدخل تکراری، هر دو غلط):</w:t>
      </w:r>
    </w:p>
    <w:p>
      <w:pPr>
        <w:spacing w:before="40" w:after="80" w:line="264" w:lineRule="auto"/>
        <w:ind w:left="283"/>
        <w:jc w:val="left"/>
      </w:pPr>
      <w:r>
        <w:rPr>
          <w:rFonts w:ascii="Times New Roman" w:hAnsi="Times New Roman" w:cs="Times New Roman"/>
          <w:b w:val="0"/>
          <w:color w:val="C00000"/>
          <w:sz w:val="22"/>
          <w:szCs w:val="22"/>
          <w:lang w:bidi="fa-IR"/>
        </w:rPr>
        <w:t>Noyes, R., Stuart, S., Langbehn, D. R., &amp; Happel, R. L. (2005). Anxiety and fear of death in hypochondriasis. Depression and Anxiety, 21(3), 153–162.</w:t>
      </w:r>
    </w:p>
    <w:p>
      <w:pPr>
        <w:spacing w:before="40" w:after="80" w:line="264" w:lineRule="auto"/>
        <w:ind w:left="283"/>
        <w:jc w:val="left"/>
      </w:pPr>
      <w:r>
        <w:rPr>
          <w:rFonts w:ascii="Times New Roman" w:hAnsi="Times New Roman" w:cs="Times New Roman"/>
          <w:b w:val="0"/>
          <w:color w:val="C00000"/>
          <w:sz w:val="22"/>
          <w:szCs w:val="22"/>
          <w:lang w:bidi="fa-IR"/>
        </w:rPr>
        <w:t>Noyes, R; Stuart, S; Langbehn, D. R; &amp; Happel, R. L. (2005). Anxiety and fear of death in hypochondriasis. Depression and Anxiety, 21(3), 153–162.</w:t>
      </w:r>
    </w:p>
    <w:p>
      <w:pPr>
        <w:bidi w:val="1"/>
        <w:spacing w:before="0" w:after="80" w:line="276" w:lineRule="auto"/>
        <w:jc w:val="both"/>
      </w:pPr>
      <w:r>
        <w:rPr>
          <w:rFonts w:ascii="B Lotus" w:hAnsi="B Lotus" w:cs="B Lotus"/>
          <w:b w:val="0"/>
          <w:sz w:val="24"/>
          <w:szCs w:val="24"/>
          <w:rtl w:val="1"/>
          <w:lang w:bidi="fa-IR"/>
        </w:rPr>
        <w:t>این ارجاع در سال، عنوان، نام مجله، جلد و صفحات نادرست است. جست‌وجو در PubMed نشان داد در سال ۲۰۰۵ هیچ مقاله‌ای از Noyes دربارهٔ خودبیمارانگاری در مجلهٔ Depression and Anxiety منتشر نشده است. ضمناً نام Susan L. Longley از فهرست نویسندگان جا افتاده است.</w:t>
      </w:r>
    </w:p>
    <w:p>
      <w:pPr>
        <w:bidi w:val="1"/>
        <w:spacing w:before="0" w:after="40" w:line="276" w:lineRule="auto"/>
        <w:jc w:val="right"/>
      </w:pPr>
      <w:r>
        <w:rPr>
          <w:rFonts w:ascii="B Lotus" w:hAnsi="B Lotus" w:cs="B Lotus"/>
          <w:b/>
          <w:color w:val="1E6B2E"/>
          <w:sz w:val="23"/>
          <w:szCs w:val="23"/>
          <w:rtl w:val="1"/>
          <w:lang w:bidi="fa-IR"/>
        </w:rPr>
        <w:t>هر دو مدخل حذف و یک مدخل زیر جایگزین شود:</w:t>
      </w:r>
    </w:p>
    <w:p>
      <w:pPr>
        <w:spacing w:before="40" w:after="80" w:line="264" w:lineRule="auto"/>
        <w:ind w:left="283"/>
        <w:jc w:val="left"/>
      </w:pPr>
      <w:r>
        <w:rPr>
          <w:rFonts w:ascii="Times New Roman" w:hAnsi="Times New Roman" w:cs="Times New Roman"/>
          <w:b w:val="0"/>
          <w:color w:val="1E6B2E"/>
          <w:sz w:val="22"/>
          <w:szCs w:val="22"/>
          <w:lang w:bidi="fa-IR"/>
        </w:rPr>
        <w:t>Noyes, R., Jr., Stuart, S., Longley, S. L., Langbehn, D. R., &amp; Happel, R. L. (2002). Hypochondriasis and fear of death. Journal of Nervous and Mental Disease, 190(8), 503–509. https://doi.org/10.1097/00005053-200208000-00002</w:t>
      </w:r>
    </w:p>
    <w:p>
      <w:pPr>
        <w:bidi w:val="1"/>
        <w:spacing w:before="80" w:after="80" w:line="276" w:lineRule="auto"/>
        <w:jc w:val="both"/>
      </w:pPr>
      <w:r>
        <w:rPr>
          <w:rFonts w:ascii="B Lotus" w:hAnsi="B Lotus" w:cs="B Lotus"/>
          <w:b w:val="0"/>
          <w:sz w:val="24"/>
          <w:szCs w:val="24"/>
          <w:rtl w:val="1"/>
          <w:lang w:bidi="fa-IR"/>
        </w:rPr>
        <w:t>ادعای متن بدنه نیز باید تعدیل شود. متن فعلی می‌گوید «در مطالعه‌ای بر روی افراد مسن»، در حالی که نمونهٔ پژوهش ۱۶۲ بیمار سرپایی عمومی بود (۴۹ نفر با تشخیص خودبیمارانگاری و ۱۱۳ نفر بدون آن)، نه سالمندان. یافتهٔ اصلی درست است و می‌توانید آن را نگه دارید.</w:t>
      </w:r>
    </w:p>
    <w:p>
      <w:pPr>
        <w:bidi w:val="1"/>
        <w:spacing w:before="0" w:after="40" w:line="276" w:lineRule="auto"/>
        <w:jc w:val="right"/>
      </w:pPr>
      <w:r>
        <w:rPr>
          <w:rFonts w:ascii="B Lotus" w:hAnsi="B Lotus" w:cs="B Lotus"/>
          <w:b/>
          <w:color w:val="1E6B2E"/>
          <w:sz w:val="23"/>
          <w:szCs w:val="23"/>
          <w:rtl w:val="1"/>
          <w:lang w:bidi="fa-IR"/>
        </w:rPr>
        <w:t>جملهٔ پیشنهادی برای متن بدنه:</w:t>
      </w:r>
    </w:p>
    <w:p>
      <w:pPr>
        <w:bidi w:val="1"/>
        <w:spacing w:before="0" w:after="80" w:line="276" w:lineRule="auto"/>
        <w:ind w:right="227"/>
        <w:jc w:val="both"/>
      </w:pPr>
      <w:r>
        <w:rPr>
          <w:rFonts w:ascii="B Lotus" w:hAnsi="B Lotus" w:cs="B Lotus"/>
          <w:b w:val="0"/>
          <w:color w:val="1E6B2E"/>
          <w:sz w:val="24"/>
          <w:szCs w:val="24"/>
          <w:rtl w:val="1"/>
          <w:lang w:bidi="fa-IR"/>
        </w:rPr>
        <w:t>«نویز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pPr>
        <w:bidi w:val="1"/>
        <w:spacing w:before="0" w:after="160" w:line="276" w:lineRule="auto"/>
        <w:jc w:val="both"/>
      </w:pPr>
      <w:r>
        <w:rPr>
          <w:rFonts w:ascii="B Lotus" w:hAnsi="B Lotus" w:cs="B Lotus"/>
          <w:b w:val="0"/>
          <w:color w:val="595959"/>
          <w:sz w:val="22"/>
          <w:szCs w:val="22"/>
          <w:rtl w:val="1"/>
          <w:lang w:bidi="fa-IR"/>
        </w:rPr>
        <w:t>توجه: در متن بدنه دو جا به «نویز و همکاران (۲۰۰۵)» ارجاع شده است؛ هر دو باید به (۲۰۰۲) تغییر کند.</w:t>
      </w:r>
    </w:p>
    <w:p>
      <w:r>
        <w:br w:type="page"/>
      </w:r>
    </w:p>
    <w:p>
      <w:pPr>
        <w:bidi w:val="1"/>
        <w:spacing w:before="0" w:after="80" w:line="276" w:lineRule="auto"/>
        <w:jc w:val="right"/>
      </w:pPr>
      <w:r>
        <w:rPr>
          <w:rFonts w:ascii="B Titr" w:hAnsi="B Titr" w:cs="B Titr"/>
          <w:b/>
          <w:color w:val="C00000"/>
          <w:sz w:val="30"/>
          <w:szCs w:val="30"/>
          <w:rtl w:val="1"/>
          <w:lang w:bidi="fa-IR"/>
        </w:rPr>
        <w:t>۳) Wang &amp; Zhao — منبع قابل تأیید نیست</w:t>
      </w:r>
    </w:p>
    <w:p>
      <w:pPr>
        <w:bidi w:val="1"/>
        <w:spacing w:before="0" w:after="40" w:line="276" w:lineRule="auto"/>
        <w:jc w:val="right"/>
      </w:pPr>
      <w:r>
        <w:rPr>
          <w:rFonts w:ascii="B Lotus" w:hAnsi="B Lotus" w:cs="B Lotus"/>
          <w:b/>
          <w:sz w:val="23"/>
          <w:szCs w:val="23"/>
          <w:rtl w:val="1"/>
          <w:lang w:bidi="fa-IR"/>
        </w:rPr>
        <w:t>این ارجاع در متن بدنه آمده است:</w:t>
      </w:r>
    </w:p>
    <w:p>
      <w:pPr>
        <w:bidi w:val="1"/>
        <w:spacing w:before="0" w:after="80" w:line="276" w:lineRule="auto"/>
        <w:ind w:right="227"/>
        <w:jc w:val="both"/>
      </w:pPr>
      <w:r>
        <w:rPr>
          <w:rFonts w:ascii="B Lotus" w:hAnsi="B Lotus" w:cs="B Lotus"/>
          <w:b w:val="0"/>
          <w:color w:val="595959"/>
          <w:sz w:val="24"/>
          <w:szCs w:val="24"/>
          <w:rtl w:val="1"/>
          <w:lang w:bidi="fa-IR"/>
        </w:rPr>
        <w:t>«وانگ و ژائو (۲۰۲۰) ضمن پژوهشی به رابطه هوش معنوی با بهزیستی روانی و هدف در زندگی سالمندان پرداختند … ۴۰۰ سالمند از شهر شنبانگ به روش نمونه‌گیری در دسترس انتخاب شدند …»</w:t>
      </w:r>
    </w:p>
    <w:p>
      <w:pPr>
        <w:bidi w:val="1"/>
        <w:spacing w:before="0" w:after="80" w:line="276" w:lineRule="auto"/>
        <w:jc w:val="both"/>
      </w:pPr>
      <w:r>
        <w:rPr>
          <w:rFonts w:ascii="B Lotus" w:hAnsi="B Lotus" w:cs="B Lotus"/>
          <w:b w:val="0"/>
          <w:sz w:val="24"/>
          <w:szCs w:val="24"/>
          <w:rtl w:val="1"/>
          <w:lang w:bidi="fa-IR"/>
        </w:rPr>
        <w:t>اما هیچ مدخلی برای این منبع در فهرست منابع Up-v2 وجود ندارد. جست‌وجو در PubMed، Springer، PLOS، Google Scholar و منابع فارسی نیز هیچ مقاله‌ای با این نویسندگان، سال، موضوع و حجم نمونه نیافت.</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bidiVisual/>
      </w:tblPr>
      <w:tblGrid>
        <w:gridCol w:w="9752"/>
      </w:tblGrid>
      <w:tr>
        <w:tc>
          <w:tcPr>
            <w:tcW w:type="dxa" w:w="9752"/>
            <w:shd w:val="clear" w:fill="FBE4E4"/>
          </w:tcPr>
          <w:p>
            <w:pPr>
              <w:bidi w:val="1"/>
              <w:spacing w:before="30" w:after="30"/>
              <w:jc w:val="right"/>
            </w:pPr>
            <w:r/>
            <w:r>
              <w:rPr>
                <w:rFonts w:ascii="B Lotus" w:hAnsi="B Lotus" w:cs="B Lotus"/>
                <w:b/>
                <w:color w:val="C00000"/>
                <w:sz w:val="24"/>
                <w:szCs w:val="24"/>
                <w:rtl w:val="1"/>
                <w:lang w:bidi="fa-IR"/>
              </w:rPr>
              <w:t>هشدار</w:t>
            </w:r>
          </w:p>
        </w:tc>
      </w:tr>
      <w:tr>
        <w:tc>
          <w:tcPr>
            <w:tcW w:type="dxa" w:w="9752"/>
          </w:tcPr>
          <w:p>
            <w:pPr>
              <w:bidi w:val="1"/>
              <w:spacing w:before="30" w:after="30"/>
              <w:jc w:val="both"/>
            </w:pPr>
            <w:r/>
            <w:r>
              <w:rPr>
                <w:rFonts w:ascii="B Lotus" w:hAnsi="B Lotus" w:cs="B Lotus"/>
                <w:b w:val="0"/>
                <w:sz w:val="23"/>
                <w:szCs w:val="23"/>
                <w:rtl w:val="1"/>
                <w:lang w:bidi="fa-IR"/>
              </w:rPr>
              <w:t>برخلاف منبع Zeng — که فقط شمارهٔ جلد جابه‌جا شده بود و با اصلاح آن بلافاصله پیدا شد — برای این ارجاع هیچ مورد نزدیکی هم یافت نشد. تا زمانی که اصل مقاله (DOI یا فایل PDF) در دست نباشد، نباید مشخصات کتاب‌شناختی برای آن حدس زده شود؛ نوشتن مشخصات ساختگی در فهرست منابع خطای علمی جدی است.</w:t>
            </w:r>
          </w:p>
        </w:tc>
      </w:tr>
    </w:tbl>
    <w:p>
      <w:pPr>
        <w:bidi w:val="1"/>
        <w:spacing w:before="0" w:after="120" w:line="276" w:lineRule="auto"/>
        <w:jc w:val="both"/>
      </w:pPr>
    </w:p>
    <w:p>
      <w:pPr>
        <w:bidi w:val="1"/>
        <w:spacing w:before="0" w:after="80" w:line="276" w:lineRule="auto"/>
        <w:jc w:val="right"/>
      </w:pPr>
      <w:r>
        <w:rPr>
          <w:rFonts w:ascii="B Lotus" w:hAnsi="B Lotus" w:cs="B Lotus"/>
          <w:b/>
          <w:sz w:val="24"/>
          <w:szCs w:val="24"/>
          <w:rtl w:val="1"/>
          <w:lang w:bidi="fa-IR"/>
        </w:rPr>
        <w:t>دو راه پیش رو دارید:</w:t>
      </w:r>
    </w:p>
    <w:p>
      <w:pPr>
        <w:bidi w:val="1"/>
        <w:spacing w:before="0" w:after="100" w:line="276" w:lineRule="auto"/>
        <w:ind w:right="227"/>
        <w:jc w:val="both"/>
      </w:pPr>
      <w:r>
        <w:rPr>
          <w:rFonts w:ascii="B Lotus" w:hAnsi="B Lotus" w:cs="B Lotus"/>
          <w:b w:val="0"/>
          <w:sz w:val="23"/>
          <w:szCs w:val="23"/>
          <w:rtl w:val="1"/>
          <w:lang w:bidi="fa-IR"/>
        </w:rPr>
        <w:t>• اصل مقاله را پیدا و ارائه کنید تا مشخصات دقیق آن استخراج شود.</w:t>
      </w:r>
    </w:p>
    <w:p>
      <w:pPr>
        <w:bidi w:val="1"/>
        <w:spacing w:before="0" w:after="100" w:line="276" w:lineRule="auto"/>
        <w:ind w:right="227"/>
        <w:jc w:val="both"/>
      </w:pPr>
      <w:r>
        <w:rPr>
          <w:rFonts w:ascii="B Lotus" w:hAnsi="B Lotus" w:cs="B Lotus"/>
          <w:b w:val="0"/>
          <w:sz w:val="23"/>
          <w:szCs w:val="23"/>
          <w:rtl w:val="1"/>
          <w:lang w:bidi="fa-IR"/>
        </w:rPr>
        <w:t>• اگر مقاله در دسترس نیست، این ارجاع و جملهٔ وابسته به آن از بخش پیشینهٔ خارجی حذف شود. با توجه به آنکه مطالب مشابهی در همان بخش از منابع معتبرِ تأییدشده نقل شده است، حذف آن آسیبی به استدلال فصل دوم نمی‌زند.</w:t>
      </w:r>
    </w:p>
    <w:p>
      <w:pPr>
        <w:bidi w:val="1"/>
        <w:spacing w:before="80" w:after="160" w:line="276" w:lineRule="auto"/>
        <w:jc w:val="both"/>
      </w:pPr>
      <w:r>
        <w:rPr>
          <w:rFonts w:ascii="B Lotus" w:hAnsi="B Lotus" w:cs="B Lotus"/>
          <w:b w:val="0"/>
          <w:color w:val="595959"/>
          <w:sz w:val="22"/>
          <w:szCs w:val="22"/>
          <w:rtl w:val="1"/>
          <w:lang w:bidi="fa-IR"/>
        </w:rPr>
        <w:t>نکته: در فایل فعلی، نام «شنبانگ» احتمالاً غلط تایپی «شنیانگ» (Shenyang) است. این نکته هنگام جست‌وجوی مقاله می‌تواند کمک کند.</w:t>
      </w:r>
    </w:p>
    <w:p>
      <w:pPr>
        <w:bidi w:val="1"/>
        <w:spacing w:before="120" w:after="80" w:line="276" w:lineRule="auto"/>
        <w:jc w:val="right"/>
      </w:pPr>
      <w:r>
        <w:rPr>
          <w:rFonts w:ascii="B Titr" w:hAnsi="B Titr" w:cs="B Titr"/>
          <w:b/>
          <w:color w:val="1F3864"/>
          <w:sz w:val="30"/>
          <w:szCs w:val="30"/>
          <w:rtl w:val="1"/>
          <w:lang w:bidi="fa-IR"/>
        </w:rPr>
        <w:t>جمع‌بندی</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bidiVisual/>
      </w:tblPr>
      <w:tblGrid>
        <w:gridCol w:w="2438"/>
        <w:gridCol w:w="2438"/>
        <w:gridCol w:w="2438"/>
        <w:gridCol w:w="2438"/>
      </w:tblGrid>
      <w:tr>
        <w:tc>
          <w:tcPr>
            <w:tcW w:type="dxa" w:w="2438"/>
            <w:shd w:val="clear" w:fill="DCE6F1"/>
          </w:tcPr>
          <w:p>
            <w:pPr>
              <w:bidi w:val="1"/>
              <w:spacing w:before="30" w:after="30"/>
              <w:jc w:val="center"/>
            </w:pPr>
            <w:r/>
            <w:r>
              <w:rPr>
                <w:rFonts w:ascii="B Lotus" w:hAnsi="B Lotus" w:cs="B Lotus"/>
                <w:b/>
                <w:sz w:val="21"/>
                <w:szCs w:val="21"/>
                <w:rtl w:val="1"/>
                <w:lang w:bidi="fa-IR"/>
              </w:rPr>
              <w:t>منبع</w:t>
            </w:r>
          </w:p>
        </w:tc>
        <w:tc>
          <w:tcPr>
            <w:tcW w:type="dxa" w:w="2438"/>
            <w:shd w:val="clear" w:fill="DCE6F1"/>
          </w:tcPr>
          <w:p>
            <w:pPr>
              <w:bidi w:val="1"/>
              <w:spacing w:before="30" w:after="30"/>
              <w:jc w:val="center"/>
            </w:pPr>
            <w:r/>
            <w:r>
              <w:rPr>
                <w:rFonts w:ascii="B Lotus" w:hAnsi="B Lotus" w:cs="B Lotus"/>
                <w:b/>
                <w:sz w:val="21"/>
                <w:szCs w:val="21"/>
                <w:rtl w:val="1"/>
                <w:lang w:bidi="fa-IR"/>
              </w:rPr>
              <w:t>وضعیت در Up-v2</w:t>
            </w:r>
          </w:p>
        </w:tc>
        <w:tc>
          <w:tcPr>
            <w:tcW w:type="dxa" w:w="2438"/>
            <w:shd w:val="clear" w:fill="DCE6F1"/>
          </w:tcPr>
          <w:p>
            <w:pPr>
              <w:bidi w:val="1"/>
              <w:spacing w:before="30" w:after="30"/>
              <w:jc w:val="center"/>
            </w:pPr>
            <w:r/>
            <w:r>
              <w:rPr>
                <w:rFonts w:ascii="B Lotus" w:hAnsi="B Lotus" w:cs="B Lotus"/>
                <w:b/>
                <w:sz w:val="21"/>
                <w:szCs w:val="21"/>
                <w:rtl w:val="1"/>
                <w:lang w:bidi="fa-IR"/>
              </w:rPr>
              <w:t>نوع خطا</w:t>
            </w:r>
          </w:p>
        </w:tc>
        <w:tc>
          <w:tcPr>
            <w:tcW w:type="dxa" w:w="2438"/>
            <w:shd w:val="clear" w:fill="DCE6F1"/>
          </w:tcPr>
          <w:p>
            <w:pPr>
              <w:bidi w:val="1"/>
              <w:spacing w:before="30" w:after="30"/>
              <w:jc w:val="center"/>
            </w:pPr>
            <w:r/>
            <w:r>
              <w:rPr>
                <w:rFonts w:ascii="B Lotus" w:hAnsi="B Lotus" w:cs="B Lotus"/>
                <w:b/>
                <w:sz w:val="21"/>
                <w:szCs w:val="21"/>
                <w:rtl w:val="1"/>
                <w:lang w:bidi="fa-IR"/>
              </w:rPr>
              <w:t>اقدام</w:t>
            </w:r>
          </w:p>
        </w:tc>
      </w:tr>
      <w:tr>
        <w:tc>
          <w:tcPr>
            <w:tcW w:type="dxa" w:w="2438"/>
            <w:shd w:val="clear" w:fill="F7F9FC"/>
          </w:tcPr>
          <w:p>
            <w:pPr>
              <w:bidi w:val="1"/>
              <w:spacing w:before="30" w:after="30"/>
              <w:jc w:val="right"/>
            </w:pPr>
            <w:r/>
            <w:r>
              <w:rPr>
                <w:rFonts w:ascii="B Lotus" w:hAnsi="B Lotus" w:cs="B Lotus"/>
                <w:b w:val="0"/>
                <w:sz w:val="21"/>
                <w:szCs w:val="21"/>
                <w:rtl w:val="1"/>
                <w:lang w:bidi="fa-IR"/>
              </w:rPr>
              <w:t>Zeng (2011)</w:t>
            </w:r>
          </w:p>
        </w:tc>
        <w:tc>
          <w:tcPr>
            <w:tcW w:type="dxa" w:w="2438"/>
            <w:shd w:val="clear" w:fill="F7F9FC"/>
          </w:tcPr>
          <w:p>
            <w:pPr>
              <w:bidi w:val="1"/>
              <w:spacing w:before="30" w:after="30"/>
              <w:jc w:val="center"/>
            </w:pPr>
            <w:r/>
            <w:r>
              <w:rPr>
                <w:rFonts w:ascii="B Lotus" w:hAnsi="B Lotus" w:cs="B Lotus"/>
                <w:b w:val="0"/>
                <w:sz w:val="21"/>
                <w:szCs w:val="21"/>
                <w:rtl w:val="1"/>
                <w:lang w:bidi="fa-IR"/>
              </w:rPr>
              <w:t>اصلاح نشده</w:t>
            </w:r>
          </w:p>
        </w:tc>
        <w:tc>
          <w:tcPr>
            <w:tcW w:type="dxa" w:w="2438"/>
            <w:shd w:val="clear" w:fill="F7F9FC"/>
          </w:tcPr>
          <w:p>
            <w:pPr>
              <w:bidi w:val="1"/>
              <w:spacing w:before="30" w:after="30"/>
              <w:jc w:val="center"/>
            </w:pPr>
            <w:r/>
            <w:r>
              <w:rPr>
                <w:rFonts w:ascii="B Lotus" w:hAnsi="B Lotus" w:cs="B Lotus"/>
                <w:b w:val="0"/>
                <w:sz w:val="21"/>
                <w:szCs w:val="21"/>
                <w:rtl w:val="1"/>
                <w:lang w:bidi="fa-IR"/>
              </w:rPr>
              <w:t>جلد، نویسندگان، ادعای متن</w:t>
            </w:r>
          </w:p>
        </w:tc>
        <w:tc>
          <w:tcPr>
            <w:tcW w:type="dxa" w:w="2438"/>
            <w:shd w:val="clear" w:fill="F7F9FC"/>
          </w:tcPr>
          <w:p>
            <w:pPr>
              <w:bidi w:val="1"/>
              <w:spacing w:before="30" w:after="30"/>
              <w:jc w:val="center"/>
            </w:pPr>
            <w:r/>
            <w:r>
              <w:rPr>
                <w:rFonts w:ascii="B Lotus" w:hAnsi="B Lotus" w:cs="B Lotus"/>
                <w:b w:val="0"/>
                <w:sz w:val="21"/>
                <w:szCs w:val="21"/>
                <w:rtl w:val="1"/>
                <w:lang w:bidi="fa-IR"/>
              </w:rPr>
              <w:t>جایگزینی مدخل + بازنویسی جمله</w:t>
            </w:r>
          </w:p>
        </w:tc>
      </w:tr>
      <w:tr>
        <w:tc>
          <w:tcPr>
            <w:tcW w:type="dxa" w:w="2438"/>
          </w:tcPr>
          <w:p>
            <w:pPr>
              <w:bidi w:val="1"/>
              <w:spacing w:before="30" w:after="30"/>
              <w:jc w:val="right"/>
            </w:pPr>
            <w:r/>
            <w:r>
              <w:rPr>
                <w:rFonts w:ascii="B Lotus" w:hAnsi="B Lotus" w:cs="B Lotus"/>
                <w:b w:val="0"/>
                <w:sz w:val="21"/>
                <w:szCs w:val="21"/>
                <w:rtl w:val="1"/>
                <w:lang w:bidi="fa-IR"/>
              </w:rPr>
              <w:t>Noyes (2005)</w:t>
            </w:r>
          </w:p>
        </w:tc>
        <w:tc>
          <w:tcPr>
            <w:tcW w:type="dxa" w:w="2438"/>
          </w:tcPr>
          <w:p>
            <w:pPr>
              <w:bidi w:val="1"/>
              <w:spacing w:before="30" w:after="30"/>
              <w:jc w:val="center"/>
            </w:pPr>
            <w:r/>
            <w:r>
              <w:rPr>
                <w:rFonts w:ascii="B Lotus" w:hAnsi="B Lotus" w:cs="B Lotus"/>
                <w:b w:val="0"/>
                <w:sz w:val="21"/>
                <w:szCs w:val="21"/>
                <w:rtl w:val="1"/>
                <w:lang w:bidi="fa-IR"/>
              </w:rPr>
              <w:t>اصلاح نشده + تکراری</w:t>
            </w:r>
          </w:p>
        </w:tc>
        <w:tc>
          <w:tcPr>
            <w:tcW w:type="dxa" w:w="2438"/>
          </w:tcPr>
          <w:p>
            <w:pPr>
              <w:bidi w:val="1"/>
              <w:spacing w:before="30" w:after="30"/>
              <w:jc w:val="center"/>
            </w:pPr>
            <w:r/>
            <w:r>
              <w:rPr>
                <w:rFonts w:ascii="B Lotus" w:hAnsi="B Lotus" w:cs="B Lotus"/>
                <w:b w:val="0"/>
                <w:sz w:val="21"/>
                <w:szCs w:val="21"/>
                <w:rtl w:val="1"/>
                <w:lang w:bidi="fa-IR"/>
              </w:rPr>
              <w:t>کل ارجاع اشتباه است</w:t>
            </w:r>
          </w:p>
        </w:tc>
        <w:tc>
          <w:tcPr>
            <w:tcW w:type="dxa" w:w="2438"/>
          </w:tcPr>
          <w:p>
            <w:pPr>
              <w:bidi w:val="1"/>
              <w:spacing w:before="30" w:after="30"/>
              <w:jc w:val="center"/>
            </w:pPr>
            <w:r/>
            <w:r>
              <w:rPr>
                <w:rFonts w:ascii="B Lotus" w:hAnsi="B Lotus" w:cs="B Lotus"/>
                <w:b w:val="0"/>
                <w:sz w:val="21"/>
                <w:szCs w:val="21"/>
                <w:rtl w:val="1"/>
                <w:lang w:bidi="fa-IR"/>
              </w:rPr>
              <w:t>حذف دو مدخل + افزودن مدخل ۲۰۰۲</w:t>
            </w:r>
          </w:p>
        </w:tc>
      </w:tr>
      <w:tr>
        <w:tc>
          <w:tcPr>
            <w:tcW w:type="dxa" w:w="2438"/>
            <w:shd w:val="clear" w:fill="F7F9FC"/>
          </w:tcPr>
          <w:p>
            <w:pPr>
              <w:bidi w:val="1"/>
              <w:spacing w:before="30" w:after="30"/>
              <w:jc w:val="right"/>
            </w:pPr>
            <w:r/>
            <w:r>
              <w:rPr>
                <w:rFonts w:ascii="B Lotus" w:hAnsi="B Lotus" w:cs="B Lotus"/>
                <w:b w:val="0"/>
                <w:sz w:val="21"/>
                <w:szCs w:val="21"/>
                <w:rtl w:val="1"/>
                <w:lang w:bidi="fa-IR"/>
              </w:rPr>
              <w:t>Wang &amp; Zhao (2020)</w:t>
            </w:r>
          </w:p>
        </w:tc>
        <w:tc>
          <w:tcPr>
            <w:tcW w:type="dxa" w:w="2438"/>
            <w:shd w:val="clear" w:fill="F7F9FC"/>
          </w:tcPr>
          <w:p>
            <w:pPr>
              <w:bidi w:val="1"/>
              <w:spacing w:before="30" w:after="30"/>
              <w:jc w:val="center"/>
            </w:pPr>
            <w:r/>
            <w:r>
              <w:rPr>
                <w:rFonts w:ascii="B Lotus" w:hAnsi="B Lotus" w:cs="B Lotus"/>
                <w:b w:val="0"/>
                <w:sz w:val="21"/>
                <w:szCs w:val="21"/>
                <w:rtl w:val="1"/>
                <w:lang w:bidi="fa-IR"/>
              </w:rPr>
              <w:t>بدون مدخل</w:t>
            </w:r>
          </w:p>
        </w:tc>
        <w:tc>
          <w:tcPr>
            <w:tcW w:type="dxa" w:w="2438"/>
            <w:shd w:val="clear" w:fill="F7F9FC"/>
          </w:tcPr>
          <w:p>
            <w:pPr>
              <w:bidi w:val="1"/>
              <w:spacing w:before="30" w:after="30"/>
              <w:jc w:val="center"/>
            </w:pPr>
            <w:r/>
            <w:r>
              <w:rPr>
                <w:rFonts w:ascii="B Lotus" w:hAnsi="B Lotus" w:cs="B Lotus"/>
                <w:b w:val="0"/>
                <w:sz w:val="21"/>
                <w:szCs w:val="21"/>
                <w:rtl w:val="1"/>
                <w:lang w:bidi="fa-IR"/>
              </w:rPr>
              <w:t>منبع پیدا نشد</w:t>
            </w:r>
          </w:p>
        </w:tc>
        <w:tc>
          <w:tcPr>
            <w:tcW w:type="dxa" w:w="2438"/>
            <w:shd w:val="clear" w:fill="F7F9FC"/>
          </w:tcPr>
          <w:p>
            <w:pPr>
              <w:bidi w:val="1"/>
              <w:spacing w:before="30" w:after="30"/>
              <w:jc w:val="center"/>
            </w:pPr>
            <w:r/>
            <w:r>
              <w:rPr>
                <w:rFonts w:ascii="B Lotus" w:hAnsi="B Lotus" w:cs="B Lotus"/>
                <w:b w:val="0"/>
                <w:sz w:val="21"/>
                <w:szCs w:val="21"/>
                <w:rtl w:val="1"/>
                <w:lang w:bidi="fa-IR"/>
              </w:rPr>
              <w:t>ارائهٔ اصل مقاله یا حذف ارجاع</w:t>
            </w:r>
          </w:p>
        </w:tc>
      </w:tr>
    </w:tbl>
    <w:p>
      <w:pPr>
        <w:bidi w:val="1"/>
        <w:spacing w:before="160" w:after="80" w:line="276" w:lineRule="auto"/>
        <w:jc w:val="both"/>
      </w:pPr>
      <w:r>
        <w:rPr>
          <w:rFonts w:ascii="B Lotus" w:hAnsi="B Lotus" w:cs="B Lotus"/>
          <w:b w:val="0"/>
          <w:color w:val="B05A00"/>
          <w:sz w:val="23"/>
          <w:szCs w:val="23"/>
          <w:rtl w:val="1"/>
          <w:lang w:bidi="fa-IR"/>
        </w:rPr>
        <w:t>هر سه مورد الگوی یکسانی دارند: سال ارجاع غلط است و خلاصهٔ مطالعه در متن با آنچه پژوهش واقعاً سنجیده تفاوت دارد. اصلاح سال آسان است، اما ناهم‌خوانی محتوایی همان چیزی است که در جلسهٔ دفاع پرسیده می‌شود.</w:t>
      </w:r>
    </w:p>
    <w:sectPr w:rsidR="00FC693F" w:rsidRPr="0006063C" w:rsidSect="00034616">
      <w:pgSz w:w="11906" w:h="16838"/>
      <w:pgMar w:top="1134" w:right="1077" w:bottom="1134" w:left="107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