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dirty="true"/>
      </w:r>
      <w:r>
        <w:rPr>
          <w:cs w:val="0"/>
        </w:rPr>
        <w:instrText xml:space="preserve"> TOC \o "1-5" \h \z \u </w:instrText>
      </w:r>
      <w:r>
        <w:fldChar w:fldCharType="separate"/>
      </w:r>
      <w:hyperlink w:anchor="_TocChekideh" w:history="1">
        <w:r>
          <w:rPr>
            <w:cs w:val="0"/>
          </w:rPr>
          <w:t>چکیده</w:t>
        </w:r>
        <w:r>
          <w:rPr>
            <w:webHidden/>
            <w:rtl w:val="0"/>
            <w:cs w:val="0"/>
          </w:rPr>
          <w:tab/>
        </w:r>
        <w:r>
          <w:rPr>
            <w:webHidden/>
            <w:rtl w:val="0"/>
          </w:rPr>
          <w:fldChar w:fldCharType="begin" w:dirty="true"/>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dirty="true"/>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dirty="true"/>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dirty="true"/>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dirty="true"/>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dirty="true"/>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dirty="true"/>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dirty="true"/>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dirty="true"/>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dirty="true"/>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dirty="true"/>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dirty="true"/>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dirty="true"/>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dirty="true"/>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dirty="true"/>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dirty="true"/>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dirty="true"/>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dirty="true"/>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dirty="true"/>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dirty="true"/>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dirty="true"/>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dirty="true"/>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dirty="true"/>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dirty="true"/>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dirty="true"/>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dirty="true"/>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dirty="true"/>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dirty="true"/>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dirty="true"/>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dirty="true"/>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dirty="true"/>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dirty="true"/>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dirty="true"/>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dirty="true"/>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dirty="true"/>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dirty="true"/>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dirty="true"/>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۲-۲-۲-۳- نظریه مدیریت وحشت (</w:t>
        </w:r>
        <w:r>
          <w:rPr>
            <w:noProof/>
            <w:rtl w:val="0"/>
            <w:cs w:val="0"/>
          </w:rPr>
          <w:t>TMT)</w:t>
        </w:r>
        <w:r>
          <w:rPr>
            <w:noProof/>
            <w:webHidden/>
            <w:rtl w:val="0"/>
            <w:cs w:val="0"/>
          </w:rPr>
          <w:tab/>
        </w:r>
        <w:r>
          <w:rPr>
            <w:noProof/>
            <w:webHidden/>
            <w:rtl w:val="0"/>
          </w:rPr>
          <w:fldChar w:fldCharType="begin" w:dirty="true"/>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dirty="true"/>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dirty="true"/>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dirty="true"/>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dirty="true"/>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dirty="true"/>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dirty="true"/>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dirty="true"/>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dirty="true"/>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dirty="true"/>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dirty="true"/>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dirty="true"/>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dirty="true"/>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dirty="true"/>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dirty="true"/>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dirty="true"/>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dirty="true"/>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dirty="true"/>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dirty="true"/>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dirty="true"/>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dirty="true"/>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dirty="true"/>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dirty="true"/>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dirty="true"/>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dirty="true"/>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dirty="true"/>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dirty="true"/>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dirty="true"/>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۳-۳-۲- پرسشنامه اضطراب مرگ (DAS)</w:t>
        </w:r>
        <w:r>
          <w:rPr>
            <w:webHidden/>
            <w:rtl w:val="0"/>
            <w:cs w:val="0"/>
          </w:rPr>
          <w:tab/>
        </w:r>
        <w:r>
          <w:rPr>
            <w:webHidden/>
            <w:rtl w:val="0"/>
          </w:rPr>
          <w:fldChar w:fldCharType="begin" w:dirty="true"/>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۳-۳-۳- پرسشنامه اضطراب سلامتی (HAI)</w:t>
        </w:r>
        <w:r>
          <w:rPr>
            <w:webHidden/>
            <w:rtl w:val="0"/>
            <w:cs w:val="0"/>
          </w:rPr>
          <w:tab/>
        </w:r>
        <w:r>
          <w:rPr>
            <w:webHidden/>
            <w:rtl w:val="0"/>
          </w:rPr>
          <w:fldChar w:fldCharType="begin" w:dirty="true"/>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dirty="true"/>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dirty="true"/>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dirty="true"/>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dirty="true"/>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dirty="true"/>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dirty="true"/>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dirty="true"/>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dirty="true"/>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dirty="true"/>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dirty="true"/>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dirty="true"/>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dirty="true"/>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dirty="true"/>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dirty="true"/>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24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dirty="true"/>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dirty="true"/>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dirty="true"/>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dirty="true"/>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dirty="true"/>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p>
    <w:p>
      <w:pPr>
        <w:bidi/>
        <w:jc w:val="center"/>
      </w:pPr>
      <w:r>
        <w:rPr>
          <w:rFonts w:ascii="Times New Roman" w:hAnsi="Times New Roman" w:eastAsia="Times New Roman" w:cs="B Titr"/>
          <w:b/>
          <w:bCs/>
        </w:rPr>
        <w:t>فهرست اشکال</w:t>
      </w:r>
    </w:p>
    <w:p>
      <w:pPr>
        <w:pStyle w:val="TableofFigures"/>
      </w:pPr>
      <w:r>
        <w:fldChar w:fldCharType="begin" w:dirty="true"/>
      </w:r>
      <w:r>
        <w:instrText xml:space="preserve"> TOC \h \z \c "شکل" </w:instrText>
      </w:r>
      <w:r>
        <w:fldChar w:fldCharType="separate"/>
      </w:r>
      <w:r>
        <w:t> </w:t>
      </w:r>
      <w:r>
        <w:fldChar w:fldCharType="end"/>
      </w:r>
    </w:p>
    <w:p w:rsidR="008908D0" w:rsidRDefault="002D5E38">
      <w:pPr>
        <w:pStyle w:val="TableofFigures"/>
        <w:rPr>
          <w:noProof/>
          <w:kern w:val="2"/>
          <w:cs w:val="0"/>
          <w14:ligatures w14:val="standardContextual"/>
        </w:rPr>
        <w:sectPr w:rsidR="008908D0">
          <w:footerReference w:type="default" r:id="rId9"/>
          <w:footnotePr>
            <w:numRestart w:val="eachPage"/>
          </w:footnotePr>
          <w:pgSz w:w="11906" w:h="16838" w:code="9"/>
          <w:pgMar w:top="1417" w:right="1561" w:bottom="1417" w:left="1277" w:header="709" w:footer="567" w:gutter="0"/>
          <w:pgNumType w:fmt="arabicAlpha" w:start="1"/>
          <w:cols w:space="708"/>
          <w:bidi/>
          <w:rtlGutter/>
          <w:docGrid w:linePitch="360"/>
        </w:sectPr>
      </w:pPr>
      <w:r>
        <w:fldChar w:fldCharType="end"/>
      </w:r>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Fonts w:ascii="Times New Roman" w:hAnsi="Times New Roman" w:eastAsia="Times New Roman" w:cs="Times New Roman"/>
          <w:rStyle w:val="FootnoteReference"/>
          <w:lang w:bidi="fa-IR"/>
        </w:rPr>
        <w:footnoteReference w:id="8"/>
      </w:r>
      <w:r>
        <w:rPr>
          <w:rFonts w:hint="cs"/>
          <w:cs w:val="0"/>
        </w:rPr>
        <w:t xml:space="preserve"> و مورگان</w:t>
      </w:r>
      <w:r>
        <w:rPr>
          <w:rFonts w:ascii="Times New Roman" w:hAnsi="Times New Roman" w:eastAsia="Times New Roman" w:cs="Times New Roman"/>
          <w:rStyle w:val="FootnoteReference"/>
          <w:lang w:bidi="fa-IR"/>
        </w:rPr>
        <w:footnoteReference w:id="7"/>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Fonts w:ascii="Times New Roman" w:hAnsi="Times New Roman" w:eastAsia="Times New Roman" w:cs="Times New Roman"/>
          <w:rStyle w:val="FootnoteReference"/>
          <w:lang w:bidi="fa-IR"/>
        </w:rPr>
        <w:footnoteReference w:id="6"/>
      </w:r>
      <w:r>
        <w:rPr>
          <w:rFonts w:hint="cs"/>
          <w:cs w:val="0"/>
        </w:rPr>
        <w:t xml:space="preserve"> و دی‌سیکو (۲۰۰۹)، پرسشنامه اضطراب سلامتی</w:t>
      </w:r>
      <w:r>
        <w:rPr>
          <w:rFonts w:ascii="Times New Roman" w:hAnsi="Times New Roman" w:eastAsia="Times New Roman" w:cs="Times New Roman"/>
          <w:rStyle w:val="FootnoteReference"/>
          <w:lang w:bidi="fa-IR"/>
        </w:rPr>
        <w:footnoteReference w:id="5"/>
      </w:r>
      <w:r>
        <w:rPr>
          <w:rFonts w:hint="cs"/>
          <w:cs w:val="0"/>
        </w:rPr>
        <w:t xml:space="preserve"> سالکوسکیس</w:t>
      </w:r>
      <w:r>
        <w:rPr>
          <w:rFonts w:ascii="Times New Roman" w:hAnsi="Times New Roman" w:eastAsia="Times New Roman" w:cs="Times New Roman"/>
          <w:rStyle w:val="FootnoteReference"/>
          <w:lang w:bidi="fa-IR"/>
        </w:rPr>
        <w:footnoteReference w:id="4"/>
      </w:r>
      <w:r>
        <w:rPr>
          <w:rFonts w:hint="cs"/>
          <w:cs w:val="0"/>
        </w:rPr>
        <w:t xml:space="preserve"> و وارویک</w:t>
      </w:r>
      <w:r>
        <w:rPr>
          <w:rFonts w:ascii="Times New Roman" w:hAnsi="Times New Roman" w:eastAsia="Times New Roman" w:cs="Times New Roman"/>
          <w:rStyle w:val="FootnoteReference"/>
          <w:lang w:bidi="fa-IR"/>
        </w:rPr>
        <w:footnoteReference w:id="3"/>
      </w:r>
      <w:r>
        <w:rPr>
          <w:rFonts w:hint="cs"/>
          <w:cs w:val="0"/>
        </w:rPr>
        <w:t xml:space="preserve"> (۲۰۰۲) و پرسشنامه اضطراب مرگ</w:t>
      </w:r>
      <w:r>
        <w:rPr>
          <w:rFonts w:ascii="Times New Roman" w:hAnsi="Times New Roman" w:eastAsia="Times New Roman" w:cs="Times New Roman"/>
          <w:rStyle w:val="FootnoteReference"/>
          <w:lang w:bidi="fa-IR"/>
        </w:rPr>
        <w:footnoteReference w:id="2"/>
      </w:r>
      <w:r>
        <w:rPr>
          <w:rFonts w:hint="cs"/>
          <w:cs w:val="0"/>
        </w:rPr>
        <w:t xml:space="preserve"> تمپلر</w:t>
      </w:r>
      <w:r>
        <w:rPr>
          <w:rFonts w:ascii="Times New Roman" w:hAnsi="Times New Roman" w:eastAsia="Times New Roman" w:cs="Times New Roman"/>
          <w:rStyle w:val="FootnoteReference"/>
          <w:lang w:bidi="fa-IR"/>
        </w:rPr>
        <w:footnoteReference w:id="1"/>
      </w:r>
      <w:r>
        <w:rPr>
          <w:rFonts w:hint="cs"/>
          <w:cs w:val="0"/>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hint="cs"/>
          <w:rtl w:val="0"/>
          <w:cs w:val="0"/>
        </w:rPr>
        <w:t>r=-</w:t>
      </w:r>
      <w:r>
        <w:rPr>
          <w:rFonts w:hint="cs"/>
          <w:cs w:val="0"/>
        </w:rPr>
        <w:t xml:space="preserve">۰.۴۶, </w:t>
      </w:r>
      <w:r>
        <w:rPr>
          <w:rFonts w:hint="cs"/>
          <w:rtl w:val="0"/>
          <w:cs w:val="0"/>
        </w:rPr>
        <w:t>p&lt;</w:t>
      </w:r>
      <w:r>
        <w:rPr>
          <w:rFonts w:hint="cs"/>
          <w:cs w:val="0"/>
        </w:rPr>
        <w:t>۰.۰۱) و بین اضطراب سلامتی و اضطراب مرگ رابطه مثبت و معنادار مشاهده شد (</w:t>
      </w:r>
      <w:r>
        <w:rPr>
          <w:rFonts w:hint="cs"/>
          <w:rtl w:val="0"/>
          <w:cs w:val="0"/>
        </w:rPr>
        <w:t>r=</w:t>
      </w:r>
      <w:r>
        <w:rPr>
          <w:rFonts w:hint="cs"/>
          <w:cs w:val="0"/>
        </w:rPr>
        <w:t xml:space="preserve">۰.۵۸, </w:t>
      </w:r>
      <w:r>
        <w:rPr>
          <w:rFonts w:hint="cs"/>
          <w:rtl w:val="0"/>
          <w:cs w:val="0"/>
        </w:rPr>
        <w:t>p&lt;</w:t>
      </w:r>
      <w:r>
        <w:rPr>
          <w:rFonts w:hint="cs"/>
          <w:cs w:val="0"/>
        </w:rPr>
        <w: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rtl w:val="0"/>
          <w:cs w:val="0"/>
        </w:rPr>
        <w:t>R²=</w:t>
      </w:r>
      <w:r>
        <w:rPr>
          <w:rFonts w:hint="cs"/>
          <w:cs w:val="0"/>
        </w:rPr>
        <w:t xml:space="preserve">۰.۵۴, </w:t>
      </w:r>
      <w:r>
        <w:rPr>
          <w:rFonts w:hint="cs"/>
          <w:rtl w:val="0"/>
          <w:cs w:val="0"/>
        </w:rPr>
        <w:t>p&lt;</w:t>
      </w:r>
      <w:r>
        <w:rPr>
          <w:rFonts w:hint="cs"/>
          <w:cs w:val="0"/>
        </w:rPr>
        <w: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pPr>
        <w:spacing w:after="0" w:line="276" w:lineRule="auto"/>
        <w:ind w:firstLine="397"/>
        <w:jc w:val="both"/>
        <w:rPr>
          <w:color w:val="auto"/>
          <w:cs w:val="0"/>
        </w:rPr>
      </w:pPr>
      <w:r>
        <w:rPr>
          <w:rFonts w:ascii="Times New Roman" w:hAnsi="Times New Roman" w:eastAsia="Times New Roman" w:cs="B Lotus"/>
        </w:rPr>
        <w:t xml:space="preserve">جمعیت سالمندان در ایران و جهان رو به افزایش است. در این پژوهش سالمند به افراد ۶۰ سال به بالا گفته می‌شود. صندوق جمعیت سازمان ملل متحد پیش‌بینی کرده تا سال ۲۰۵۰ حدود ۲۷٫۹ درصد جمعیت ایران در این گروه سنی باشند (صندوق جمعیت سازمان ملل متحد، ۲۰۲۶). سالمندی فقط طولانی شدن عمر نیست و با سلامت روان هم ربط دارد. اینجا رابطه هوش معنوی و اضطراب سلامتی با اضطراب مرگ سالمندان بررسی می‌شود.</w:t>
      </w:r>
    </w:p>
    <w:p w:rsidR="008908D0" w:rsidRDefault="002D5E38">
      <w:pPr>
        <w:pStyle w:val="Heading2"/>
        <w:spacing w:before="240" w:after="100" w:line="276" w:lineRule="auto"/>
        <w:rPr>
          <w:cs w:val="0"/>
        </w:rPr>
      </w:pPr>
      <w:bookmarkStart w:id="3" w:name="_Toc238572004"/>
      <w:r>
        <w:rPr>
          <w:cs w:val="0"/>
        </w:rPr>
        <w:t>۱-۲- بیان مسأله</w:t>
      </w:r>
      <w:bookmarkEnd w:id="3"/>
    </w:p>
    <w:p>
      <w:pPr>
        <w:autoSpaceDE/>
        <w:autoSpaceDN/>
        <w:adjustRightInd/>
        <w:spacing w:after="0" w:line="276" w:lineRule="auto"/>
        <w:ind w:firstLine="397"/>
        <w:jc w:val="both"/>
        <w:rPr>
          <w:color w:val="auto"/>
          <w:cs w:val="0"/>
        </w:rPr>
      </w:pPr>
      <w:r>
        <w:rPr>
          <w:rFonts w:ascii="Times New Roman" w:hAnsi="Times New Roman" w:eastAsia="Times New Roman" w:cs="B Lotus"/>
        </w:rPr>
        <w:t xml:space="preserve">ایران هم با کاهش باروری و افزایش امید به زندگی دارد سریع سالمند می‌شود. پیش‌بینی شده تا سال ۲۰۵۰ نزدیک به ۲۸ درصد جمعیت کشور ۶۰ سال به بالا باشند و سهم زنان در این گروه بیشتر باشد (صندوق جمعیت سازمان ملل متحد، ۲۰۲۶). همین روند، کار روی سلامت روان سالمندان را جدی‌تر می‌کند.</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w:t>
      </w:r>
      <w:r>
        <w:rPr>
          <w:rFonts w:hint="cs"/>
          <w:cs w:val="0"/>
        </w:rPr>
        <w:lastRenderedPageBreak/>
        <w:t>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Fonts w:ascii="Times New Roman" w:hAnsi="Times New Roman" w:eastAsia="Times New Roman" w:cs="Times New Roman"/>
          <w:rStyle w:val="FootnoteReference"/>
          <w:lang w:bidi="fa-IR"/>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Fonts w:ascii="Times New Roman" w:hAnsi="Times New Roman" w:eastAsia="Times New Roman" w:cs="Times New Roman"/>
          <w:rStyle w:val="FootnoteReference"/>
          <w:lang w:bidi="fa-IR"/>
        </w:rPr>
        <w:footnoteReference w:id="18"/>
      </w:r>
      <w:r>
        <w:rPr>
          <w:rFonts w:hint="cs"/>
          <w:cs w:val="0"/>
        </w:rPr>
        <w:t xml:space="preserve">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w:t>
      </w:r>
      <w:r>
        <w:rPr>
          <w:rFonts w:ascii="Times New Roman" w:hAnsi="Times New Roman" w:eastAsia="Times New Roman" w:cs="Times New Roman"/>
          <w:rStyle w:val="FootnoteReference"/>
          <w:lang w:bidi="fa-IR"/>
        </w:rPr>
        <w:footnoteReference w:id="17"/>
      </w:r>
      <w:r>
        <w:rPr>
          <w:rFonts w:hint="cs"/>
          <w:cs w:val="0"/>
        </w:rPr>
        <w:t xml:space="preserve">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توجه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w:t>
      </w:r>
      <w:r>
        <w:rPr>
          <w:rFonts w:ascii="Times New Roman" w:hAnsi="Times New Roman" w:eastAsia="Times New Roman" w:cs="Times New Roman"/>
          <w:rStyle w:val="FootnoteReference"/>
          <w:lang w:bidi="fa-IR"/>
        </w:rPr>
        <w:footnoteReference w:id="1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Fonts w:ascii="Times New Roman" w:hAnsi="Times New Roman" w:eastAsia="Times New Roman" w:cs="Times New Roman"/>
          <w:rStyle w:val="FootnoteReference"/>
          <w:lang w:bidi="fa-IR"/>
        </w:rPr>
        <w:footnoteReference w:id="20"/>
      </w:r>
      <w:r>
        <w:rPr>
          <w:rFonts w:hint="cs"/>
          <w:cs w:val="0"/>
        </w:rPr>
        <w:t xml:space="preserve"> و همکاران، ۲۰۲۴).</w:t>
      </w:r>
    </w:p>
    <w:p>
      <w:pPr>
        <w:spacing w:after="0" w:line="276" w:lineRule="auto"/>
        <w:ind w:firstLine="397"/>
        <w:jc w:val="both"/>
        <w:rPr>
          <w:color w:val="auto"/>
          <w:cs w:val="0"/>
        </w:rPr>
      </w:pPr>
      <w:r>
        <w:rPr>
          <w:rFonts w:ascii="Times New Roman" w:hAnsi="Times New Roman" w:eastAsia="Times New Roman" w:cs="B Lotus"/>
        </w:rPr>
        <w:t xml:space="preserve">اضطراب مرگ: ترس و نگرانی نسبت به مرگ، فرایند مردن یا آنچه پس از مرگ رخ می‌دهد (یوسفی افراشته و همکاران، ۲۰۲۵).</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pPr>
        <w:spacing w:after="0" w:line="276" w:lineRule="auto"/>
        <w:ind w:firstLine="397"/>
        <w:jc w:val="both"/>
        <w:rPr>
          <w:rFonts w:ascii="B Lotus"/>
          <w:color w:val="auto"/>
          <w:cs w:val="0"/>
        </w:rPr>
      </w:pPr>
      <w:r>
        <w:rPr>
          <w:rFonts w:ascii="Times New Roman" w:hAnsi="Times New Roman" w:eastAsia="Times New Roman" w:cs="B Lotus"/>
        </w:rPr>
        <w:t xml:space="preserve">هوش معنوی: در این پژوهش نمره‌ای است که فرد در پرسشنامه هوش معنوی کینگ (SISRI-24؛ کینگ و دی‌سیکو، ۲۰۰۹) به دست می‌آورد.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Fonts w:ascii="Times New Roman" w:hAnsi="Times New Roman" w:eastAsia="Times New Roman" w:cs="Times New Roman"/>
          <w:rStyle w:val="FootnoteReference"/>
          <w:lang w:bidi="fa-IR"/>
        </w:rPr>
        <w:footnoteReference w:id="22"/>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Fonts w:ascii="Times New Roman" w:hAnsi="Times New Roman" w:eastAsia="Times New Roman" w:cs="Times New Roman"/>
          <w:rStyle w:val="FootnoteReference"/>
          <w:lang w:bidi="fa-IR"/>
        </w:rPr>
        <w:footnoteReference w:id="23"/>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sz w:val="15"/>
                                  <w:szCs w:val="15"/>
                                  <w:cs w:val="0"/>
                                </w:rPr>
                                <w:t>نظریه ایمنی</w:t>
                              </w:r>
                              <w:r>
                                <w:rPr>
                                  <w:rFonts w:ascii="Times New Roman" w:hAnsi="Times New Roman" w:eastAsia="Times New Roman" w:cs="Times New Roman"/>
                                  <w:rStyle w:val="FootnoteReference"/>
                                  <w:lang w:bidi="fa-IR"/>
                                </w:rPr>
                                <w:footnoteReference w:id="29"/>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sz w:val="14"/>
                                  <w:szCs w:val="14"/>
                                  <w:cs w:val="0"/>
                                </w:rPr>
                                <w:t>نظریه لوینسون</w:t>
                              </w:r>
                              <w:r>
                                <w:rPr>
                                  <w:rFonts w:ascii="Times New Roman" w:hAnsi="Times New Roman" w:eastAsia="Times New Roman" w:cs="Times New Roman"/>
                                  <w:rStyle w:val="FootnoteReference"/>
                                  <w:lang w:bidi="fa-IR"/>
                                </w:rPr>
                                <w:footnoteReference w:id="28"/>
                              </w:r>
                              <w:r w:rsidRPr="00A218BA">
                                <w:rPr>
                                  <w:rFonts w:cs="B Titr"/>
                                  <w:sz w:val="14"/>
                                  <w:szCs w:val="14"/>
                                  <w:cs w:val="0"/>
                                </w:rPr>
                                <w:t xml:space="preserve">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sz w:val="14"/>
                                  <w:szCs w:val="14"/>
                                  <w:cs w:val="0"/>
                                </w:rPr>
                                <w:t>نظریه انتخاب اجتماعی-هیجانی</w:t>
                              </w:r>
                              <w:r>
                                <w:rPr>
                                  <w:rFonts w:ascii="Times New Roman" w:hAnsi="Times New Roman" w:eastAsia="Times New Roman" w:cs="Times New Roman"/>
                                  <w:rStyle w:val="FootnoteReference"/>
                                  <w:lang w:bidi="fa-IR"/>
                                </w:rPr>
                                <w:footnoteReference w:id="27"/>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sz w:val="15"/>
                                  <w:szCs w:val="15"/>
                                  <w:cs w:val="0"/>
                                </w:rPr>
                                <w:t>نظریه عدم تعهد</w:t>
                              </w:r>
                              <w:r>
                                <w:rPr>
                                  <w:rFonts w:ascii="Times New Roman" w:hAnsi="Times New Roman" w:eastAsia="Times New Roman" w:cs="Times New Roman"/>
                                  <w:rStyle w:val="FootnoteReference"/>
                                  <w:lang w:bidi="fa-IR"/>
                                </w:rPr>
                                <w:footnoteReference w:id="26"/>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sz w:val="15"/>
                                  <w:szCs w:val="15"/>
                                  <w:cs w:val="0"/>
                                </w:rPr>
                                <w:t>نظریه فعالیت</w:t>
                              </w:r>
                              <w:r>
                                <w:rPr>
                                  <w:rFonts w:ascii="Times New Roman" w:hAnsi="Times New Roman" w:eastAsia="Times New Roman" w:cs="Times New Roman"/>
                                  <w:rStyle w:val="FootnoteReference"/>
                                  <w:lang w:bidi="fa-IR"/>
                                </w:rPr>
                                <w:footnoteReference w:id="25"/>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۱</w:t>
      </w:r>
      <w:r>
        <w:fldChar w:fldCharType="end"/>
      </w:r>
      <w:r>
        <w:t>- درختواره نظریه‌های سالمندی (شاخه زیست‌شناختی، روان‌شناختی و جامعه‌شناختی)</w:t>
      </w:r>
    </w:p>
    <w:p w:rsidR="008908D0" w:rsidRDefault="002D5E38">
      <w:pPr>
        <w:spacing w:after="0" w:line="276" w:lineRule="auto"/>
        <w:ind w:firstLine="397"/>
        <w:jc w:val="both"/>
        <w:rPr>
          <w:color w:val="auto"/>
          <w:cs w:val="0"/>
        </w:rPr>
      </w:pPr>
      <w:r>
        <w:rPr>
          <w:rFonts w:hint="cs"/>
          <w:cs w:val="0"/>
        </w:rPr>
        <w:t>ژرونتولوژی</w:t>
      </w:r>
      <w:r>
        <w:rPr>
          <w:rFonts w:ascii="Times New Roman" w:hAnsi="Times New Roman" w:eastAsia="Times New Roman" w:cs="Times New Roman"/>
          <w:rStyle w:val="FootnoteReference"/>
          <w:lang w:bidi="fa-IR"/>
        </w:rPr>
        <w:footnoteReference w:id="3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lang w:bidi="fa-IR"/>
        </w:rPr>
        <w:footnoteReference w:id="30"/>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Fonts w:ascii="Times New Roman" w:hAnsi="Times New Roman" w:eastAsia="Times New Roman" w:cs="Times New Roman"/>
          <w:rStyle w:val="FootnoteReference"/>
          <w:lang w:bidi="fa-IR"/>
        </w:rPr>
        <w:footnoteReference w:id="32"/>
      </w:r>
      <w:r>
        <w:rPr>
          <w:cs w:val="0"/>
        </w:rPr>
        <w:lastRenderedPageBreak/>
        <w:t xml:space="preserve">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pPr>
        <w:spacing w:after="0" w:line="276" w:lineRule="auto"/>
        <w:ind w:firstLine="397"/>
        <w:jc w:val="both"/>
        <w:rPr>
          <w:cs w:val="0"/>
        </w:rPr>
      </w:pPr>
      <w:r>
        <w:rPr>
          <w:rFonts w:ascii="Times New Roman" w:hAnsi="Times New Roman" w:eastAsia="Times New Roman" w:cs="B Lotus"/>
        </w:rPr>
        <w:t xml:space="preserve">در سال‌های اخیر از «التهاب پیری» یا اینفلامجینگ هم حرف می‌زنند؛ التهاب مزمن و خفیف در سن بالا، بدون عفونت واضح. این را کنار نظریه ایمنی آورده‌اند چون با پیر شدن دستگاه ایمنی قاطی است (فرانچسکی و همکاران، ۲۰۱۸).</w:t>
      </w:r>
    </w:p>
    <w:p w:rsidR="008908D0" w:rsidRDefault="002D5E38">
      <w:pPr>
        <w:spacing w:after="0" w:line="276" w:lineRule="auto"/>
        <w:ind w:firstLine="397"/>
        <w:jc w:val="both"/>
        <w:rPr>
          <w:color w:val="auto"/>
          <w:cs w:val="0"/>
        </w:rPr>
      </w:pPr>
      <w:r>
        <w:rPr>
          <w:rFonts w:hint="cs"/>
          <w:cs w:val="0"/>
        </w:rPr>
        <w:t>بر اساس نظریه </w:t>
      </w:r>
      <w:r>
        <w:rPr>
          <w:rFonts w:ascii="Times New Roman" w:hAnsi="Times New Roman" w:eastAsia="Times New Roman" w:cs="B Lotus"/>
        </w:rPr>
        <w:t>ایمنی، پیری</w:t>
      </w:r>
      <w:r>
        <w:rPr>
          <w:rFonts w:ascii="Times New Roman" w:hAnsi="Times New Roman" w:eastAsia="Times New Roman" w:cs="B Lotus"/>
        </w:rPr>
        <w:t xml:space="preserve">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Fonts w:ascii="Times New Roman" w:hAnsi="Times New Roman" w:eastAsia="Times New Roman" w:cs="Times New Roman"/>
          <w:rStyle w:val="FootnoteReference"/>
          <w:lang w:bidi="fa-IR"/>
        </w:rPr>
        <w:footnoteReference w:id="3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lang w:bidi="fa-IR"/>
        </w:rPr>
        <w:footnoteReference w:id="36"/>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بر اساس نظریه پیری سلولی، سالمندی نتیجه تجمع تدریجی آسیب‌های مولکولی و سلولی، به‌ویژه در ماده ژنتیکی سلول‌ها</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lang w:bidi="fa-IR"/>
        </w:rPr>
        <w:footnoteReference w:id="39"/>
      </w:r>
      <w:r>
        <w:rPr>
          <w:rFonts w:hint="cs"/>
          <w:cs w:val="0"/>
        </w:rPr>
        <w:t xml:space="preserve"> و همکاران، ۲۰۲۳؛ کامپیزی</w:t>
      </w:r>
      <w:r>
        <w:rPr>
          <w:rFonts w:ascii="Times New Roman" w:hAnsi="Times New Roman" w:eastAsia="Times New Roman" w:cs="Times New Roman"/>
          <w:rStyle w:val="FootnoteReference"/>
          <w:lang w:bidi="fa-IR"/>
        </w:rPr>
        <w:footnoteReference w:id="38"/>
      </w:r>
      <w:r>
        <w:rPr>
          <w:rFonts w:hint="cs"/>
          <w:cs w:val="0"/>
        </w:rPr>
        <w:t>، ۲۰۲۴).</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lang w:bidi="fa-IR"/>
        </w:rPr>
        <w:footnoteReference w:id="41"/>
      </w:r>
      <w:r>
        <w:rPr>
          <w:rFonts w:hint="cs"/>
          <w:cs w:val="0"/>
        </w:rPr>
        <w:lastRenderedPageBreak/>
        <w:t xml:space="preserve"> و همکاران، ۲۰۲۳؛ گلادیشف</w:t>
      </w:r>
      <w:r>
        <w:rPr>
          <w:rFonts w:ascii="Times New Roman" w:hAnsi="Times New Roman" w:eastAsia="Times New Roman" w:cs="Times New Roman"/>
          <w:rStyle w:val="FootnoteReference"/>
          <w:lang w:bidi="fa-IR"/>
        </w:rPr>
        <w:footnoteReference w:id="40"/>
      </w:r>
      <w:r>
        <w:rPr>
          <w:rFonts w:hint="cs"/>
          <w:cs w:val="0"/>
        </w:rPr>
        <w:lastRenderedPageBreak/>
        <w:t>، ۲۰۲۴).</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w:t>
      </w:r>
      <w:r>
        <w:rPr>
          <w:rFonts w:ascii="Times New Roman" w:hAnsi="Times New Roman" w:eastAsia="Times New Roman" w:cs="Times New Roman"/>
          <w:rStyle w:val="FootnoteReference"/>
          <w:lang w:bidi="fa-IR"/>
        </w:rPr>
        <w:footnoteReference w:id="4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olor w:val="auto"/>
          <w:cs w:val="0"/>
        </w:rPr>
      </w:pPr>
      <w:r>
        <w:rPr>
          <w:rFonts w:hint="cs"/>
          <w:cs w:val="0"/>
        </w:rPr>
        <w:t>دانیل لوینسون(۱۹۷۸؛ به نقل از رایس،۲۰۰۱، ترجمه فروغان،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w:t>
      </w:r>
      <w:r>
        <w:rPr>
          <w:rFonts w:ascii="Times New Roman" w:hAnsi="Times New Roman" w:eastAsia="Times New Roman" w:cs="Times New Roman"/>
          <w:rStyle w:val="FootnoteReference"/>
          <w:lang w:bidi="fa-IR"/>
        </w:rPr>
        <w:footnoteReference w:id="51"/>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w:t>
      </w:r>
      <w:r>
        <w:rPr>
          <w:rFonts w:ascii="Times New Roman" w:hAnsi="Times New Roman" w:eastAsia="Times New Roman" w:cs="Times New Roman"/>
          <w:rStyle w:val="FootnoteReference"/>
          <w:lang w:bidi="fa-IR"/>
        </w:rPr>
        <w:footnoteReference w:id="50"/>
      </w:r>
      <w:r>
        <w:rPr>
          <w:rFonts w:hint="cs"/>
          <w:cs w:val="0"/>
        </w:rPr>
        <w:t>، ۱۹۸۶).</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pPr>
        <w:spacing w:after="0" w:line="276" w:lineRule="auto"/>
        <w:ind w:firstLine="397"/>
        <w:jc w:val="both"/>
        <w:rPr>
          <w:cs w:val="0"/>
        </w:rPr>
      </w:pPr>
      <w:r>
        <w:rPr>
          <w:rFonts w:ascii="Times New Roman" w:hAnsi="Times New Roman" w:eastAsia="Times New Roman" w:cs="B Lotus"/>
        </w:rPr>
        <w:t xml:space="preserve">نظریه انتخاب اجتماعی-هیجانی را لورا کارستنسن مطرح کرده است. حرف اصلی‌اش این است که هدف آدم را بیشتر افق زمانی باقی‌مانده عوض می‌کند تا خودِ سن. وقتی آینده کوتاه به نظر می‌رسد، آدم‌ها می‌روند سراغ رابطه‌ها و احساس‌های معنادار، نه گسترش شبکه (کارستنسن، ۲۰۰۶؛ کارستنسن، ۲۰۲۱).</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olor w:val="auto"/>
          <w:cs w:val="0"/>
        </w:rPr>
      </w:pPr>
      <w:r>
        <w:rPr>
          <w:rFonts w:hint="cs"/>
          <w:cs w:val="0"/>
        </w:rPr>
        <w:t>نظریه عدم تعهد</w:t>
      </w:r>
      <w:r>
        <w:rPr>
          <w:rFonts w:ascii="Times New Roman" w:hAnsi="Times New Roman" w:eastAsia="Times New Roman" w:cs="Times New Roman"/>
          <w:rStyle w:val="FootnoteReference"/>
          <w:lang w:bidi="fa-IR"/>
        </w:rPr>
        <w:footnoteReference w:id="67"/>
      </w:r>
      <w:r>
        <w:rPr>
          <w:rFonts w:hint="cs"/>
          <w:cs w:val="0"/>
        </w:rPr>
        <w:t>که توسط کامینگ</w:t>
      </w:r>
      <w:r>
        <w:rPr>
          <w:rFonts w:ascii="Times New Roman" w:hAnsi="Times New Roman" w:eastAsia="Times New Roman" w:cs="Times New Roman"/>
          <w:rStyle w:val="FootnoteReference"/>
          <w:lang w:bidi="fa-IR"/>
        </w:rPr>
        <w:footnoteReference w:id="66"/>
      </w:r>
      <w:r>
        <w:rPr>
          <w:rFonts w:hint="cs"/>
          <w:cs w:val="0"/>
        </w:rPr>
        <w:t xml:space="preserve"> و هنری</w:t>
      </w:r>
      <w:r>
        <w:rPr>
          <w:rFonts w:ascii="Times New Roman" w:hAnsi="Times New Roman" w:eastAsia="Times New Roman" w:cs="Times New Roman"/>
          <w:rStyle w:val="FootnoteReference"/>
          <w:lang w:bidi="fa-IR"/>
        </w:rPr>
        <w:footnoteReference w:id="65"/>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Fonts w:ascii="Times New Roman" w:hAnsi="Times New Roman" w:eastAsia="Times New Roman" w:cs="Times New Roman"/>
          <w:rStyle w:val="FootnoteReference"/>
          <w:lang w:bidi="fa-IR"/>
        </w:rPr>
        <w:footnoteReference w:id="64"/>
      </w:r>
      <w:r>
        <w:rPr>
          <w:rFonts w:hint="cs"/>
          <w:cs w:val="0"/>
        </w:rPr>
        <w:t>،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olor w:val="auto"/>
          <w:cs w:val="0"/>
        </w:rPr>
      </w:pPr>
      <w:r>
        <w:rPr>
          <w:rFonts w:hint="cs"/>
          <w:cs w:val="0"/>
        </w:rPr>
        <w:t>نظریه فعالیت</w:t>
      </w:r>
      <w:r>
        <w:rPr>
          <w:rFonts w:ascii="Times New Roman" w:hAnsi="Times New Roman" w:eastAsia="Times New Roman" w:cs="Times New Roman"/>
          <w:rStyle w:val="FootnoteReference"/>
          <w:lang w:bidi="fa-IR"/>
        </w:rPr>
        <w:footnoteReference w:id="74"/>
      </w:r>
      <w:r>
        <w:rPr>
          <w:rFonts w:hint="cs"/>
          <w:cs w:val="0"/>
        </w:rPr>
        <w:t>که توسط هاویگهرست</w:t>
      </w:r>
      <w:r>
        <w:rPr>
          <w:rFonts w:ascii="Times New Roman" w:hAnsi="Times New Roman" w:eastAsia="Times New Roman" w:cs="Times New Roman"/>
          <w:rStyle w:val="FootnoteReference"/>
          <w:lang w:bidi="fa-IR"/>
        </w:rPr>
        <w:footnoteReference w:id="73"/>
      </w:r>
      <w:r>
        <w:rPr>
          <w:rFonts w:hint="cs"/>
          <w:cs w:val="0"/>
        </w:rPr>
        <w:t xml:space="preserve"> و همکاران مطرح شد، در تقابل با نظریه عدم تعهد</w:t>
      </w:r>
      <w:r>
        <w:rPr>
          <w:rFonts w:ascii="Times New Roman" w:hAnsi="Times New Roman" w:eastAsia="Times New Roman" w:cs="Times New Roman"/>
          <w:rStyle w:val="FootnoteReference"/>
          <w:lang w:bidi="fa-IR"/>
        </w:rPr>
        <w:footnoteReference w:id="72"/>
      </w:r>
      <w:r>
        <w:rPr>
          <w:rFonts w:hint="cs"/>
          <w:cs w:val="0"/>
        </w:rPr>
        <w:t xml:space="preserve">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Fonts w:ascii="Times New Roman" w:hAnsi="Times New Roman" w:eastAsia="Times New Roman" w:cs="Times New Roman"/>
          <w:rStyle w:val="FootnoteReference"/>
          <w:lang w:bidi="fa-IR"/>
        </w:rPr>
        <w:footnoteReference w:id="71"/>
      </w:r>
      <w:r>
        <w:rPr>
          <w:rFonts w:hint="cs"/>
          <w:cs w:val="0"/>
        </w:rPr>
        <w:t xml:space="preserve"> و توبین</w:t>
      </w:r>
      <w:r>
        <w:rPr>
          <w:rFonts w:ascii="Times New Roman" w:hAnsi="Times New Roman" w:eastAsia="Times New Roman" w:cs="Times New Roman"/>
          <w:rStyle w:val="FootnoteReference"/>
          <w:lang w:bidi="fa-IR"/>
        </w:rPr>
        <w:footnoteReference w:id="70"/>
      </w:r>
      <w:r>
        <w:rPr>
          <w:rFonts w:hint="cs"/>
          <w:cs w:val="0"/>
        </w:rPr>
        <w:t>، ۱۹۶۸).</w:t>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Fonts w:ascii="Times New Roman" w:hAnsi="Times New Roman" w:eastAsia="Times New Roman" w:cs="Times New Roman"/>
          <w:rStyle w:val="FootnoteReference"/>
          <w:lang w:bidi="fa-IR"/>
        </w:rPr>
        <w:footnoteReference w:id="75"/>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w:t>
      </w:r>
      <w:r>
        <w:rPr>
          <w:rFonts w:ascii="Times New Roman" w:hAnsi="Times New Roman" w:eastAsia="Times New Roman" w:cs="Times New Roman"/>
          <w:rStyle w:val="FootnoteReference"/>
          <w:lang w:bidi="fa-IR"/>
        </w:rPr>
        <w:footnoteReference w:id="77"/>
      </w:r>
      <w:r>
        <w:rPr>
          <w:rFonts w:hint="cs"/>
          <w:cs w:val="0"/>
        </w:rPr>
        <w:t xml:space="preserve"> یا استمرار که توسط رابرت آچلی</w:t>
      </w:r>
      <w:r>
        <w:rPr>
          <w:rFonts w:ascii="Times New Roman" w:hAnsi="Times New Roman" w:eastAsia="Times New Roman" w:cs="Times New Roman"/>
          <w:rStyle w:val="FootnoteReference"/>
          <w:lang w:bidi="fa-IR"/>
        </w:rPr>
        <w:footnoteReference w:id="76"/>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4"/>
                                  <w:szCs w:val="14"/>
                                  <w:cs w:val="0"/>
                                </w:rPr>
                                <w:t>نظریه فروید</w:t>
                              </w:r>
                            </w:p>
                            <w:p w:rsidR="002D5E38" w:rsidRPr="00D63DDF" w:rsidRDefault="002D5E38">
                              <w:pPr>
                                <w:spacing w:after="0" w:line="240" w:lineRule="auto"/>
                                <w:jc w:val="center"/>
                                <w:rPr>
                                  <w:rFonts w:cs="B Titr"/>
                                  <w:cs w:val="0"/>
                                </w:rPr>
                              </w:pPr>
                              <w:r w:rsidRPr="00D63DDF">
                                <w:rPr>
                                  <w:rFonts w:cs="B Titr"/>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4"/>
                                  <w:szCs w:val="14"/>
                                  <w:cs w:val="0"/>
                                </w:rPr>
                                <w:t>نظریه یالوم</w:t>
                              </w:r>
                            </w:p>
                            <w:p w:rsidR="002D5E38" w:rsidRPr="00D63DDF" w:rsidRDefault="002D5E38">
                              <w:pPr>
                                <w:spacing w:after="0" w:line="240" w:lineRule="auto"/>
                                <w:jc w:val="center"/>
                                <w:rPr>
                                  <w:rFonts w:cs="B Titr"/>
                                  <w:cs w:val="0"/>
                                </w:rPr>
                              </w:pPr>
                              <w:r w:rsidRPr="00D63DDF">
                                <w:rPr>
                                  <w:rFonts w:cs="B Titr"/>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4"/>
                                  <w:szCs w:val="14"/>
                                  <w:cs w:val="0"/>
                                </w:rPr>
                                <w:t>نظریه مدیریت وحشت</w:t>
                              </w:r>
                              <w:r>
                                <w:rPr>
                                  <w:rFonts w:ascii="Times New Roman" w:hAnsi="Times New Roman" w:eastAsia="Times New Roman" w:cs="Times New Roman"/>
                                  <w:rStyle w:val="FootnoteReference"/>
                                  <w:lang w:bidi="fa-IR"/>
                                </w:rPr>
                                <w:footnoteReference w:id="78"/>
                              </w:r>
                            </w:p>
                            <w:p w:rsidR="002D5E38" w:rsidRPr="00D63DDF" w:rsidRDefault="002D5E38">
                              <w:pPr>
                                <w:spacing w:after="0" w:line="240" w:lineRule="auto"/>
                                <w:jc w:val="center"/>
                                <w:rPr>
                                  <w:rFonts w:cs="B Titr"/>
                                  <w:cs w:val="0"/>
                                </w:rPr>
                              </w:pPr>
                              <w:r w:rsidRPr="00D63DDF">
                                <w:rPr>
                                  <w:rFonts w:cs="B Titr"/>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4"/>
                            <w:szCs w:val="14"/>
                            <w:cs w:val="0"/>
                          </w:rPr>
                          <w:t>نظریه فروید</w:t>
                        </w:r>
                      </w:p>
                      <w:p w:rsidR="002D5E38" w:rsidRPr="00D63DDF" w:rsidRDefault="002D5E38">
                        <w:pPr>
                          <w:spacing w:after="0" w:line="240" w:lineRule="auto"/>
                          <w:jc w:val="center"/>
                          <w:rPr>
                            <w:rFonts w:cs="B Titr"/>
                            <w:cs w:val="0"/>
                          </w:rPr>
                        </w:pPr>
                        <w:r w:rsidRPr="00D63DDF">
                          <w:rPr>
                            <w:rFonts w:cs="B Titr"/>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4"/>
                            <w:szCs w:val="14"/>
                            <w:cs w:val="0"/>
                          </w:rPr>
                          <w:t>نظریه یالوم</w:t>
                        </w:r>
                      </w:p>
                      <w:p w:rsidR="002D5E38" w:rsidRPr="00D63DDF" w:rsidRDefault="002D5E38">
                        <w:pPr>
                          <w:spacing w:after="0" w:line="240" w:lineRule="auto"/>
                          <w:jc w:val="center"/>
                          <w:rPr>
                            <w:rFonts w:cs="B Titr"/>
                            <w:cs w:val="0"/>
                          </w:rPr>
                        </w:pPr>
                        <w:r w:rsidRPr="00D63DDF">
                          <w:rPr>
                            <w:rFonts w:cs="B Titr"/>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۲</w:t>
      </w:r>
      <w:r>
        <w:fldChar w:fldCharType="end"/>
      </w:r>
      <w:r>
        <w:t>- درختواره اضطراب مرگ (نظریه‌ها، ابعاد، عوامل و پیامدها)</w:t>
      </w:r>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w:t>
      </w:r>
      <w:r>
        <w:rPr>
          <w:rFonts w:ascii="Times New Roman" w:hAnsi="Times New Roman" w:eastAsia="Times New Roman" w:cs="Times New Roman"/>
          <w:rStyle w:val="FootnoteReference"/>
          <w:lang w:bidi="fa-IR"/>
        </w:rPr>
        <w:footnoteReference w:id="80"/>
      </w:r>
      <w:r>
        <w:rPr>
          <w:rFonts w:hint="cs"/>
          <w:cs w:val="0"/>
        </w:rPr>
        <w:lastRenderedPageBreak/>
        <w:t xml:space="preserve"> و همکاران، ۲۰۲۲؛ مارتین</w:t>
      </w:r>
      <w:r>
        <w:rPr>
          <w:rFonts w:ascii="Times New Roman" w:hAnsi="Times New Roman" w:eastAsia="Times New Roman" w:cs="Times New Roman"/>
          <w:rStyle w:val="FootnoteReference"/>
          <w:lang w:bidi="fa-IR"/>
        </w:rPr>
        <w:footnoteReference w:id="79"/>
      </w:r>
      <w:r>
        <w:rPr>
          <w:rFonts w:hint="cs"/>
          <w:cs w:val="0"/>
        </w:rPr>
        <w:lastRenderedPageBreak/>
        <w:t xml:space="preserve"> و همکاران، ۲۰۲۳).</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w:t>
      </w:r>
      <w:r>
        <w:rPr>
          <w:rFonts w:ascii="Times New Roman" w:hAnsi="Times New Roman" w:eastAsia="Times New Roman" w:cs="Times New Roman"/>
          <w:rStyle w:val="FootnoteReference"/>
          <w:lang w:bidi="fa-IR"/>
        </w:rPr>
        <w:footnoteReference w:id="83"/>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w:t>
      </w:r>
      <w:r>
        <w:rPr>
          <w:rFonts w:ascii="Times New Roman" w:hAnsi="Times New Roman" w:eastAsia="Times New Roman" w:cs="Times New Roman"/>
          <w:rStyle w:val="FootnoteReference"/>
          <w:lang w:bidi="fa-IR"/>
        </w:rPr>
        <w:footnoteReference w:id="86"/>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pStyle w:val="Heading4"/>
        <w:spacing w:after="100" w:line="276" w:lineRule="auto"/>
        <w:rPr>
          <w:cs w:val="0"/>
        </w:rPr>
      </w:pPr>
      <w:bookmarkStart w:id="37" w:name="_Toc238572037"/>
      <w:r>
        <w:rPr>
          <w:cs w:val="0"/>
        </w:rPr>
        <w:t>۲-۲-۲-۳- نظریه مدیریت وحشت (TMT)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w:t>
      </w:r>
      <w:r>
        <w:rPr>
          <w:rFonts w:ascii="Times New Roman" w:hAnsi="Times New Roman" w:eastAsia="Times New Roman" w:cs="Times New Roman"/>
          <w:rStyle w:val="FootnoteReference"/>
          <w:lang w:bidi="fa-IR"/>
        </w:rPr>
        <w:footnoteReference w:id="89"/>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کنند(گرین برگ و همکاران، ۱۹۸۶).</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w:t>
      </w:r>
      <w:r>
        <w:rPr>
          <w:rFonts w:ascii="Times New Roman" w:hAnsi="Times New Roman" w:eastAsia="Times New Roman" w:cs="Times New Roman"/>
          <w:rStyle w:val="FootnoteReference"/>
          <w:lang w:bidi="fa-IR"/>
        </w:rPr>
        <w:footnoteReference w:id="94"/>
      </w:r>
      <w:r>
        <w:rPr>
          <w:rFonts w:hint="cs"/>
          <w:cs w:val="0"/>
        </w:rPr>
        <w:t xml:space="preserve"> و فلوریان</w:t>
      </w:r>
      <w:r>
        <w:rPr>
          <w:rFonts w:ascii="Times New Roman" w:hAnsi="Times New Roman" w:eastAsia="Times New Roman" w:cs="Times New Roman"/>
          <w:rStyle w:val="FootnoteReference"/>
          <w:lang w:bidi="fa-IR"/>
        </w:rPr>
        <w:footnoteReference w:id="93"/>
      </w:r>
      <w:r>
        <w:rPr>
          <w:rFonts w:hint="cs"/>
          <w:cs w:val="0"/>
        </w:rPr>
        <w:t xml:space="preserve"> و دی‌سیکو (۲۰۰۹) با تکیه بر نظریه دلبستگی بالبی</w:t>
      </w:r>
      <w:r>
        <w:rPr>
          <w:rFonts w:ascii="Times New Roman" w:hAnsi="Times New Roman" w:eastAsia="Times New Roman" w:cs="Times New Roman"/>
          <w:rStyle w:val="FootnoteReference"/>
          <w:lang w:bidi="fa-IR"/>
        </w:rPr>
        <w:footnoteReference w:id="92"/>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Fonts w:ascii="Times New Roman" w:hAnsi="Times New Roman" w:eastAsia="Times New Roman" w:cs="Times New Roman"/>
          <w:rStyle w:val="FootnoteReference"/>
          <w:lang w:bidi="fa-IR"/>
        </w:rPr>
        <w:footnoteReference w:id="96"/>
      </w:r>
      <w:r>
        <w:rPr>
          <w:rFonts w:hint="cs"/>
          <w:cs w:val="0"/>
        </w:rPr>
        <w:t>، ۱۹۹۴).</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sz w:val="14"/>
                                  <w:szCs w:val="14"/>
                                  <w:cs w:val="0"/>
                                </w:rPr>
                                <w:t>دیدگاه</w:t>
                              </w:r>
                            </w:p>
                            <w:p w:rsidR="002D5E38" w:rsidRDefault="002D5E38">
                              <w:pPr>
                                <w:spacing w:after="0" w:line="240" w:lineRule="auto"/>
                                <w:jc w:val="center"/>
                                <w:rPr>
                                  <w:cs w:val="0"/>
                                </w:rPr>
                              </w:pPr>
                              <w:r>
                                <w:rPr>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sz w:val="13"/>
                                  <w:szCs w:val="13"/>
                                  <w:cs w:val="0"/>
                                </w:rPr>
                                <w:t>تفکر وجودی</w:t>
                              </w:r>
                            </w:p>
                            <w:p w:rsidR="002D5E38" w:rsidRDefault="002D5E38">
                              <w:pPr>
                                <w:spacing w:after="0" w:line="240" w:lineRule="auto"/>
                                <w:jc w:val="center"/>
                                <w:rPr>
                                  <w:cs w:val="0"/>
                                </w:rPr>
                              </w:pPr>
                              <w:r>
                                <w:rPr>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sz w:val="13"/>
                                  <w:szCs w:val="13"/>
                                  <w:cs w:val="0"/>
                                </w:rPr>
                                <w:t>تولید معنای</w:t>
                              </w:r>
                            </w:p>
                            <w:p w:rsidR="002D5E38" w:rsidRDefault="002D5E38">
                              <w:pPr>
                                <w:spacing w:after="0" w:line="240" w:lineRule="auto"/>
                                <w:jc w:val="center"/>
                                <w:rPr>
                                  <w:cs w:val="0"/>
                                </w:rPr>
                              </w:pPr>
                              <w:r>
                                <w:rPr>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sz w:val="13"/>
                                  <w:szCs w:val="13"/>
                                  <w:cs w:val="0"/>
                                </w:rPr>
                                <w:t>آگاهی</w:t>
                              </w:r>
                            </w:p>
                            <w:p w:rsidR="002D5E38" w:rsidRDefault="002D5E38">
                              <w:pPr>
                                <w:spacing w:after="0" w:line="240" w:lineRule="auto"/>
                                <w:jc w:val="center"/>
                                <w:rPr>
                                  <w:cs w:val="0"/>
                                </w:rPr>
                              </w:pPr>
                              <w:r>
                                <w:rPr>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sz w:val="13"/>
                                  <w:szCs w:val="13"/>
                                  <w:cs w:val="0"/>
                                </w:rPr>
                                <w:t>گسترش هشیارانه</w:t>
                              </w:r>
                            </w:p>
                            <w:p w:rsidR="002D5E38" w:rsidRDefault="002D5E38">
                              <w:pPr>
                                <w:spacing w:after="0" w:line="240" w:lineRule="auto"/>
                                <w:jc w:val="center"/>
                                <w:rPr>
                                  <w:cs w:val="0"/>
                                </w:rPr>
                              </w:pPr>
                              <w:r>
                                <w:rPr>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sz w:val="14"/>
                            <w:szCs w:val="14"/>
                            <w:cs w:val="0"/>
                          </w:rPr>
                          <w:t>دیدگاه</w:t>
                        </w:r>
                      </w:p>
                      <w:p w:rsidR="002D5E38" w:rsidRDefault="002D5E38">
                        <w:pPr>
                          <w:spacing w:after="0" w:line="240" w:lineRule="auto"/>
                          <w:jc w:val="center"/>
                          <w:rPr>
                            <w:cs w:val="0"/>
                          </w:rPr>
                        </w:pPr>
                        <w:r>
                          <w:rPr>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sz w:val="13"/>
                            <w:szCs w:val="13"/>
                            <w:cs w:val="0"/>
                          </w:rPr>
                          <w:t>تفکر وجودی</w:t>
                        </w:r>
                      </w:p>
                      <w:p w:rsidR="002D5E38" w:rsidRDefault="002D5E38">
                        <w:pPr>
                          <w:spacing w:after="0" w:line="240" w:lineRule="auto"/>
                          <w:jc w:val="center"/>
                          <w:rPr>
                            <w:cs w:val="0"/>
                          </w:rPr>
                        </w:pPr>
                        <w:r>
                          <w:rPr>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sz w:val="13"/>
                            <w:szCs w:val="13"/>
                            <w:cs w:val="0"/>
                          </w:rPr>
                          <w:t>تولید معنای</w:t>
                        </w:r>
                      </w:p>
                      <w:p w:rsidR="002D5E38" w:rsidRDefault="002D5E38">
                        <w:pPr>
                          <w:spacing w:after="0" w:line="240" w:lineRule="auto"/>
                          <w:jc w:val="center"/>
                          <w:rPr>
                            <w:cs w:val="0"/>
                          </w:rPr>
                        </w:pPr>
                        <w:r>
                          <w:rPr>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sz w:val="13"/>
                            <w:szCs w:val="13"/>
                            <w:cs w:val="0"/>
                          </w:rPr>
                          <w:t>آگاهی</w:t>
                        </w:r>
                      </w:p>
                      <w:p w:rsidR="002D5E38" w:rsidRDefault="002D5E38">
                        <w:pPr>
                          <w:spacing w:after="0" w:line="240" w:lineRule="auto"/>
                          <w:jc w:val="center"/>
                          <w:rPr>
                            <w:cs w:val="0"/>
                          </w:rPr>
                        </w:pPr>
                        <w:r>
                          <w:rPr>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sz w:val="13"/>
                            <w:szCs w:val="13"/>
                            <w:cs w:val="0"/>
                          </w:rPr>
                          <w:t>گسترش هشیارانه</w:t>
                        </w:r>
                      </w:p>
                      <w:p w:rsidR="002D5E38" w:rsidRDefault="002D5E38">
                        <w:pPr>
                          <w:spacing w:after="0" w:line="240" w:lineRule="auto"/>
                          <w:jc w:val="center"/>
                          <w:rPr>
                            <w:cs w:val="0"/>
                          </w:rPr>
                        </w:pPr>
                        <w:r>
                          <w:rPr>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۳</w:t>
      </w:r>
      <w:r>
        <w:fldChar w:fldCharType="end"/>
      </w:r>
      <w:r>
        <w:t>- درختواره هوش معنوی (مفهوم، فضیلت‌گرایی، عوامل و مدل چهارعاملی کینگ)</w:t>
      </w:r>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Fonts w:ascii="Times New Roman" w:hAnsi="Times New Roman" w:eastAsia="Times New Roman" w:cs="Times New Roman"/>
          <w:rStyle w:val="FootnoteReference"/>
          <w:lang w:bidi="fa-IR"/>
        </w:rPr>
        <w:footnoteReference w:id="102"/>
      </w:r>
      <w:r>
        <w:rPr>
          <w:rFonts w:hint="cs"/>
          <w:cs w:val="0"/>
        </w:rPr>
        <w:t>، ۲۰۲۱؛ مایر</w:t>
      </w:r>
      <w:r>
        <w:rPr>
          <w:rFonts w:ascii="Times New Roman" w:hAnsi="Times New Roman" w:eastAsia="Times New Roman" w:cs="Times New Roman"/>
          <w:rStyle w:val="FootnoteReference"/>
          <w:lang w:bidi="fa-IR"/>
        </w:rPr>
        <w:footnoteReference w:id="101"/>
      </w:r>
      <w:r>
        <w:rPr>
          <w:rFonts w:hint="cs"/>
          <w:cs w:val="0"/>
        </w:rPr>
        <w:t xml:space="preserve"> و سالوی، ۲۰۲۰).</w:t>
      </w:r>
    </w:p>
    <w:p w:rsidR="008908D0" w:rsidRDefault="002D5E38">
      <w:pPr>
        <w:autoSpaceDE/>
        <w:autoSpaceDN/>
        <w:adjustRightInd/>
        <w:spacing w:after="0" w:line="276" w:lineRule="auto"/>
        <w:ind w:firstLine="397"/>
        <w:jc w:val="both"/>
        <w:rPr>
          <w:color w:val="auto"/>
          <w:cs w:val="0"/>
        </w:rPr>
      </w:pPr>
      <w:r>
        <w:rPr>
          <w:rFonts w:hint="cs"/>
          <w:cs w:val="0"/>
        </w:rPr>
        <w:t>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Fonts w:ascii="Times New Roman" w:hAnsi="Times New Roman" w:eastAsia="Times New Roman" w:cs="Times New Roman"/>
          <w:rStyle w:val="FootnoteReference"/>
          <w:lang w:bidi="fa-IR"/>
        </w:rPr>
        <w:footnoteReference w:id="10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w:t>
      </w:r>
      <w:r>
        <w:rPr>
          <w:rFonts w:hint="cs"/>
          <w:cs w:val="0"/>
        </w:rPr>
        <w:lastRenderedPageBreak/>
        <w:t>در مورد هوش معنوی شروع به شکل گیری کرد. ویلیام جیمز</w:t>
      </w:r>
      <w:r>
        <w:rPr>
          <w:rFonts w:ascii="Times New Roman" w:hAnsi="Times New Roman" w:eastAsia="Times New Roman" w:cs="Times New Roman"/>
          <w:rStyle w:val="FootnoteReference"/>
          <w:lang w:bidi="fa-IR"/>
        </w:rPr>
        <w:footnoteReference w:id="111"/>
      </w:r>
      <w:r>
        <w:rPr>
          <w:rFonts w:hint="cs"/>
          <w:cs w:val="0"/>
        </w:rPr>
        <w:lastRenderedPageBreak/>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نشان دادند که می توان تحت بدترین شرایط نیز هوش معنوی معنوی را تجربه کرد. بسیاری از نظریات بیان شده در مخالفت با دیدگاه منفی فروید</w:t>
      </w:r>
      <w:r>
        <w:rPr>
          <w:rFonts w:ascii="Times New Roman" w:hAnsi="Times New Roman" w:eastAsia="Times New Roman" w:cs="Times New Roman"/>
          <w:rStyle w:val="FootnoteReference"/>
          <w:lang w:bidi="fa-IR"/>
        </w:rPr>
        <w:footnoteReference w:id="110"/>
      </w:r>
      <w:r>
        <w:rPr>
          <w:rFonts w:hint="cs"/>
          <w:cs w:val="0"/>
        </w:rPr>
        <w:lastRenderedPageBreak/>
        <w:t xml:space="preserve">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w:t>
      </w:r>
      <w:r>
        <w:rPr>
          <w:rFonts w:ascii="Times New Roman" w:hAnsi="Times New Roman" w:eastAsia="Times New Roman" w:cs="Times New Roman"/>
          <w:rStyle w:val="FootnoteReference"/>
          <w:lang w:bidi="fa-IR"/>
        </w:rPr>
        <w:footnoteReference w:id="109"/>
      </w:r>
      <w:r>
        <w:rPr>
          <w:rFonts w:hint="cs"/>
          <w:cs w:val="0"/>
        </w:rPr>
        <w:lastRenderedPageBreak/>
        <w:t xml:space="preserve"> و فرنس</w:t>
      </w:r>
      <w:r>
        <w:rPr>
          <w:rFonts w:ascii="Times New Roman" w:hAnsi="Times New Roman" w:eastAsia="Times New Roman" w:cs="Times New Roman"/>
          <w:rStyle w:val="FootnoteReference"/>
          <w:lang w:bidi="fa-IR"/>
        </w:rPr>
        <w:footnoteReference w:id="108"/>
      </w:r>
      <w:r>
        <w:rPr>
          <w:rFonts w:hint="cs"/>
          <w:cs w:val="0"/>
        </w:rPr>
        <w:lastRenderedPageBreak/>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w:t>
      </w:r>
      <w:r>
        <w:rPr>
          <w:rFonts w:ascii="Times New Roman" w:hAnsi="Times New Roman" w:eastAsia="Times New Roman" w:cs="Times New Roman"/>
          <w:rStyle w:val="FootnoteReference"/>
          <w:lang w:bidi="fa-IR"/>
        </w:rPr>
        <w:footnoteReference w:id="107"/>
      </w:r>
      <w:r>
        <w:rPr>
          <w:rFonts w:hint="cs"/>
          <w:cs w:val="0"/>
        </w:rPr>
        <w:lastRenderedPageBreak/>
        <w:t xml:space="preserve">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w:t>
      </w:r>
      <w:r>
        <w:rPr>
          <w:rFonts w:ascii="Times New Roman" w:hAnsi="Times New Roman" w:eastAsia="Times New Roman" w:cs="Times New Roman"/>
          <w:rStyle w:val="FootnoteReference"/>
          <w:lang w:bidi="fa-IR"/>
        </w:rPr>
        <w:footnoteReference w:id="106"/>
      </w:r>
      <w:r>
        <w:rPr>
          <w:rFonts w:hint="cs"/>
          <w:cs w:val="0"/>
        </w:rPr>
        <w:lastRenderedPageBreak/>
        <w:t xml:space="preserve">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w:t>
      </w:r>
      <w:r>
        <w:rPr>
          <w:rFonts w:ascii="Times New Roman" w:hAnsi="Times New Roman" w:eastAsia="Times New Roman" w:cs="Times New Roman"/>
          <w:rStyle w:val="FootnoteReference"/>
          <w:lang w:bidi="fa-IR"/>
        </w:rPr>
        <w:footnoteReference w:id="105"/>
      </w:r>
      <w:r>
        <w:rPr>
          <w:rFonts w:hint="cs"/>
          <w:cs w:val="0"/>
        </w:rPr>
        <w:lastRenderedPageBreak/>
        <w:t xml:space="preserve"> بر معناجویی افراد در زندگی تأکید دارد. او معتقد است، که رفتار انسانها نه بر پایه لذت گرایی نظریه روانکاوی فروید و نه بر پایه نظریه قدرت طلبی آدلر</w:t>
      </w:r>
      <w:r>
        <w:rPr>
          <w:rFonts w:ascii="Times New Roman" w:hAnsi="Times New Roman" w:eastAsia="Times New Roman" w:cs="Times New Roman"/>
          <w:rStyle w:val="FootnoteReference"/>
          <w:lang w:bidi="fa-IR"/>
        </w:rPr>
        <w:footnoteReference w:id="104"/>
      </w:r>
      <w:r>
        <w:rPr>
          <w:rFonts w:hint="cs"/>
          <w:cs w:val="0"/>
        </w:rPr>
        <w:lastRenderedPageBreak/>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می‌داند(فرانک، ۲۰۱۸).</w:t>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w:t>
      </w:r>
      <w:r>
        <w:rPr>
          <w:rFonts w:ascii="Times New Roman" w:hAnsi="Times New Roman" w:eastAsia="Times New Roman" w:cs="Times New Roman"/>
          <w:rStyle w:val="FootnoteReference"/>
          <w:lang w:bidi="fa-IR"/>
        </w:rPr>
        <w:footnoteReference w:id="115"/>
      </w:r>
      <w:r>
        <w:rPr>
          <w:rFonts w:hint="cs"/>
          <w:cs w:val="0"/>
        </w:rPr>
        <w:lastRenderedPageBreak/>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Fonts w:ascii="Times New Roman" w:hAnsi="Times New Roman" w:eastAsia="Times New Roman" w:cs="Times New Roman"/>
          <w:rStyle w:val="FootnoteReference"/>
          <w:lang w:bidi="fa-IR"/>
        </w:rPr>
        <w:footnoteReference w:id="114"/>
      </w:r>
      <w:r>
        <w:rPr>
          <w:rFonts w:hint="cs"/>
          <w:cs w:val="0"/>
        </w:rPr>
        <w:lastRenderedPageBreak/>
        <w:t xml:space="preserve"> و دسی</w:t>
      </w:r>
      <w:r>
        <w:rPr>
          <w:rFonts w:ascii="Times New Roman" w:hAnsi="Times New Roman" w:eastAsia="Times New Roman" w:cs="Times New Roman"/>
          <w:rStyle w:val="FootnoteReference"/>
          <w:lang w:bidi="fa-IR"/>
        </w:rPr>
        <w:footnoteReference w:id="113"/>
      </w:r>
      <w:r>
        <w:rPr>
          <w:rFonts w:hint="cs"/>
          <w:cs w:val="0"/>
        </w:rPr>
        <w:lastRenderedPageBreak/>
        <w:t>، ۲۰۱۷). ریف</w:t>
      </w:r>
      <w:r>
        <w:rPr>
          <w:rFonts w:ascii="Times New Roman" w:hAnsi="Times New Roman" w:eastAsia="Times New Roman" w:cs="Times New Roman"/>
          <w:rStyle w:val="FootnoteReference"/>
          <w:lang w:bidi="fa-IR"/>
        </w:rPr>
        <w:footnoteReference w:id="112"/>
      </w:r>
      <w:r>
        <w:rPr>
          <w:rFonts w:hint="cs"/>
          <w:cs w:val="0"/>
        </w:rPr>
        <w:lastRenderedPageBreak/>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Fonts w:ascii="Times New Roman" w:hAnsi="Times New Roman" w:eastAsia="Times New Roman" w:cs="Times New Roman"/>
          <w:rStyle w:val="FootnoteReference"/>
          <w:lang w:bidi="fa-IR"/>
        </w:rPr>
        <w:footnoteReference w:id="118"/>
      </w:r>
      <w:r>
        <w:rPr>
          <w:rFonts w:hint="cs"/>
          <w:cs w:val="0"/>
        </w:rPr>
        <w:lastRenderedPageBreak/>
        <w:t xml:space="preserve">،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Fonts w:ascii="Times New Roman" w:hAnsi="Times New Roman" w:eastAsia="Times New Roman" w:cs="Times New Roman"/>
          <w:rStyle w:val="FootnoteReference"/>
          <w:lang w:bidi="fa-IR"/>
        </w:rPr>
        <w:footnoteReference w:id="117"/>
      </w:r>
      <w:r>
        <w:rPr>
          <w:rFonts w:hint="cs"/>
          <w:cs w:val="0"/>
        </w:rPr>
        <w:lastRenderedPageBreak/>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Fonts w:ascii="Times New Roman" w:hAnsi="Times New Roman" w:eastAsia="Times New Roman" w:cs="Times New Roman"/>
          <w:rStyle w:val="FootnoteReference"/>
          <w:lang w:bidi="fa-IR"/>
        </w:rPr>
        <w:footnoteReference w:id="116"/>
      </w:r>
      <w:r>
        <w:rPr>
          <w:rFonts w:hint="cs"/>
          <w:cs w:val="0"/>
        </w:rPr>
        <w:lastRenderedPageBreak/>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lang w:bidi="fa-IR"/>
        </w:rPr>
        <w:footnoteReference w:id="119"/>
      </w:r>
      <w:r>
        <w:rPr>
          <w:cs w:val="0"/>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Fonts w:ascii="Times New Roman" w:hAnsi="Times New Roman" w:eastAsia="Times New Roman" w:cs="Times New Roman"/>
          <w:rStyle w:val="FootnoteReference"/>
          <w:lang w:bidi="fa-IR"/>
        </w:rPr>
        <w:footnoteReference w:id="120"/>
      </w:r>
      <w:r>
        <w:rPr>
          <w:rFonts w:hint="cs"/>
          <w:cs w:val="0"/>
        </w:rPr>
        <w:t xml:space="preserve">،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Fonts w:ascii="Times New Roman" w:hAnsi="Times New Roman" w:eastAsia="Times New Roman" w:cs="Times New Roman"/>
          <w:rStyle w:val="FootnoteReference"/>
          <w:lang w:bidi="fa-IR"/>
        </w:rPr>
        <w:footnoteReference w:id="12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Fonts w:ascii="Times New Roman" w:hAnsi="Times New Roman" w:eastAsia="Times New Roman" w:cs="Times New Roman"/>
          <w:rStyle w:val="FootnoteReference"/>
          <w:lang w:bidi="fa-IR"/>
        </w:rPr>
        <w:footnoteReference w:id="122"/>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Fonts w:ascii="Times New Roman" w:hAnsi="Times New Roman" w:eastAsia="Times New Roman" w:cs="Times New Roman"/>
          <w:rStyle w:val="FootnoteReference"/>
          <w:lang w:bidi="fa-IR"/>
        </w:rPr>
        <w:footnoteReference w:id="124"/>
      </w:r>
      <w:r>
        <w:rPr>
          <w:rFonts w:hint="cs"/>
          <w:cs w:val="0"/>
        </w:rPr>
        <w:lastRenderedPageBreak/>
        <w:t xml:space="preserve"> و دی‌سیکو</w:t>
      </w:r>
      <w:r>
        <w:rPr>
          <w:rFonts w:ascii="Times New Roman" w:hAnsi="Times New Roman" w:eastAsia="Times New Roman" w:cs="Times New Roman"/>
          <w:rStyle w:val="FootnoteReference"/>
          <w:lang w:bidi="fa-IR"/>
        </w:rPr>
        <w:footnoteReference w:id="123"/>
      </w:r>
      <w:r>
        <w:rPr>
          <w:rFonts w:hint="cs"/>
          <w:cs w:val="0"/>
        </w:rPr>
        <w:lastRenderedPageBreak/>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از این رو، سلامت و بیماری روانی را می‌توان به عنوان دو بعد مرتبط اما متمایز در نظر گرفت که هر یک اطلاعات متفاوتی درباره وضعیت کلی فرد ارائه می‌کنند (کیز</w:t>
      </w:r>
      <w:r>
        <w:rPr>
          <w:rFonts w:ascii="Times New Roman" w:hAnsi="Times New Roman" w:eastAsia="Times New Roman" w:cs="Times New Roman"/>
          <w:rStyle w:val="FootnoteReference"/>
          <w:lang w:bidi="fa-IR"/>
        </w:rPr>
        <w:footnoteReference w:id="127"/>
      </w:r>
      <w:r>
        <w:rPr>
          <w:rFonts w:hint="cs"/>
          <w:cs w:val="0"/>
        </w:rPr>
        <w:t>، ۲۰۰۲؛ ریف</w:t>
      </w:r>
      <w:r>
        <w:rPr>
          <w:rFonts w:ascii="Times New Roman" w:hAnsi="Times New Roman" w:eastAsia="Times New Roman" w:cs="Times New Roman"/>
          <w:rStyle w:val="FootnoteReference"/>
          <w:lang w:bidi="fa-IR"/>
        </w:rPr>
        <w:footnoteReference w:id="126"/>
      </w:r>
      <w:r>
        <w:rPr>
          <w:rFonts w:hint="cs"/>
          <w:cs w:val="0"/>
        </w:rPr>
        <w:t>،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w:t>
      </w:r>
      <w:r>
        <w:rPr>
          <w:rFonts w:ascii="Times New Roman" w:hAnsi="Times New Roman" w:eastAsia="Times New Roman" w:cs="Times New Roman"/>
          <w:rStyle w:val="FootnoteReference"/>
          <w:lang w:bidi="fa-IR"/>
        </w:rPr>
        <w:footnoteReference w:id="125"/>
      </w:r>
      <w:r>
        <w:rPr>
          <w:rFonts w:hint="cs"/>
          <w:cs w:val="0"/>
        </w:rPr>
        <w:t>،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Fonts w:ascii="Times New Roman" w:hAnsi="Times New Roman" w:eastAsia="Times New Roman" w:cs="Times New Roman"/>
          <w:rStyle w:val="FootnoteReference"/>
          <w:lang w:bidi="fa-IR"/>
        </w:rPr>
        <w:footnoteReference w:id="128"/>
      </w:r>
      <w:r>
        <w:rPr>
          <w:rFonts w:hint="cs"/>
          <w:cs w:val="0"/>
        </w:rPr>
        <w:lastRenderedPageBreak/>
        <w:t>،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w:t>
      </w:r>
      <w:r>
        <w:rPr>
          <w:rFonts w:ascii="Times New Roman" w:hAnsi="Times New Roman" w:eastAsia="Times New Roman" w:cs="Times New Roman"/>
          <w:rStyle w:val="FootnoteReference"/>
          <w:lang w:bidi="fa-IR"/>
        </w:rPr>
        <w:footnoteReference w:id="130"/>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lang w:bidi="fa-IR"/>
        </w:rPr>
        <w:footnoteReference w:id="129"/>
      </w:r>
      <w:r>
        <w:rPr>
          <w:cs w:val="0"/>
        </w:rPr>
        <w:t>،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4"/>
                                  <w:szCs w:val="14"/>
                                  <w:cs w:val="0"/>
                                </w:rPr>
                                <w:t>زیستی-روانی-</w:t>
                              </w:r>
                            </w:p>
                            <w:p w:rsidR="002D5E38" w:rsidRPr="00D63DDF" w:rsidRDefault="002D5E38">
                              <w:pPr>
                                <w:spacing w:after="0" w:line="240" w:lineRule="auto"/>
                                <w:jc w:val="center"/>
                                <w:rPr>
                                  <w:rFonts w:cs="B Titr"/>
                                  <w:cs w:val="0"/>
                                </w:rPr>
                              </w:pPr>
                              <w:r w:rsidRPr="00D63DDF">
                                <w:rPr>
                                  <w:rFonts w:cs="B Titr"/>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4"/>
                            <w:szCs w:val="14"/>
                            <w:cs w:val="0"/>
                          </w:rPr>
                          <w:t>زیستی-روانی-</w:t>
                        </w:r>
                      </w:p>
                      <w:p w:rsidR="002D5E38" w:rsidRPr="00D63DDF" w:rsidRDefault="002D5E38">
                        <w:pPr>
                          <w:spacing w:after="0" w:line="240" w:lineRule="auto"/>
                          <w:jc w:val="center"/>
                          <w:rPr>
                            <w:rFonts w:cs="B Titr"/>
                            <w:cs w:val="0"/>
                          </w:rPr>
                        </w:pPr>
                        <w:r w:rsidRPr="00D63DDF">
                          <w:rPr>
                            <w:rFonts w:cs="B Titr"/>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۴</w:t>
      </w:r>
      <w:r>
        <w:fldChar w:fldCharType="end"/>
      </w:r>
      <w:r>
        <w:t>- درختواره اضطراب سلامت (مفهوم، مدل‌های نظری، عوامل و مداخلات)</w:t>
      </w:r>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Fonts w:ascii="Times New Roman" w:hAnsi="Times New Roman" w:eastAsia="Times New Roman" w:cs="Times New Roman"/>
          <w:rStyle w:val="FootnoteReference"/>
          <w:lang w:bidi="fa-IR"/>
        </w:rPr>
        <w:footnoteReference w:id="13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ascii="Times New Roman" w:hAnsi="Times New Roman" w:eastAsia="Times New Roman" w:cs="Times New Roman"/>
          <w:rStyle w:val="FootnoteReference"/>
          <w:lang w:bidi="fa-IR"/>
        </w:rPr>
        <w:footnoteReference w:id="13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Fonts w:ascii="Times New Roman" w:hAnsi="Times New Roman" w:eastAsia="Times New Roman" w:cs="Times New Roman"/>
          <w:rStyle w:val="FootnoteReference"/>
          <w:lang w:bidi="fa-IR"/>
        </w:rPr>
        <w:footnoteReference w:id="134"/>
      </w:r>
      <w:r>
        <w:rPr>
          <w:rFonts w:hint="cs"/>
          <w:cs w:val="0"/>
        </w:rPr>
        <w:lastRenderedPageBreak/>
        <w:t xml:space="preserve"> و همکاران، ۲۰۲۴؛ هالدورسون</w:t>
      </w:r>
      <w:r>
        <w:rPr>
          <w:rFonts w:ascii="Times New Roman" w:hAnsi="Times New Roman" w:eastAsia="Times New Roman" w:cs="Times New Roman"/>
          <w:rStyle w:val="FootnoteReference"/>
          <w:lang w:bidi="fa-IR"/>
        </w:rPr>
        <w:footnoteReference w:id="133"/>
      </w:r>
      <w:r>
        <w:rPr>
          <w:rFonts w:hint="cs"/>
          <w:cs w:val="0"/>
        </w:rPr>
        <w:lastRenderedPageBreak/>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Fonts w:ascii="Times New Roman" w:hAnsi="Times New Roman" w:eastAsia="Times New Roman" w:cs="Times New Roman"/>
          <w:rStyle w:val="FootnoteReference"/>
          <w:lang w:bidi="fa-IR"/>
        </w:rPr>
        <w:footnoteReference w:id="136"/>
      </w:r>
      <w:r>
        <w:rPr>
          <w:cs w:val="0"/>
        </w:rPr>
        <w:t>-TR.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lang w:bidi="fa-IR"/>
        </w:rPr>
        <w:footnoteReference w:id="135"/>
      </w:r>
      <w:r>
        <w:rPr>
          <w:cs w:val="0"/>
        </w:rPr>
        <w:t>،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سالکوویس</w:t>
      </w:r>
      <w:r>
        <w:rPr>
          <w:rFonts w:ascii="Times New Roman" w:hAnsi="Times New Roman" w:eastAsia="Times New Roman" w:cs="Times New Roman"/>
          <w:rStyle w:val="FootnoteReference"/>
          <w:lang w:bidi="fa-IR"/>
        </w:rPr>
        <w:footnoteReference w:id="138"/>
      </w:r>
      <w:r>
        <w:rPr>
          <w:cs w:val="0"/>
        </w:rPr>
        <w:lastRenderedPageBreak/>
        <w:t xml:space="preserve"> و وارویک</w:t>
      </w:r>
      <w:r>
        <w:rPr>
          <w:rFonts w:ascii="Times New Roman" w:hAnsi="Times New Roman" w:eastAsia="Times New Roman" w:cs="Times New Roman"/>
          <w:rStyle w:val="FootnoteReference"/>
          <w:lang w:bidi="fa-IR"/>
        </w:rPr>
        <w:footnoteReference w:id="137"/>
      </w:r>
      <w:r>
        <w:rPr>
          <w:cs w:val="0"/>
        </w:rPr>
        <w:lastRenderedPageBreak/>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(سالکوویس و وارویک، ۱۹۹۰؛ تیلور</w:t>
      </w:r>
      <w:r>
        <w:rPr>
          <w:rFonts w:ascii="Times New Roman" w:hAnsi="Times New Roman" w:eastAsia="Times New Roman" w:cs="Times New Roman"/>
          <w:rStyle w:val="FootnoteReference"/>
          <w:lang w:bidi="fa-IR"/>
        </w:rPr>
        <w:footnoteReference w:id="140"/>
      </w:r>
      <w:r>
        <w:rPr>
          <w:cs w:val="0"/>
        </w:rPr>
        <w:t xml:space="preserve"> و آسموندسون</w:t>
      </w:r>
      <w:r>
        <w:rPr>
          <w:rFonts w:ascii="Times New Roman" w:hAnsi="Times New Roman" w:eastAsia="Times New Roman" w:cs="Times New Roman"/>
          <w:rStyle w:val="FootnoteReference"/>
          <w:lang w:bidi="fa-IR"/>
        </w:rPr>
        <w:footnoteReference w:id="139"/>
      </w:r>
      <w:r>
        <w:rPr>
          <w:cs w:val="0"/>
        </w:rPr>
        <w:t>، ۲۰۲۱).</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در نتیجه، بررسی اضطراب سلامت در این گروه سنی نیازمند توجه همزمان به ابعاد زیستی، روان‌شناختی و اجتماعی است (بولتون و ژیلت، ۲۰۱۹).</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Fonts w:ascii="Times New Roman" w:hAnsi="Times New Roman" w:eastAsia="Times New Roman" w:cs="Times New Roman"/>
          <w:rStyle w:val="FootnoteReference"/>
          <w:lang w:bidi="fa-IR"/>
        </w:rPr>
        <w:footnoteReference w:id="151"/>
      </w:r>
      <w:r>
        <w:rPr>
          <w:rFonts w:hint="cs"/>
          <w:cs w:val="0"/>
        </w:rPr>
        <w:t xml:space="preserve"> و ایشیک</w:t>
      </w:r>
      <w:r>
        <w:rPr>
          <w:rFonts w:ascii="Times New Roman" w:hAnsi="Times New Roman" w:eastAsia="Times New Roman" w:cs="Times New Roman"/>
          <w:rStyle w:val="FootnoteReference"/>
          <w:lang w:bidi="fa-IR"/>
        </w:rPr>
        <w:footnoteReference w:id="150"/>
      </w:r>
      <w:r>
        <w:rPr>
          <w:rFonts w:hint="cs"/>
          <w:cs w:val="0"/>
        </w:rPr>
        <w:t>، ۲۰۲۴).</w:t>
      </w:r>
    </w:p>
    <w:p w:rsidR="008908D0" w:rsidRDefault="002D5E38">
      <w:pPr>
        <w:spacing w:after="0" w:line="276" w:lineRule="auto"/>
        <w:ind w:firstLine="397"/>
        <w:jc w:val="both"/>
        <w:rPr>
          <w:cs w:val="0"/>
        </w:rPr>
      </w:pPr>
      <w:r>
        <w:rPr>
          <w:cs w:val="0"/>
        </w:rPr>
        <w:t>نظریه دلبستگی بالبی</w:t>
      </w:r>
      <w:r>
        <w:rPr>
          <w:rFonts w:ascii="Times New Roman" w:hAnsi="Times New Roman" w:eastAsia="Times New Roman" w:cs="Times New Roman"/>
          <w:rStyle w:val="FootnoteReference"/>
          <w:lang w:bidi="fa-IR"/>
        </w:rPr>
        <w:footnoteReference w:id="152"/>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Fonts w:ascii="Times New Roman" w:hAnsi="Times New Roman" w:eastAsia="Times New Roman" w:cs="Times New Roman"/>
          <w:rStyle w:val="FootnoteReference"/>
          <w:lang w:bidi="fa-IR"/>
        </w:rPr>
        <w:footnoteReference w:id="154"/>
      </w:r>
      <w:r>
        <w:rPr>
          <w:cs w:val="0"/>
        </w:rPr>
        <w:t xml:space="preserve"> و نویز</w:t>
      </w:r>
      <w:r>
        <w:rPr>
          <w:rFonts w:ascii="Times New Roman" w:hAnsi="Times New Roman" w:eastAsia="Times New Roman" w:cs="Times New Roman"/>
          <w:rStyle w:val="FootnoteReference"/>
          <w:lang w:bidi="fa-IR"/>
        </w:rPr>
        <w:footnoteReference w:id="153"/>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w:t>
      </w:r>
      <w:r>
        <w:rPr>
          <w:rFonts w:ascii="Times New Roman" w:hAnsi="Times New Roman" w:eastAsia="Times New Roman" w:cs="Times New Roman"/>
          <w:rStyle w:val="FootnoteReference"/>
          <w:lang w:bidi="fa-IR"/>
        </w:rPr>
        <w:footnoteReference w:id="159"/>
      </w:r>
      <w:r>
        <w:rPr>
          <w:rFonts w:hint="cs"/>
          <w:cs w:val="0"/>
        </w:rPr>
        <w:t xml:space="preserve"> و وارویک</w:t>
      </w:r>
      <w:r>
        <w:rPr>
          <w:rFonts w:ascii="Times New Roman" w:hAnsi="Times New Roman" w:eastAsia="Times New Roman" w:cs="Times New Roman"/>
          <w:rStyle w:val="FootnoteReference"/>
          <w:lang w:bidi="fa-IR"/>
        </w:rPr>
        <w:footnoteReference w:id="15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Fonts w:ascii="Times New Roman" w:hAnsi="Times New Roman" w:eastAsia="Times New Roman" w:cs="Times New Roman"/>
          <w:rStyle w:val="FootnoteReference"/>
          <w:lang w:bidi="fa-IR"/>
        </w:rPr>
        <w:footnoteReference w:id="157"/>
      </w:r>
      <w:r>
        <w:rPr>
          <w:rFonts w:hint="cs"/>
          <w:cs w:val="0"/>
        </w:rPr>
        <w:t>،۲۰۲۲؛ فرگوس</w:t>
      </w:r>
      <w:r>
        <w:rPr>
          <w:rFonts w:ascii="Times New Roman" w:hAnsi="Times New Roman" w:eastAsia="Times New Roman" w:cs="Times New Roman"/>
          <w:rStyle w:val="FootnoteReference"/>
          <w:lang w:bidi="fa-IR"/>
        </w:rPr>
        <w:footnoteReference w:id="156"/>
      </w:r>
      <w:r>
        <w:rPr>
          <w:rFonts w:hint="cs"/>
          <w:cs w:val="0"/>
        </w:rPr>
        <w:t xml:space="preserve"> و والنتاینر</w:t>
      </w:r>
      <w:r>
        <w:rPr>
          <w:rFonts w:ascii="Times New Roman" w:hAnsi="Times New Roman" w:eastAsia="Times New Roman" w:cs="Times New Roman"/>
          <w:rStyle w:val="FootnoteReference"/>
          <w:lang w:bidi="fa-IR"/>
        </w:rPr>
        <w:footnoteReference w:id="155"/>
      </w:r>
      <w:r>
        <w:rPr>
          <w:rFonts w:hint="cs"/>
          <w:cs w:val="0"/>
        </w:rPr>
        <w:t>، ۲۰۲۲).</w:t>
      </w:r>
    </w:p>
    <w:p w:rsidR="008908D0" w:rsidRDefault="002D5E38">
      <w:pPr>
        <w:spacing w:after="0" w:line="276" w:lineRule="auto"/>
        <w:ind w:firstLine="397"/>
        <w:jc w:val="both"/>
        <w:rPr>
          <w:color w:val="auto"/>
          <w:cs w:val="0"/>
        </w:rPr>
      </w:pPr>
      <w:r>
        <w:rPr>
          <w:rFonts w:hint="cs"/>
          <w:cs w:val="0"/>
        </w:rPr>
        <w:lastRenderedPageBreak/>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در نتیجه،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Fonts w:ascii="Times New Roman" w:hAnsi="Times New Roman" w:eastAsia="Times New Roman" w:cs="Times New Roman"/>
          <w:rStyle w:val="FootnoteReference"/>
          <w:lang w:bidi="fa-IR"/>
        </w:rPr>
        <w:footnoteReference w:id="162"/>
      </w:r>
      <w:r>
        <w:rPr>
          <w:rFonts w:hint="cs"/>
          <w:cs w:val="0"/>
        </w:rPr>
        <w:t>، ۲۰۲۴؛ سازمان ملل متحد</w:t>
      </w:r>
      <w:r>
        <w:rPr>
          <w:rFonts w:ascii="Times New Roman" w:hAnsi="Times New Roman" w:eastAsia="Times New Roman" w:cs="Times New Roman"/>
          <w:rStyle w:val="FootnoteReference"/>
          <w:lang w:bidi="fa-IR"/>
        </w:rPr>
        <w:footnoteReference w:id="161"/>
      </w:r>
      <w:r>
        <w:rPr>
          <w:rFonts w:hint="cs"/>
          <w:cs w:val="0"/>
        </w:rPr>
        <w:t>،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w:t>
      </w:r>
      <w:r>
        <w:rPr>
          <w:rFonts w:ascii="Times New Roman" w:hAnsi="Times New Roman" w:eastAsia="Times New Roman" w:cs="Times New Roman"/>
          <w:rStyle w:val="FootnoteReference"/>
          <w:lang w:bidi="fa-IR"/>
        </w:rPr>
        <w:footnoteReference w:id="16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w:t>
      </w:r>
      <w:r>
        <w:rPr>
          <w:rFonts w:ascii="Times New Roman" w:hAnsi="Times New Roman" w:eastAsia="Times New Roman" w:cs="Times New Roman"/>
          <w:rStyle w:val="FootnoteReference"/>
          <w:lang w:bidi="fa-IR"/>
        </w:rPr>
        <w:footnoteReference w:id="165"/>
      </w:r>
      <w:r>
        <w:rPr>
          <w:rFonts w:hint="cs"/>
          <w:cs w:val="0"/>
        </w:rPr>
        <w:lastRenderedPageBreak/>
        <w:t>، ۲۰۲۴؛ سازمان ملل متحد</w:t>
      </w:r>
      <w:r>
        <w:rPr>
          <w:rFonts w:ascii="Times New Roman" w:hAnsi="Times New Roman" w:eastAsia="Times New Roman" w:cs="Times New Roman"/>
          <w:rStyle w:val="FootnoteReference"/>
          <w:lang w:bidi="fa-IR"/>
        </w:rPr>
        <w:footnoteReference w:id="164"/>
      </w:r>
      <w:r>
        <w:rPr>
          <w:rFonts w:hint="cs"/>
          <w:cs w:val="0"/>
        </w:rPr>
        <w:lastRenderedPageBreak/>
        <w:t>، ۲۰۲۳).</w:t>
      </w:r>
    </w:p>
    <w:p w:rsidR="008908D0" w:rsidRDefault="002D5E38">
      <w:pPr>
        <w:spacing w:after="0" w:line="276" w:lineRule="auto"/>
        <w:ind w:firstLine="397"/>
        <w:jc w:val="both"/>
        <w:rPr>
          <w:color w:val="auto"/>
          <w:cs w:val="0"/>
        </w:rPr>
      </w:pPr>
      <w:r>
        <w:rPr>
          <w:rFonts w:hint="cs"/>
          <w:cs w:val="0"/>
        </w:rPr>
        <w:t>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w:t>
      </w:r>
      <w:r>
        <w:rPr>
          <w:rFonts w:ascii="Times New Roman" w:hAnsi="Times New Roman" w:eastAsia="Times New Roman" w:cs="Times New Roman"/>
          <w:rStyle w:val="FootnoteReference"/>
          <w:lang w:bidi="fa-IR"/>
        </w:rPr>
        <w:footnoteReference w:id="168"/>
      </w:r>
      <w:r>
        <w:rPr>
          <w:rFonts w:hint="cs"/>
          <w:cs w:val="0"/>
        </w:rPr>
        <w:t>، ۲۰۲۲؛ آبراموویتز</w:t>
      </w:r>
      <w:r>
        <w:rPr>
          <w:rFonts w:ascii="Times New Roman" w:hAnsi="Times New Roman" w:eastAsia="Times New Roman" w:cs="Times New Roman"/>
          <w:rStyle w:val="FootnoteReference"/>
          <w:lang w:bidi="fa-IR"/>
        </w:rPr>
        <w:footnoteReference w:id="167"/>
      </w:r>
      <w:r>
        <w:rPr>
          <w:rFonts w:hint="cs"/>
          <w:cs w:val="0"/>
        </w:rPr>
        <w:t xml:space="preserve"> و برادوک</w:t>
      </w:r>
      <w:r>
        <w:rPr>
          <w:rFonts w:ascii="Times New Roman" w:hAnsi="Times New Roman" w:eastAsia="Times New Roman" w:cs="Times New Roman"/>
          <w:rStyle w:val="FootnoteReference"/>
          <w:lang w:bidi="fa-IR"/>
        </w:rPr>
        <w:footnoteReference w:id="166"/>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w:t>
      </w:r>
      <w:r>
        <w:rPr>
          <w:rFonts w:ascii="Times New Roman" w:hAnsi="Times New Roman" w:eastAsia="Times New Roman" w:cs="Times New Roman"/>
          <w:rStyle w:val="FootnoteReference"/>
          <w:lang w:bidi="fa-IR"/>
        </w:rPr>
        <w:footnoteReference w:id="171"/>
      </w:r>
      <w:r>
        <w:rPr>
          <w:rFonts w:hint="cs"/>
          <w:cs w:val="0"/>
        </w:rPr>
        <w:lastRenderedPageBreak/>
        <w:t>، ۲۰۲۲؛ تیلور</w:t>
      </w:r>
      <w:r>
        <w:rPr>
          <w:rFonts w:ascii="Times New Roman" w:hAnsi="Times New Roman" w:eastAsia="Times New Roman" w:cs="Times New Roman"/>
          <w:rStyle w:val="FootnoteReference"/>
          <w:lang w:bidi="fa-IR"/>
        </w:rPr>
        <w:footnoteReference w:id="170"/>
      </w:r>
      <w:r>
        <w:rPr>
          <w:rFonts w:hint="cs"/>
          <w:cs w:val="0"/>
        </w:rPr>
        <w:lastRenderedPageBreak/>
        <w:t xml:space="preserve"> و آسْموندسون، ۲۰۲۱؛ سازمان جهانی بهداشت</w:t>
      </w:r>
      <w:r>
        <w:rPr>
          <w:rFonts w:ascii="Times New Roman" w:hAnsi="Times New Roman" w:eastAsia="Times New Roman" w:cs="Times New Roman"/>
          <w:rStyle w:val="FootnoteReference"/>
          <w:lang w:bidi="fa-IR"/>
        </w:rPr>
        <w:footnoteReference w:id="169"/>
      </w:r>
      <w:r>
        <w:rPr>
          <w:rFonts w:hint="cs"/>
          <w:cs w:val="0"/>
        </w:rPr>
        <w:lastRenderedPageBreak/>
        <w:t>،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Fonts w:ascii="Times New Roman" w:hAnsi="Times New Roman" w:eastAsia="Times New Roman" w:cs="Times New Roman"/>
          <w:rStyle w:val="FootnoteReference"/>
          <w:lang w:bidi="fa-IR"/>
        </w:rPr>
        <w:footnoteReference w:id="173"/>
      </w:r>
      <w:r>
        <w:rPr>
          <w:rFonts w:hint="cs"/>
          <w:cs w:val="0"/>
        </w:rPr>
        <w:t>، ۲۰۲۳؛ سازمان جهانی بهداشت</w:t>
      </w:r>
      <w:r>
        <w:rPr>
          <w:rFonts w:ascii="Times New Roman" w:hAnsi="Times New Roman" w:eastAsia="Times New Roman" w:cs="Times New Roman"/>
          <w:rStyle w:val="FootnoteReference"/>
          <w:lang w:bidi="fa-IR"/>
        </w:rPr>
        <w:footnoteReference w:id="172"/>
      </w:r>
      <w:r>
        <w:rPr>
          <w:rFonts w:hint="cs"/>
          <w:cs w:val="0"/>
        </w:rPr>
        <w:t>،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Fonts w:ascii="Times New Roman" w:hAnsi="Times New Roman" w:eastAsia="Times New Roman" w:cs="Times New Roman"/>
          <w:rStyle w:val="FootnoteReference"/>
          <w:lang w:bidi="fa-IR"/>
        </w:rPr>
        <w:footnoteReference w:id="175"/>
      </w:r>
      <w:r>
        <w:rPr>
          <w:rFonts w:hint="cs"/>
          <w:cs w:val="0"/>
        </w:rPr>
        <w:lastRenderedPageBreak/>
        <w:t xml:space="preserve"> و همکاران، ۲۰۲۳؛ سوتو</w:t>
      </w:r>
      <w:r>
        <w:rPr>
          <w:rFonts w:ascii="Times New Roman" w:hAnsi="Times New Roman" w:eastAsia="Times New Roman" w:cs="Times New Roman"/>
          <w:rStyle w:val="FootnoteReference"/>
          <w:lang w:bidi="fa-IR"/>
        </w:rPr>
        <w:footnoteReference w:id="174"/>
      </w:r>
      <w:r>
        <w:rPr>
          <w:rFonts w:hint="cs"/>
          <w:cs w:val="0"/>
        </w:rPr>
        <w:lastRenderedPageBreak/>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Fonts w:ascii="Times New Roman" w:hAnsi="Times New Roman" w:eastAsia="Times New Roman" w:cs="Times New Roman"/>
          <w:rStyle w:val="FootnoteReference"/>
          <w:lang w:bidi="fa-IR"/>
        </w:rPr>
        <w:footnoteReference w:id="177"/>
      </w:r>
      <w:r>
        <w:rPr>
          <w:rFonts w:hint="cs"/>
          <w:cs w:val="0"/>
        </w:rPr>
        <w:t xml:space="preserve"> و همکاران، ۲۰۲۳؛ کاپلان</w:t>
      </w:r>
      <w:r>
        <w:rPr>
          <w:rFonts w:ascii="Times New Roman" w:hAnsi="Times New Roman" w:eastAsia="Times New Roman" w:cs="Times New Roman"/>
          <w:rStyle w:val="FootnoteReference"/>
          <w:lang w:bidi="fa-IR"/>
        </w:rPr>
        <w:footnoteReference w:id="17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lang w:bidi="fa-IR"/>
        </w:rPr>
        <w:footnoteReference w:id="179"/>
      </w:r>
      <w:r>
        <w:rPr>
          <w:rFonts w:hint="cs"/>
          <w:cs w:val="0"/>
        </w:rPr>
        <w:lastRenderedPageBreak/>
        <w:t>، ۲۰۲۴؛ انجمن روان‌شناسی آمریکا</w:t>
      </w:r>
      <w:r>
        <w:rPr>
          <w:rFonts w:ascii="Times New Roman" w:hAnsi="Times New Roman" w:eastAsia="Times New Roman" w:cs="Times New Roman"/>
          <w:rStyle w:val="FootnoteReference"/>
          <w:lang w:bidi="fa-IR"/>
        </w:rPr>
        <w:footnoteReference w:id="178"/>
      </w:r>
      <w:r>
        <w:rPr>
          <w:rFonts w:hint="cs"/>
          <w:cs w:val="0"/>
        </w:rPr>
        <w:lastRenderedPageBreak/>
        <w:t>، ۲۰۲۳؛ گولدبرگ و همکاران، ۲۰۲۲).</w:t>
      </w:r>
    </w:p>
    <w:p w:rsidR="008908D0" w:rsidRDefault="002D5E38">
      <w:pPr>
        <w:spacing w:after="0" w:line="276" w:lineRule="auto"/>
        <w:ind w:firstLine="397"/>
        <w:jc w:val="both"/>
        <w:rPr>
          <w:color w:val="auto"/>
          <w:cs w:val="0"/>
        </w:rPr>
      </w:pPr>
      <w:r>
        <w:rPr>
          <w:rFonts w:hint="cs"/>
          <w:cs w:val="0"/>
        </w:rPr>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w:t>
      </w:r>
      <w:r>
        <w:rPr>
          <w:rFonts w:ascii="Times New Roman" w:hAnsi="Times New Roman" w:eastAsia="Times New Roman" w:cs="Times New Roman"/>
          <w:rStyle w:val="FootnoteReference"/>
          <w:lang w:bidi="fa-IR"/>
        </w:rPr>
        <w:footnoteReference w:id="182"/>
      </w:r>
      <w:r>
        <w:rPr>
          <w:rFonts w:hint="cs"/>
          <w:cs w:val="0"/>
        </w:rPr>
        <w:t xml:space="preserve"> و هایگا</w:t>
      </w:r>
      <w:r>
        <w:rPr>
          <w:rFonts w:ascii="Times New Roman" w:hAnsi="Times New Roman" w:eastAsia="Times New Roman" w:cs="Times New Roman"/>
          <w:rStyle w:val="FootnoteReference"/>
          <w:lang w:bidi="fa-IR"/>
        </w:rPr>
        <w:footnoteReference w:id="181"/>
      </w:r>
      <w:r>
        <w:rPr>
          <w:rFonts w:hint="cs"/>
          <w:cs w:val="0"/>
        </w:rPr>
        <w:t>، ۲۰۱۴؛ انجمن روان‌شناسی آمریکا، ۲۰۲۳؛ گولد</w:t>
      </w:r>
      <w:r>
        <w:rPr>
          <w:rFonts w:ascii="Times New Roman" w:hAnsi="Times New Roman" w:eastAsia="Times New Roman" w:cs="Times New Roman"/>
          <w:rStyle w:val="FootnoteReference"/>
          <w:lang w:bidi="fa-IR"/>
        </w:rPr>
        <w:footnoteReference w:id="180"/>
      </w:r>
      <w:r>
        <w:rPr>
          <w:rFonts w:hint="cs"/>
          <w:cs w:val="0"/>
        </w:rPr>
        <w:t xml:space="preserve"> و همکاران، ۲۰۲۲).</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نتایج نشان داد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lastRenderedPageBreak/>
        <w:t>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بدین ترتیب می‌توان نتیجه گرفت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Fonts w:ascii="Times New Roman" w:hAnsi="Times New Roman" w:eastAsia="Times New Roman" w:cs="Times New Roman"/>
          <w:rStyle w:val="FootnoteReference"/>
          <w:lang w:bidi="fa-IR"/>
        </w:rPr>
        <w:footnoteReference w:id="183"/>
      </w:r>
      <w:r>
        <w:rPr>
          <w:rFonts w:hint="cs"/>
          <w:cs w:val="0"/>
        </w:rPr>
        <w:t xml:space="preserve">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Fonts w:ascii="Times New Roman" w:hAnsi="Times New Roman" w:eastAsia="Times New Roman" w:cs="Times New Roman"/>
          <w:rStyle w:val="FootnoteReference"/>
          <w:lang w:bidi="fa-IR"/>
        </w:rPr>
        <w:footnoteReference w:id="185"/>
      </w:r>
      <w:r>
        <w:rPr>
          <w:rFonts w:hint="cs"/>
          <w:cs w:val="0"/>
        </w:rPr>
        <w:lastRenderedPageBreak/>
        <w:t xml:space="preserve"> رضایت از زندگی دیتر و همکارانش و بهزیستی روان شناختی ریف</w:t>
      </w:r>
      <w:r>
        <w:rPr>
          <w:rFonts w:ascii="Times New Roman" w:hAnsi="Times New Roman" w:eastAsia="Times New Roman" w:cs="Times New Roman"/>
          <w:rStyle w:val="FootnoteReference"/>
          <w:lang w:bidi="fa-IR"/>
        </w:rPr>
        <w:footnoteReference w:id="184"/>
      </w:r>
      <w:r>
        <w:rPr>
          <w:rFonts w:hint="cs"/>
          <w:cs w:val="0"/>
        </w:rPr>
        <w:lastRenderedPageBreak/>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Fonts w:ascii="Times New Roman" w:hAnsi="Times New Roman" w:eastAsia="Times New Roman" w:cs="Times New Roman"/>
          <w:rStyle w:val="FootnoteReference"/>
          <w:lang w:bidi="fa-IR"/>
        </w:rPr>
        <w:footnoteReference w:id="187"/>
      </w:r>
      <w:r>
        <w:rPr>
          <w:rFonts w:hint="cs"/>
          <w:cs w:val="0"/>
        </w:rPr>
        <w:t xml:space="preserve"> و ژائو</w:t>
      </w:r>
      <w:r>
        <w:rPr>
          <w:rFonts w:ascii="Times New Roman" w:hAnsi="Times New Roman" w:eastAsia="Times New Roman" w:cs="Times New Roman"/>
          <w:rStyle w:val="FootnoteReference"/>
          <w:lang w:bidi="fa-IR"/>
        </w:rPr>
        <w:footnoteReference w:id="186"/>
      </w:r>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Fonts w:ascii="Times New Roman" w:hAnsi="Times New Roman" w:eastAsia="Times New Roman" w:cs="Times New Roman"/>
          <w:rStyle w:val="FootnoteReference"/>
          <w:lang w:bidi="fa-IR"/>
        </w:rPr>
        <w:footnoteReference w:id="188"/>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Fonts w:ascii="Times New Roman" w:hAnsi="Times New Roman" w:eastAsia="Times New Roman" w:cs="Times New Roman"/>
          <w:rStyle w:val="FootnoteReference"/>
          <w:lang w:bidi="fa-IR"/>
        </w:rPr>
        <w:footnoteReference w:id="189"/>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w:t>
      </w:r>
      <w:r>
        <w:rPr>
          <w:rFonts w:ascii="Times New Roman" w:hAnsi="Times New Roman" w:eastAsia="Times New Roman" w:cs="Times New Roman"/>
          <w:rStyle w:val="FootnoteReference"/>
          <w:lang w:bidi="fa-IR"/>
        </w:rPr>
        <w:footnoteReference w:id="190"/>
      </w:r>
      <w:r>
        <w:rPr>
          <w:rFonts w:hint="cs"/>
          <w:cs w:val="0"/>
        </w:rPr>
        <w:t>،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w:t>
      </w:r>
      <w:r>
        <w:rPr>
          <w:rFonts w:ascii="Times New Roman" w:hAnsi="Times New Roman" w:eastAsia="Times New Roman" w:cs="Times New Roman"/>
          <w:rStyle w:val="FootnoteReference"/>
          <w:lang w:bidi="fa-IR"/>
        </w:rPr>
        <w:footnoteReference w:id="191"/>
      </w:r>
      <w:r>
        <w:rPr>
          <w:rFonts w:hint="cs"/>
          <w:cs w:val="0"/>
        </w:rPr>
        <w:t xml:space="preserve">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w:t>
      </w:r>
      <w:r>
        <w:rPr>
          <w:rFonts w:ascii="Times New Roman" w:hAnsi="Times New Roman" w:eastAsia="Times New Roman" w:cs="Times New Roman"/>
          <w:rStyle w:val="FootnoteReference"/>
          <w:lang w:bidi="fa-IR"/>
        </w:rPr>
        <w:footnoteReference w:id="192"/>
      </w:r>
      <w:r>
        <w:rPr>
          <w:rFonts w:hint="cs"/>
          <w:cs w:val="0"/>
        </w:rPr>
        <w:t xml:space="preserve">، زارینا مت، زولکرنین آ. حتا و نوریا محمد(۲۰۱۰) در مطالعه‌ای اثر هوش معنوی را روی سلامت افراد مسن بررسی کرده اند. در این مطالعه ۳۷۸ فرد مسن مورد مطالعه قرار گرفتند. ابتدا سطوح هوش معنوی </w:t>
      </w:r>
      <w:r>
        <w:rPr>
          <w:rFonts w:hint="cs"/>
          <w:cs w:val="0"/>
        </w:rPr>
        <w:lastRenderedPageBreak/>
        <w:t>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Fonts w:ascii="Times New Roman" w:hAnsi="Times New Roman" w:eastAsia="Times New Roman" w:cs="Times New Roman"/>
          <w:rStyle w:val="FootnoteReference"/>
          <w:lang w:bidi="fa-IR"/>
        </w:rPr>
        <w:footnoteReference w:id="193"/>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Fonts w:ascii="Times New Roman" w:hAnsi="Times New Roman" w:eastAsia="Times New Roman" w:cs="Times New Roman"/>
          <w:rStyle w:val="FootnoteReference"/>
          <w:lang w:bidi="fa-IR"/>
        </w:rPr>
        <w:footnoteReference w:id="194"/>
      </w:r>
      <w:r>
        <w:rPr>
          <w:rFonts w:hint="cs"/>
          <w:cs w:val="0"/>
        </w:rPr>
        <w:t xml:space="preserve"> و دسیکو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196"/>
      </w:r>
      <w:r>
        <w:rPr>
          <w:rFonts w:hint="cs"/>
          <w:cs w:val="0"/>
        </w:rPr>
        <w:t xml:space="preserve"> و پوروحیت</w:t>
      </w:r>
      <w:r>
        <w:rPr>
          <w:rFonts w:ascii="Times New Roman" w:hAnsi="Times New Roman" w:eastAsia="Times New Roman" w:cs="Times New Roman"/>
          <w:rStyle w:val="FootnoteReference"/>
          <w:lang w:bidi="fa-IR"/>
        </w:rPr>
        <w:footnoteReference w:id="19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Fonts w:ascii="Times New Roman" w:hAnsi="Times New Roman" w:eastAsia="Times New Roman" w:cs="Times New Roman"/>
          <w:rStyle w:val="FootnoteReference"/>
          <w:lang w:bidi="fa-IR"/>
        </w:rPr>
        <w:footnoteReference w:id="19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w:t>
      </w:r>
      <w:r>
        <w:rPr>
          <w:rFonts w:ascii="Times New Roman" w:hAnsi="Times New Roman" w:eastAsia="Times New Roman" w:cs="Times New Roman"/>
          <w:rStyle w:val="FootnoteReference"/>
          <w:lang w:bidi="fa-IR"/>
        </w:rPr>
        <w:footnoteReference w:id="199"/>
      </w:r>
      <w:r>
        <w:rPr>
          <w:rFonts w:hint="cs"/>
          <w:cs w:val="0"/>
        </w:rPr>
        <w:t xml:space="preserve"> و پاوول</w:t>
      </w:r>
      <w:r>
        <w:rPr>
          <w:rFonts w:ascii="Times New Roman" w:hAnsi="Times New Roman" w:eastAsia="Times New Roman" w:cs="Times New Roman"/>
          <w:rStyle w:val="FootnoteReference"/>
          <w:lang w:bidi="fa-IR"/>
        </w:rPr>
        <w:footnoteReference w:id="198"/>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Fonts w:ascii="Times New Roman" w:hAnsi="Times New Roman" w:eastAsia="Times New Roman" w:cs="Times New Roman"/>
          <w:rStyle w:val="FootnoteReference"/>
          <w:lang w:bidi="fa-IR"/>
        </w:rPr>
        <w:footnoteReference w:id="200"/>
      </w:r>
      <w:r>
        <w:rPr>
          <w:rFonts w:hint="cs"/>
          <w:cs w:val="0"/>
        </w:rPr>
        <w:t xml:space="preserve"> آلمیدا و کوئینگ(۲۰۰۶)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202"/>
      </w:r>
      <w:r>
        <w:rPr>
          <w:rFonts w:hint="cs"/>
          <w:cs w:val="0"/>
        </w:rPr>
        <w:t xml:space="preserve"> و پوروحیت</w:t>
      </w:r>
      <w:r>
        <w:rPr>
          <w:rFonts w:ascii="Times New Roman" w:hAnsi="Times New Roman" w:eastAsia="Times New Roman" w:cs="Times New Roman"/>
          <w:rStyle w:val="FootnoteReference"/>
          <w:lang w:bidi="fa-IR"/>
        </w:rPr>
        <w:footnoteReference w:id="201"/>
      </w:r>
      <w:r>
        <w:rPr>
          <w:rFonts w:hint="cs"/>
          <w:cs w:val="0"/>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Fonts w:ascii="Times New Roman" w:hAnsi="Times New Roman" w:eastAsia="Times New Roman" w:cs="Times New Roman"/>
          <w:rStyle w:val="FootnoteReference"/>
          <w:lang w:bidi="fa-IR"/>
        </w:rPr>
        <w:footnoteReference w:id="203"/>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Fonts w:ascii="Times New Roman" w:hAnsi="Times New Roman" w:eastAsia="Times New Roman" w:cs="Times New Roman"/>
          <w:rStyle w:val="FootnoteReference"/>
          <w:lang w:bidi="fa-IR"/>
        </w:rPr>
        <w:footnoteReference w:id="204"/>
      </w:r>
      <w:r>
        <w:rPr>
          <w:rFonts w:hint="cs"/>
          <w:cs w:val="0"/>
        </w:rPr>
        <w:t xml:space="preserve"> و الیسون(۲۰۰۰)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یالوم</w:t>
      </w:r>
      <w:r>
        <w:rPr>
          <w:rFonts w:ascii="Times New Roman" w:hAnsi="Times New Roman" w:eastAsia="Times New Roman" w:cs="Times New Roman"/>
          <w:rStyle w:val="FootnoteReference"/>
          <w:lang w:bidi="fa-IR"/>
        </w:rPr>
        <w:footnoteReference w:id="205"/>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w:t>
      </w:r>
      <w:r>
        <w:rPr>
          <w:cs w:val="0"/>
        </w:rPr>
        <w:lastRenderedPageBreak/>
        <w:t>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lang w:bidi="fa-IR"/>
        </w:rPr>
        <w:footnoteReference w:id="206"/>
      </w:r>
      <w:r>
        <w:rPr>
          <w:cs w:val="0"/>
        </w:rPr>
        <w:lastRenderedPageBreak/>
        <w:t xml:space="preserve"> است.</w:t>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hAnsi="Times New Roman" w:eastAsia="Times New Roman" w:cs="Times New Roman"/>
          <w:rStyle w:val="FootnoteReference"/>
          <w:lang w:bidi="fa-IR"/>
        </w:rPr>
        <w:footnoteReference w:id="208"/>
      </w:r>
      <w:r>
        <w:rPr>
          <w:rFonts w:hint="cs"/>
          <w:cs w:val="0"/>
        </w:rPr>
        <w:t xml:space="preserve"> و مورگان</w:t>
      </w:r>
      <w:r>
        <w:rPr>
          <w:rFonts w:ascii="Times New Roman" w:hAnsi="Times New Roman" w:eastAsia="Times New Roman" w:cs="Times New Roman"/>
          <w:rStyle w:val="FootnoteReference"/>
          <w:lang w:bidi="fa-IR"/>
        </w:rPr>
        <w:footnoteReference w:id="207"/>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pPr>
        <w:spacing w:after="0" w:line="276" w:lineRule="auto"/>
        <w:ind w:firstLine="397"/>
        <w:jc w:val="both"/>
        <w:rPr>
          <w:rFonts w:ascii="B Lotus"/>
          <w:color w:val="auto"/>
          <w:cs w:val="0"/>
        </w:rPr>
      </w:pPr>
      <w:r>
        <w:rPr>
          <w:rFonts w:ascii="Times New Roman" w:hAnsi="Times New Roman" w:eastAsia="Times New Roman" w:cs="B Lotus"/>
        </w:rPr>
        <w:t xml:space="preserve">این پرسشنامه (SISRI-24) را کینگ ساخته و کینگ و دی‌سیکو (۲۰۰۹) مدل چهارعاملی و روایی آن را گزارش کرده‌اند. ۲۴ گویه دارد و با لیکرت پنج‌درجه‌ای از کاملاً نادرست (۰) تا کاملاً درست (۴) نمره‌گذاری می‌شود. چهار زیرمقیاس آن تفکر وجودی انتقادی، ایجاد معنای شخصی، آگاهی متعالی و گسترش حالت هوشیاری است. نمره کل بین ۰ تا ۹۶ است و نمره بالاتر یعنی هوش معنوی بالاتر. در ساخت مقیاس، روی دانشجویان دانشگاه ترنت همسانی درونی مطلوب گزارش شد (کینگ و دی‌سیکو، ۲۰۰۹). در ایران معلمی، بخشانی و رقیبی (۱۳۸۹) پایایی بازآزمایی را در نمونه ۶۰ نفری ۶۷/۰ گزارش کردند.</w:t>
      </w:r>
    </w:p>
    <w:p w:rsidR="008908D0" w:rsidRDefault="002D5E38">
      <w:pPr>
        <w:pStyle w:val="Heading3"/>
        <w:spacing w:before="240" w:after="100" w:line="276" w:lineRule="auto"/>
        <w:rPr>
          <w:cs w:val="0"/>
        </w:rPr>
      </w:pPr>
      <w:bookmarkStart w:id="66" w:name="_Toc238572064"/>
      <w:r>
        <w:rPr>
          <w:cs w:val="0"/>
        </w:rPr>
        <w:t>۳-۳-۲- پرسشنامه اضطراب مرگ (DAS)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Fonts w:ascii="Times New Roman" w:hAnsi="Times New Roman" w:eastAsia="Times New Roman" w:cs="Times New Roman"/>
          <w:rStyle w:val="FootnoteReference"/>
          <w:lang w:bidi="fa-IR"/>
        </w:rPr>
        <w:footnoteReference w:id="211"/>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۳-۳-۳- پرسشنامه اضطراب سلامتی (HAI)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Fonts w:ascii="Times New Roman" w:hAnsi="Times New Roman" w:eastAsia="Times New Roman" w:cs="Times New Roman"/>
          <w:rStyle w:val="FootnoteReference"/>
          <w:lang w:bidi="fa-IR"/>
        </w:rPr>
        <w:footnoteReference w:id="213"/>
      </w:r>
      <w:r>
        <w:rPr>
          <w:rFonts w:hint="cs"/>
          <w:cs w:val="0"/>
        </w:rPr>
        <w:t xml:space="preserve"> توسط سالکوفسکیس</w:t>
      </w:r>
      <w:r>
        <w:rPr>
          <w:rFonts w:ascii="Times New Roman" w:hAnsi="Times New Roman" w:eastAsia="Times New Roman" w:cs="Times New Roman"/>
          <w:rStyle w:val="FootnoteReference"/>
          <w:lang w:bidi="fa-IR"/>
        </w:rPr>
        <w:footnoteReference w:id="212"/>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Fonts w:ascii="Times New Roman" w:hAnsi="Times New Roman" w:eastAsia="Times New Roman" w:cs="Times New Roman"/>
          <w:rStyle w:val="FootnoteReference"/>
          <w:lang w:bidi="fa-IR"/>
        </w:rPr>
        <w:footnoteReference w:id="215"/>
      </w:r>
      <w:r>
        <w:rPr>
          <w:rFonts w:hint="cs"/>
          <w:cs w:val="0"/>
        </w:rPr>
        <w:lastRenderedPageBreak/>
        <w:t xml:space="preserve"> و مورگان</w:t>
      </w:r>
      <w:r>
        <w:rPr>
          <w:rFonts w:ascii="Times New Roman" w:hAnsi="Times New Roman" w:eastAsia="Times New Roman" w:cs="Times New Roman"/>
          <w:rStyle w:val="FootnoteReference"/>
          <w:lang w:bidi="fa-IR"/>
        </w:rPr>
        <w:footnoteReference w:id="214"/>
      </w:r>
      <w:r>
        <w:rPr>
          <w:rFonts w:hint="cs"/>
          <w:cs w:val="0"/>
        </w:rPr>
        <w:lastRenderedPageBreak/>
        <w:t xml:space="preserve">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r>
        <w:t>جدول ۴-</w:t>
      </w:r>
      <w:r>
        <w:fldChar w:fldCharType="begin" w:dirty="true"/>
      </w:r>
      <w:r>
        <w:instrText xml:space="preserve"> SEQ جدول \* ARABIC </w:instrText>
      </w:r>
      <w:r>
        <w:fldChar w:fldCharType="separate"/>
      </w:r>
      <w:r>
        <w:t>1</w:t>
      </w:r>
      <w:r>
        <w:fldChar w:fldCharType="end"/>
      </w:r>
      <w:r>
        <w:t>- شاخص‌های توصیفی مربوط به جنسیت</w:t>
      </w:r>
      <w:bookmarkEnd w:id="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dirty="true"/>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dirty="true"/>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dirty="true"/>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dirty="true"/>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dirty="true"/>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بر اساس نتایج جدول فوق، بین اضطراب مرگ با تفکر وجودی انتقادی (۳۴/۰-=</w:t>
      </w:r>
      <w:r>
        <w:rPr>
          <w:rFonts w:hint="cs"/>
          <w:rtl w:val="0"/>
          <w:cs w:val="0"/>
        </w:rPr>
        <w:t>r)</w:t>
      </w:r>
      <w:r>
        <w:rPr>
          <w:rFonts w:hint="cs"/>
          <w:cs w:val="0"/>
        </w:rPr>
        <w:t>، ایجاد معنای شخصی (۴۵/۰-=</w:t>
      </w:r>
      <w:r>
        <w:rPr>
          <w:rFonts w:hint="cs"/>
          <w:rtl w:val="0"/>
          <w:cs w:val="0"/>
        </w:rPr>
        <w:t>r)</w:t>
      </w:r>
      <w:r>
        <w:rPr>
          <w:rFonts w:hint="cs"/>
          <w:cs w:val="0"/>
        </w:rPr>
        <w:t>، آگاهی متعالی (۳۱/۰-=</w:t>
      </w:r>
      <w:r>
        <w:rPr>
          <w:rFonts w:hint="cs"/>
          <w:rtl w:val="0"/>
          <w:cs w:val="0"/>
        </w:rPr>
        <w:t>r)</w:t>
      </w:r>
      <w:r>
        <w:rPr>
          <w:rFonts w:hint="cs"/>
          <w:cs w:val="0"/>
        </w:rPr>
        <w:t>، و گسترش حالت هوشیاری (۲۹/۰-=</w:t>
      </w:r>
      <w:r>
        <w:rPr>
          <w:rFonts w:hint="cs"/>
          <w:rtl w:val="0"/>
          <w:cs w:val="0"/>
        </w:rPr>
        <w:t>r)</w:t>
      </w:r>
      <w:r>
        <w:rPr>
          <w:rFonts w:hint="cs"/>
          <w:cs w:val="0"/>
        </w:rPr>
        <w:t>، رابطه‌ای منفی و معنادار در سطح ۰۱/۰ وجود دارد. بین هوش معنوی و اضطراب مرگ نیز رابطه‌ای منفی و معنادار مشاهده شد (۴۶/۰-=</w:t>
      </w:r>
      <w:r>
        <w:rPr>
          <w:rFonts w:hint="cs"/>
          <w:rtl w:val="0"/>
          <w:cs w:val="0"/>
        </w:rPr>
        <w:t>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dirty="true"/>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بر اساس نتایج جدول ۴-۷ بین اضطراب مرگ سالمندان با احتمال ابتلا به بیماری (۴۹/۰=</w:t>
      </w:r>
      <w:r>
        <w:rPr>
          <w:rFonts w:hint="cs"/>
          <w:rtl w:val="0"/>
          <w:cs w:val="0"/>
        </w:rPr>
        <w:t>r)</w:t>
      </w:r>
      <w:r>
        <w:rPr>
          <w:rFonts w:hint="cs"/>
          <w:cs w:val="0"/>
        </w:rPr>
        <w:t>، پیامدهای منفی بیماری (۵۵/۰=</w:t>
      </w:r>
      <w:r>
        <w:rPr>
          <w:rFonts w:hint="cs"/>
          <w:rtl w:val="0"/>
          <w:cs w:val="0"/>
        </w:rPr>
        <w:t xml:space="preserve">r) </w:t>
      </w:r>
      <w:r>
        <w:rPr>
          <w:rFonts w:hint="cs"/>
          <w:cs w:val="0"/>
        </w:rPr>
        <w:t>و اضطراب سلامتی کل(۵۸/۰=</w:t>
      </w:r>
      <w:r>
        <w:rPr>
          <w:rFonts w:hint="cs"/>
          <w:rtl w:val="0"/>
          <w:cs w:val="0"/>
        </w:rPr>
        <w:t xml:space="preserve">r) </w:t>
      </w:r>
      <w:r>
        <w:rPr>
          <w:rFonts w:hint="cs"/>
          <w:cs w:val="0"/>
        </w:rPr>
        <w:t>رابطه‌ای مثبت و معنادار در سطح ۰۱/۰ وجود دارد.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dirty="true"/>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در تبیین اضطراب مرگ سالمندان از روی متغیرهای پیش‌بین، مجموع متغیرهای پیش‌بین مقدار ۵۴/۰=</w:t>
      </w:r>
      <w:r>
        <w:rPr>
          <w:rFonts w:hint="cs"/>
          <w:rtl w:val="0"/>
          <w:cs w:val="0"/>
        </w:rPr>
        <w:t>R</w:t>
      </w:r>
      <w:r>
        <w:rPr>
          <w:rFonts w:hint="cs"/>
          <w:cs w:val="0"/>
        </w:rPr>
        <w:t xml:space="preserve">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w:t>
      </w:r>
      <w:r>
        <w:rPr>
          <w:rFonts w:hint="cs"/>
          <w:rtl w:val="0"/>
          <w:cs w:val="0"/>
        </w:rPr>
        <w:t xml:space="preserve">F </w:t>
      </w:r>
      <w:r>
        <w:rPr>
          <w:rFonts w:hint="cs"/>
          <w:cs w:val="0"/>
        </w:rPr>
        <w:t>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dirty="true"/>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pPr>
        <w:spacing w:after="0" w:line="276" w:lineRule="auto"/>
        <w:ind w:firstLine="397"/>
        <w:jc w:val="both"/>
        <w:rPr>
          <w:color w:val="auto"/>
          <w:cs w:val="0"/>
        </w:rPr>
      </w:pPr>
      <w:r>
        <w:rPr>
          <w:rFonts w:ascii="Times New Roman" w:hAnsi="Times New Roman" w:eastAsia="Times New Roman" w:cs="B Lotus"/>
        </w:rPr>
        <w:t xml:space="preserve">فرضیه فرعی اول این بود که بین هوش معنوی و اضطراب مرگ سالمندان رابطه هست. نتیجه، همبستگی منفی معنادار در سطح ۰۱/۰ بود؛ یعنی هرچه هوش معنوی و مؤلفه‌هایش بالاتر، اضطراب مرگ پایین‌تر. این الگو با یوسفی افراشته و همکاران (۲۰۲۵)، پینتو و همکاران (۲۰۲۴)، کریمی و همکاران (۱۴۰۰)، رحمانی و همکاران (۱۴۰۰)، مهدوی‌کیا و همکاران (۱۳۹۹)، اکبری و یوسفی (۱۳۹۷)، محمدپور (۱۳۹۲)، نادری و روشنی (۱۳۹۰) و لوین و همکاران (۲۰۱۱) همخوان است. هوش معنوی به پیدا کردن معنا و استفاده از منابع درونی در برابر بیماری و فقدان کمک می‌کند. دوره سالمندی با کم شدن توان جسمی و از دست دادن نزدیکان همراه است و این‌ها می‌تواند با نگرانی از مرگ همراه باشد. مقاله کینگ و دی‌سیکو (۲۰۰۹) ساخت مقیاس روی دانشجو است و برای همسویی با اضطراب مرگ سالمند به آن استناد نشد.</w:t>
      </w:r>
    </w:p>
    <w:p w:rsidR="008908D0" w:rsidRDefault="002D5E38">
      <w:pPr>
        <w:spacing w:after="0" w:line="276" w:lineRule="auto"/>
        <w:ind w:firstLine="397"/>
        <w:jc w:val="both"/>
        <w:rPr>
          <w:color w:val="auto"/>
          <w:cs w:val="0"/>
        </w:rPr>
      </w:pPr>
      <w:r>
        <w:rPr>
          <w:rFonts w:hint="cs"/>
          <w:cs w:val="0"/>
        </w:rPr>
        <w:t>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pPr>
        <w:spacing w:after="0" w:line="276" w:lineRule="auto"/>
        <w:ind w:firstLine="397"/>
        <w:jc w:val="both"/>
        <w:rPr>
          <w:color w:val="auto"/>
          <w:cs w:val="0"/>
        </w:rPr>
      </w:pPr>
      <w:r>
        <w:rPr>
          <w:rFonts w:ascii="Times New Roman" w:hAnsi="Times New Roman" w:eastAsia="Times New Roman" w:cs="B Lotus"/>
        </w:rPr>
        <w:t xml:space="preserve">فرضیه فرعی دوم این بود که بین اضطراب سلامتی و اضطراب مرگ رابطه هست. همبستگی مثبت معنادار در سطح ۰۱/۰ به دست آمد. این یافته با کیکاس و همکاران (۲۰۲۴)، شفیعی و همکاران (۲۰۲۵)، اکبری و یوسفی (۱۳۹۷)، رضایی و محمدی (۱۳۹۵) و نویز و همکاران (۲۰۰۲) همخوان است. در سالمندی، بیماری جسمی واقعی و نگرانی افراطی از بیماری قاطی می‌شوند و تشخیص‌شان سخت است. هاردینگ و همکاران (۲۰۰۵) نمونه مراقبت تسکینی سرطان است و برای این فرضیه کنار گذاشته شد. در این پژوهش فقط رابطه گزارش می‌شود، نه علت.</w:t>
      </w:r>
    </w:p>
    <w:p>
      <w:pPr>
        <w:autoSpaceDE/>
        <w:autoSpaceDN/>
        <w:adjustRightInd/>
        <w:spacing w:after="0" w:line="276" w:lineRule="auto"/>
        <w:ind w:firstLine="397"/>
        <w:jc w:val="both"/>
        <w:rPr>
          <w:color w:val="auto"/>
          <w:cs w:val="0"/>
        </w:rPr>
      </w:pPr>
      <w:r>
        <w:rPr>
          <w:rFonts w:ascii="Times New Roman" w:hAnsi="Times New Roman" w:eastAsia="Times New Roman" w:cs="B Lotus"/>
        </w:rPr>
        <w:t xml:space="preserve">فرضیه اصلی این بود که هوش معنوی و اضطراب سلامتی با اضطراب مرگ رابطه دارند. در رگرسیون، اضطراب سلامتی (β = ۰/۵۲) مثبت و هوش معنوی (β = −۰/۳۶) منفی، اضطراب مرگ را پیش‌بینی کردند و حدود ۵۴ درصد واریانس را پوشاندند. اضطراب سلامتی با حواس‌جمعی افراطی روی علائم بدن همراه است و در این نمونه با اضطراب مرگ بالاتر همبسته بود. هوش معنوی بالاتر هم با اضطراب مرگ پایین‌تر همراه بود. چون طرح توصیفی-همبستگی است، نمی‌شود گفت کدام یکی علت دیگری است. برای کار عملی هم باید با احتیاط نمونه‌گیری در دسترس جلو رفت.</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شماره،۲ .۱۳-۴.</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۱۳(۱)، ۷۷-۸۸.</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بهره‌ور، و؛ ابوالفتحی ممتاز، ی و حسینی، س(۱۴۰۲). احساس تنهایی در سالمندان در ایران: مرور سیستماتیک. مجله پزشکی دانشگاه علوم پزشکی تبریز، ۴۵(۵)،۳۸۹–۴۰۱.</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۹(۳)، ۱۶۸–۱۷۲.</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۹(۲)، ۲۵-۴۰.</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۳(۳)، ۸۱-۷۲.</w:t>
      </w:r>
    </w:p>
    <w:p w:rsidR="008908D0" w:rsidRDefault="002D5E38">
      <w:pPr>
        <w:pStyle w:val="PersianReferences"/>
        <w:autoSpaceDE/>
        <w:autoSpaceDN/>
        <w:bidi w:val="1"/>
        <w:adjustRightInd/>
        <w:spacing w:after="0" w:line="276" w:lineRule="auto"/>
        <w:ind w:firstLine="397"/>
        <w:jc w:val="both"/>
        <w:rPr>
          <w:cs w:val="0"/>
        </w:rPr>
      </w:pPr>
      <w:r>
        <w:rPr>
          <w:cs w:val="0"/>
        </w:rPr>
        <w:t>رستمی، پ؛ سالک ابراهیمی، ل؛ محمدپوراصل، ا؛ و اله‌وردی‌پور،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rsidR="008908D0" w:rsidRDefault="002D5E38">
      <w:pPr>
        <w:pStyle w:val="PersianReferences"/>
        <w:autoSpaceDE/>
        <w:autoSpaceDN/>
        <w:bidi w:val="1"/>
        <w:adjustRightInd/>
        <w:spacing w:after="0" w:line="276" w:lineRule="auto"/>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۵(۴)، ۲۷-۳۶.</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۵۹(۴)، ۱۹۲۵</w:t>
      </w:r>
      <w:r>
        <w:rPr>
          <w:rFonts w:hint="cs"/>
          <w:cs w:val="0"/>
        </w:rPr>
        <w:t>–۱۹۳۲</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ی</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۱۰(۳)، ۴۵-۶۰.</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شماره،۶ .۶۷-۵۵.</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سالمند،۱۳(۲)،۸۵-۹۶.</w:t>
      </w:r>
      <w:r>
        <w:rPr>
          <w:rFonts w:hint="cs"/>
          <w:cs w:val="0"/>
        </w:rPr>
        <w:t/>
      </w:r>
      <w:r>
        <w:rPr>
          <w:rFonts w:hint="eastAsia"/>
          <w:cs w:val="0"/>
        </w:rPr>
        <w:t/>
      </w:r>
      <w:r>
        <w:rPr>
          <w:cs w:val="0"/>
        </w:rPr>
        <w:t/>
      </w:r>
      <w:r>
        <w:rPr>
          <w:rFonts w:hint="cs"/>
          <w:cs w:val="0"/>
        </w:rPr>
        <w:t/>
      </w:r>
      <w:r>
        <w:rPr>
          <w:rFonts w:hint="eastAsia"/>
          <w:cs w:val="0"/>
        </w:rPr>
        <w:t/>
      </w:r>
      <w:r>
        <w:rPr>
          <w:cs w:val="0"/>
        </w:rPr>
        <w:t xml:space="preserve"/>
      </w:r>
      <w:r>
        <w:rPr>
          <w:rFonts w:hint="cs"/>
          <w:cs w:val="0"/>
        </w:rPr>
        <w:t/>
      </w:r>
      <w:r>
        <w:rPr>
          <w:rFonts w:hint="eastAsia"/>
          <w:cs w:val="0"/>
        </w:rPr>
        <w:t/>
      </w:r>
      <w:r>
        <w:rPr>
          <w:rFonts w:hint="cs"/>
          <w:cs w:val="0"/>
        </w:rPr>
        <w:t/>
      </w:r>
      <w:r>
        <w:rPr>
          <w:rFonts w:hint="eastAsia"/>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Abramowitz, J. S., &amp; Braddock, A. E. (2023). Psychological Treatment of Health Anxiety and Illness Anxiety Disorder. Guilford Press.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Psychological Association. (2023). Clinical Practice Guideline for the Treatment of Depression and Anxiety in Older Adults.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Atchison, K., et al. (2024). Detection of anxiety symptoms and disorders in older adults: A diagnostic accuracy systematic review. Age and Ageing. </w:t>
      </w:r>
      <w:hyperlink r:id="rId42" w:history="1">
        <w:r>
          <w:rPr>
            <w:rStyle w:val="Hyperlink"/>
            <w:rFonts w:ascii="Times New Roman" w:hAnsi="Times New Roman" w:eastAsia="Times New Roman" w:cs="Times New Roman"/>
            <w:rtl w:val="0"/>
          </w:rPr>
          <w:t>https://doi.org/10.1093/ageing/afae122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(1989). A Continuity Theory of Normal Aging. The Gerontologist, 29(2), 183–190. </w:t>
      </w:r>
      <w:hyperlink r:id="rId10" w:history="1">
        <w:r>
          <w:rPr>
            <w:rStyle w:val="Hyperlink"/>
            <w:rFonts w:ascii="Times New Roman" w:hAnsi="Times New Roman" w:eastAsia="Times New Roman" w:cs="Times New Roman"/>
            <w:rtl w:val="0"/>
          </w:rPr>
          <w:t>https://doi.org/10.1093/geront/29.2.183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(2016). Social Forces and Aging: An Introduction to Social Gerontology (14th ed.). Cengage Learning.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Beck, J. S., &amp; Haigh, E. A. P. (2014). Advances in Cognitive Theory and Therapy: The Generic Cognitive Model. Annual Review of Clinical Psychology, 10, 1–24.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Bolton, D., &amp; Gillett, G. (2019). The biopsychosocial model of health and disease: New philosophical and scientific developments. Palgrave Macmillan. </w:t>
      </w:r>
      <w:hyperlink r:id="rId43" w:history="1">
        <w:r>
          <w:rPr>
            <w:rStyle w:val="Hyperlink"/>
            <w:rFonts w:ascii="Times New Roman" w:hAnsi="Times New Roman" w:eastAsia="Times New Roman" w:cs="Times New Roman"/>
            <w:rtl w:val="0"/>
          </w:rPr>
          <w:t>https://doi.org/10.1007/978-3-030-11899-0</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(2006). The influence of a sense of time on human development. Science, 312(5782), 1913–1915. </w:t>
      </w:r>
      <w:hyperlink r:id="rId11" w:history="1">
        <w:r>
          <w:rPr>
            <w:rStyle w:val="Hyperlink"/>
            <w:rFonts w:ascii="Times New Roman" w:hAnsi="Times New Roman" w:eastAsia="Times New Roman" w:cs="Times New Roman"/>
            <w:rtl w:val="0"/>
          </w:rPr>
          <w:t>https://doi.org/10.1126/science.1127488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(2021). Socioemotional selectivity theory: The role of perceived endings in human motivation. The Gerontologist, 61(8), 1188–1196. </w:t>
      </w:r>
      <w:hyperlink r:id="rId12" w:history="1">
        <w:r>
          <w:rPr>
            <w:rStyle w:val="Hyperlink"/>
            <w:rFonts w:ascii="Times New Roman" w:hAnsi="Times New Roman" w:eastAsia="Times New Roman" w:cs="Times New Roman"/>
            <w:rtl w:val="0"/>
          </w:rPr>
          <w:t>https://doi.org/10.1093/geront/gnab116</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Isaacowitz, D. M., &amp; Charles, S. T. (1999). Taking time seriously: A theory of socioemotional selectivity. American Psychologist, 54(3), 165–181. </w:t>
      </w:r>
      <w:hyperlink r:id="rId13" w:history="1">
        <w:r>
          <w:rPr>
            <w:rStyle w:val="Hyperlink"/>
            <w:rFonts w:ascii="Times New Roman" w:hAnsi="Times New Roman" w:eastAsia="Times New Roman" w:cs="Times New Roman"/>
            <w:rtl w:val="0"/>
          </w:rPr>
          <w:t>https://doi.org/10.1037/0003-066X.54.3.165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Cumming, E., &amp; Henry, W. E. (1961). Growing Old: The Process of Disengagement. New York: Basic Books.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Diener, E., Oishi, S., &amp; Tay, L. (2018). Advances in subjective well-being research. Nature Human Behaviour, 2(4), 253–260. </w:t>
      </w:r>
      <w:hyperlink r:id="rId14" w:history="1">
        <w:r>
          <w:rPr>
            <w:rStyle w:val="Hyperlink"/>
            <w:rFonts w:ascii="Times New Roman" w:hAnsi="Times New Roman" w:eastAsia="Times New Roman" w:cs="Times New Roman"/>
            <w:rtl w:val="0"/>
          </w:rPr>
          <w:t>https://doi.org/10.1038/s41562-018-0307-6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Dowd, J. J. (1975). Aging as Exchange: A Preface to Theory. Journal of Gerontology, 30(5), 584–594.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(1982). The Life Cycle Completed. New York: W. W. Norton.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Erikson, J. M., &amp; Kivnick, H. Q. (1986). Vital Involvement in Old Age. New York: W. W. Norton.</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Franceschi, C., Garagnani, P., Parini, P., Giuliani, C., &amp; Santoro, A. (2018). Inflammaging: A new immune–metabolic viewpoint for age-related diseases. Nature Reviews Endocrinology, 14(10), 576–590. </w:t>
      </w:r>
      <w:hyperlink r:id="rId15" w:history="1">
        <w:r>
          <w:rPr>
            <w:rStyle w:val="Hyperlink"/>
            <w:rFonts w:ascii="Times New Roman" w:hAnsi="Times New Roman" w:eastAsia="Times New Roman" w:cs="Times New Roman"/>
            <w:rtl w:val="0"/>
          </w:rPr>
          <w:t>https://doi.org/10.1038/s41574-018-0059-4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Goodarzi, F., Khoshravesh, S., Ayubi, E., Bashirian, S., &amp; Barati, M. (2024). Psychosocial determinants of functional independence among older adults: A systematic review and meta-analysis. Health Promotion Perspectives, 14(1), 32–43. </w:t>
      </w:r>
      <w:hyperlink r:id="rId44" w:history="1">
        <w:r>
          <w:rPr>
            <w:rStyle w:val="Hyperlink"/>
            <w:rFonts w:ascii="Times New Roman" w:hAnsi="Times New Roman" w:eastAsia="Times New Roman" w:cs="Times New Roman"/>
            <w:rtl w:val="0"/>
          </w:rPr>
          <w:t>https://doi.org/10.34172/hpp.42354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Halldórsson, B., &amp; Salkovskis, P. M. (2023). Reassurance and its alternatives: Overview and cognitive behavioural conceptualisation. Journal of Obsessive-Compulsive and Related Disorders, 36, 100783. </w:t>
      </w:r>
      <w:hyperlink r:id="rId45" w:history="1">
        <w:r>
          <w:rPr>
            <w:rStyle w:val="Hyperlink"/>
            <w:rFonts w:ascii="Times New Roman" w:hAnsi="Times New Roman" w:eastAsia="Times New Roman" w:cs="Times New Roman"/>
            <w:rtl w:val="0"/>
          </w:rPr>
          <w:t>https://doi.org/10.1016/j.jocrd.2023.100783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(1961). Successful aging. The Gerontologist, 1(1), 8–13. </w:t>
      </w:r>
      <w:hyperlink r:id="rId46" w:history="1">
        <w:r>
          <w:rPr>
            <w:rStyle w:val="Hyperlink"/>
            <w:rFonts w:ascii="Times New Roman" w:hAnsi="Times New Roman" w:eastAsia="Times New Roman" w:cs="Times New Roman"/>
            <w:rtl w:val="0"/>
          </w:rPr>
          <w:t>https://doi.org/10.1093/geront/1.1.8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Neugarten, B. L., &amp; Tobin, S. S. (1968). Disengagement and Patterns of Aging. In Middle Age and Aging.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Hill, S., &amp; Watts, D. (2024). Googling and health anxiety in older age—A case study of CBT incorporating a single case experimental design. Clinical Case Reports, 12(8), e9316. </w:t>
      </w:r>
      <w:hyperlink r:id="rId47" w:history="1">
        <w:r>
          <w:rPr>
            <w:rStyle w:val="Hyperlink"/>
            <w:rFonts w:ascii="Times New Roman" w:hAnsi="Times New Roman" w:eastAsia="Times New Roman" w:cs="Times New Roman"/>
            <w:rtl w:val="0"/>
          </w:rPr>
          <w:t>https://doi.org/10.1002/ccr3.9316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Hooyman, N. R., &amp; Kiyak, H. A. (2015). Social Gerontology: A Multidisciplinary Perspective (10th ed.).</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Iverach, L., Menzies, R. G., &amp; Menzies, R. E. (2014). Death anxiety and its role in psychopathology: Reviewing the status of a transdiagnostic construct. Clinical Psychology Review, 34(7), 580–593. </w:t>
      </w:r>
      <w:hyperlink r:id="rId17" w:history="1">
        <w:r>
          <w:rPr>
            <w:rStyle w:val="Hyperlink"/>
            <w:rFonts w:ascii="Times New Roman" w:hAnsi="Times New Roman" w:eastAsia="Times New Roman" w:cs="Times New Roman"/>
            <w:rtl w:val="0"/>
          </w:rPr>
          <w:t>https://doi.org/10.1016/j.cpr.2014.09.002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Jafari-Koulaee, A., Mohammadi, E., Fox, M. T., Rasekhi, A., &amp; Akha, O. (2024). Predictors of basic and instrumental activities of daily living among older adults with multiple chronic conditions. BMC Geriatrics, 24, 383. </w:t>
      </w:r>
      <w:hyperlink r:id="rId48" w:history="1">
        <w:r>
          <w:rPr>
            <w:rStyle w:val="Hyperlink"/>
            <w:rFonts w:ascii="Times New Roman" w:hAnsi="Times New Roman" w:eastAsia="Times New Roman" w:cs="Times New Roman"/>
            <w:rtl w:val="0"/>
          </w:rPr>
          <w:t>https://doi.org/10.1186/s12877-024-04947-w</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Jain, M., &amp; Purohit, P.(2006). Spiritual intelligence: A contemporary concern about the living conditions of the elderly. Indian journal of psychology, 81(1-2), 60-65.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Johnco, C. J., Matovic, D., &amp; Wuthrich, V. M. (2024). Anxiety disorders in later life. Psychiatric Clinics of North America, 47(4), 741–752. </w:t>
      </w:r>
      <w:hyperlink r:id="rId49" w:history="1">
        <w:r>
          <w:rPr>
            <w:rStyle w:val="Hyperlink"/>
            <w:rFonts w:ascii="Times New Roman" w:hAnsi="Times New Roman" w:eastAsia="Times New Roman" w:cs="Times New Roman"/>
            <w:rtl w:val="0"/>
          </w:rPr>
          <w:t>https://doi.org/10.1016/j.psc.2024.04.015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Keyes, C. L. M. (2002). The mental health continuum: From languishing to flourishing in life. Journal of Health and Social Behavior, 43(2), 207–222. </w:t>
      </w:r>
      <w:hyperlink r:id="rId18" w:history="1">
        <w:r>
          <w:rPr>
            <w:rStyle w:val="Hyperlink"/>
            <w:rFonts w:ascii="Times New Roman" w:hAnsi="Times New Roman" w:eastAsia="Times New Roman" w:cs="Times New Roman"/>
            <w:rtl w:val="0"/>
          </w:rPr>
          <w:t>https://doi.org/10.2307/3090197</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Kikas, K., Werner-Seidler, A., Upton, E., &amp; Newby, J. M. (2024). Illness anxiety disorder: A review of the current research and future directions. Current Psychiatry Reports, 26(7), 331–339. </w:t>
      </w:r>
      <w:hyperlink r:id="rId50" w:history="1">
        <w:r>
          <w:rPr>
            <w:rStyle w:val="Hyperlink"/>
            <w:rFonts w:ascii="Times New Roman" w:hAnsi="Times New Roman" w:eastAsia="Times New Roman" w:cs="Times New Roman"/>
            <w:rtl w:val="0"/>
          </w:rPr>
          <w:t>https://doi.org/10.1007/s11920-024-01507-2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Koenig, H. G. (2023). Religion, Spirituality, and Health: Research and Clinical Implications. International Journal of Psychiatry in Medicine.</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Krejcie, R. V., &amp; Morgan, D. W. (1970). Determining sample size for research activities. Educational and Psychological Measurement, 30(3), 607–610. </w:t>
      </w:r>
      <w:hyperlink r:id="rId21" w:history="1">
        <w:r>
          <w:rPr>
            <w:rStyle w:val="Hyperlink"/>
            <w:rFonts w:ascii="Times New Roman" w:hAnsi="Times New Roman" w:eastAsia="Times New Roman" w:cs="Times New Roman"/>
            <w:rtl w:val="0"/>
          </w:rPr>
          <w:t>https://doi.org/10.1177/001316447003000308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Levin, J., Chatters, L. M., &amp; Taylor, R. J. (2011). Theory in religion, aging, and health: An overview. Journal of Religion and Health, 50(2), 389–406.</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Liu, Y., Zhang, X., Fu, X., Li, W., Wang, Y., &amp; Lu, W. (2025). Successful aging rates of global older adults: A systematic review and meta-analysis. Journal of the American Medical Directors Association, 26(6), 105334. . </w:t>
      </w:r>
      <w:hyperlink r:id="rId51" w:history="1">
        <w:r>
          <w:rPr>
            <w:rStyle w:val="Hyperlink"/>
            <w:rFonts w:ascii="Times New Roman" w:hAnsi="Times New Roman" w:eastAsia="Times New Roman" w:cs="Times New Roman"/>
            <w:rtl w:val="0"/>
          </w:rPr>
          <w:t>https://doi.org/10.1016/j.jamda.2024.105334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Lou, Y., Yang, &amp; Ma. (2025). A network meta-analysis of different psychological therapies for death anxiety in older adults. OMEGA—Journal of Death and Dying. </w:t>
      </w:r>
      <w:hyperlink r:id="rId52" w:history="1">
        <w:r>
          <w:rPr>
            <w:rStyle w:val="Hyperlink"/>
            <w:rFonts w:ascii="Times New Roman" w:hAnsi="Times New Roman" w:eastAsia="Times New Roman" w:cs="Times New Roman"/>
            <w:rtl w:val="0"/>
          </w:rPr>
          <w:t>https://pubmed.ncbi.nlm.nih.gov/39900466/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López-Otín, C., Blasco, M. A., Partridge, L., Serrano, M., &amp; Kroemer, G. (2023). Hallmarks of Aging: An Expanding Universe. Cell. </w:t>
      </w:r>
      <w:hyperlink r:id="rId53" w:history="1">
        <w:r>
          <w:rPr>
            <w:rStyle w:val="Hyperlink"/>
            <w:rFonts w:ascii="Times New Roman" w:hAnsi="Times New Roman" w:eastAsia="Times New Roman" w:cs="Times New Roman"/>
            <w:rtl w:val="0"/>
          </w:rPr>
          <w:t>https://doi.org/10.1016/j.cell.2022.11.001</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Mayer, J. D., &amp; Salovey, P. (2020). The Intelligence of Emotional Intelligence.</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Menzies, R. E., &amp; Menzies, R. G. (2020). Death anxiety in the time of COVID-19: Theoretical explanations and clinical implications. The Cognitive Behaviour Therapist, 13, e19. </w:t>
      </w:r>
      <w:hyperlink r:id="rId22" w:history="1">
        <w:r>
          <w:rPr>
            <w:rStyle w:val="Hyperlink"/>
            <w:rFonts w:ascii="Times New Roman" w:hAnsi="Times New Roman" w:eastAsia="Times New Roman" w:cs="Times New Roman"/>
            <w:rtl w:val="0"/>
          </w:rPr>
          <w:t>https://doi.org/10.1017/S1754470X20000215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Miri, S., Farhadi, B., Takasi, P., Ghorbani Vajargah, P., &amp; Karkhah, S. (2024). Physical independence and related factors among older adults: A systematic review and meta-analysis. Annals of Medicine &amp; Surgery, 86(6), 3400–3408. </w:t>
      </w:r>
      <w:hyperlink r:id="rId16" w:history="1">
        <w:r>
          <w:rPr>
            <w:rStyle w:val="Hyperlink"/>
            <w:rFonts w:ascii="Times New Roman" w:hAnsi="Times New Roman" w:eastAsia="Times New Roman" w:cs="Times New Roman"/>
            <w:rtl w:val="0"/>
          </w:rPr>
          <w:t>https://doi.org/10.1097/MS9.0000000000002100</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Mohamadzadeh, M., Zanjari, N., Delbari, A., Foroughan, M., &amp; Tabesh, H. (2024). Factors associated with subjective successful aging among Iranian older adults: A cross-sectional analysis. Iranian Journal of Nursing and Midwifery Research, 29(5), 583–589. </w:t>
      </w:r>
      <w:hyperlink r:id="rId54" w:history="1">
        <w:r>
          <w:rPr>
            <w:rStyle w:val="Hyperlink"/>
            <w:rFonts w:ascii="Times New Roman" w:hAnsi="Times New Roman" w:eastAsia="Times New Roman" w:cs="Times New Roman"/>
            <w:rtl w:val="0"/>
          </w:rPr>
          <w:t>https://doi.org/10.4103/ijnmr.ijnmr_260_23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Pyszczynski, T., Lockett, M., Greenberg, J., &amp; Solomon, S. (2021). Terror management theory and the COVID-19 pandemic. Journal of Humanistic Psychology, 61(2), 173–189. </w:t>
      </w:r>
      <w:hyperlink r:id="rId24" w:history="1">
        <w:r>
          <w:rPr>
            <w:rStyle w:val="Hyperlink"/>
            <w:rFonts w:ascii="Times New Roman" w:hAnsi="Times New Roman" w:eastAsia="Times New Roman" w:cs="Times New Roman"/>
            <w:rtl w:val="0"/>
          </w:rPr>
          <w:t>https://doi.org/10.1177/0022167820959488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Reed, A. E., Chan, L., &amp; Mikels, J. A. (2014). Meta-analysis of the age-related positivity effect: Age differences in preferences for positive over negative information. Psychology and Aging, 29(1), 1–15. </w:t>
      </w:r>
      <w:hyperlink r:id="rId25" w:history="1">
        <w:r>
          <w:rPr>
            <w:rStyle w:val="Hyperlink"/>
            <w:rFonts w:ascii="Times New Roman" w:hAnsi="Times New Roman" w:eastAsia="Times New Roman" w:cs="Times New Roman"/>
            <w:rtl w:val="0"/>
          </w:rPr>
          <w:t>https://doi.org/10.1037/a0035194</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Rowe, J. W., &amp; Kahn, R. L. (2015). Successful aging 2.0: Conceptual expansions for the 21st century. The Journals of Gerontology, Series B, 70(4), 593–596. </w:t>
      </w:r>
      <w:hyperlink r:id="rId26" w:history="1">
        <w:r>
          <w:rPr>
            <w:rStyle w:val="Hyperlink"/>
            <w:rFonts w:ascii="Times New Roman" w:hAnsi="Times New Roman" w:eastAsia="Times New Roman" w:cs="Times New Roman"/>
            <w:rtl w:val="0"/>
          </w:rPr>
          <w:t>https://doi.org/10.1093/geronb/gbv025</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Stuart, S., &amp; Noyes, R., Jr. (1999). Attachment and interpersonal communication in somatization. Psychosomatics, 40(1), 34–43. </w:t>
      </w:r>
      <w:hyperlink r:id="rId27" w:history="1">
        <w:r>
          <w:rPr>
            <w:rStyle w:val="Hyperlink"/>
            <w:rFonts w:ascii="Times New Roman" w:hAnsi="Times New Roman" w:eastAsia="Times New Roman" w:cs="Times New Roman"/>
            <w:rtl w:val="0"/>
          </w:rPr>
          <w:t>https://doi.org/10.1016/S0033-3182(99)71269-7</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Warwick, H. M. C., &amp; Salkovskis, P. M. (1990). Hypochondriasis. Behaviour Research and Therapy, 28(2), 105–117. </w:t>
      </w:r>
      <w:hyperlink r:id="rId28" w:history="1">
        <w:r>
          <w:rPr>
            <w:rStyle w:val="Hyperlink"/>
            <w:rFonts w:ascii="Times New Roman" w:hAnsi="Times New Roman" w:eastAsia="Times New Roman" w:cs="Times New Roman"/>
            <w:rtl w:val="0"/>
          </w:rPr>
          <w:t>https://doi.org/10.1016/0005-7967(90)90023-c</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Westerhof, G. J., Bohlmeijer, E. T., &amp; McAdams, D. P. (2017). The relation of ego integrity and despair to personality traits and mental health. The Journals of Gerontology, Series B, 72(3), 400–407. </w:t>
      </w:r>
      <w:hyperlink r:id="rId29" w:history="1">
        <w:r>
          <w:rPr>
            <w:rStyle w:val="Hyperlink"/>
            <w:rFonts w:ascii="Times New Roman" w:hAnsi="Times New Roman" w:eastAsia="Times New Roman" w:cs="Times New Roman"/>
            <w:rtl w:val="0"/>
          </w:rPr>
          <w:t>https://doi.org/10.1093/geronb/gbv062</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Wong, P. T. P. (2008). Meaning management theory and death acceptance. In A. Tomer, G. T. Eliason, &amp; P. T. P. Wong (Eds.), Existential and spiritual issues in death attitudes (pp. 65–87). Erlbaum.</w:t>
      </w:r>
    </w:p>
    <w:p w:rsidR="008908D0" w:rsidRDefault="002D5E38">
      <w:pPr>
        <w:pStyle w:val="References"/>
        <w:autoSpaceDE/>
        <w:autoSpaceDN/>
        <w:bidi w:val="0"/>
        <w:adjustRightInd/>
        <w:jc w:val="left"/>
      </w:pPr>
      <w:r>
        <w:rPr>
          <w:rFonts w:ascii="Times New Roman" w:hAnsi="Times New Roman" w:eastAsia="Times New Roman" w:cs="Times New Roman"/>
          <w:rtl w:val="0"/>
          <w:cs w:val="0"/>
        </w:rPr>
        <w:t xml:space="preserve">Çarıkçı-Özgül, D. N., &amp; Işık, Ü. (2024). Exploring adult attachment and anxiety: The role of intolerance of uncertainty and social support. Current Psychology, 43, 18612–18620. </w:t>
      </w:r>
      <w:hyperlink r:id="rId55" w:history="1">
        <w:r>
          <w:rPr>
            <w:rStyle w:val="Hyperlink"/>
            <w:rFonts w:ascii="Times New Roman" w:hAnsi="Times New Roman" w:eastAsia="Times New Roman" w:cs="Times New Roman"/>
            <w:rtl w:val="0"/>
          </w:rPr>
          <w:t>https://doi.org/10.1007/s12144-024-05659-5</w:t>
        </w:r>
      </w:hyperlink>
    </w:p>
    <w:p w:rsidR="008908D0" w:rsidRDefault="002D5E38">
      <w:pPr>
        <w:pStyle w:val="References"/>
        <w:bidi w:val="0"/>
        <w:spacing w:before="240"/>
        <w:jc w:val="left"/>
      </w:pPr>
      <w:r>
        <w:rPr>
          <w:rFonts w:ascii="Times New Roman" w:hAnsi="Times New Roman" w:eastAsia="Times New Roman" w:cs="Times New Roman"/>
          <w:rtl w:val="0"/>
          <w:cs w:val="0"/>
        </w:rPr>
        <w:t xml:space="preserve">Noyes, R., Jr., Stuart, S., Longley, S. L., Langbehn, D. R., &amp; Happel, R. L. (2002). Hypochondriasis and fear of death. Journal of Nervous and Mental Disease, 190(8), 503–509. </w:t>
      </w:r>
      <w:hyperlink r:id="rId56" w:history="1">
        <w:r>
          <w:rPr>
            <w:rStyle w:val="Hyperlink"/>
            <w:rFonts w:ascii="Times New Roman" w:hAnsi="Times New Roman" w:eastAsia="Times New Roman" w:cs="Times New Roman"/>
            <w:rtl w:val="0"/>
          </w:rPr>
          <w:t>https://doi.org/10.1097/00005053-200208000-00002</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Pinto, C. T., Guedes, L., Pinto, S., &amp; Nunes, R. (2024). Spiritual intelligence: A scoping review on the gateway to mental health. Global Health Action, 17(1), 2362310. </w:t>
      </w:r>
      <w:hyperlink r:id="rId19" w:history="1">
        <w:r>
          <w:rPr>
            <w:rStyle w:val="Hyperlink"/>
            <w:rFonts w:ascii="Times New Roman" w:hAnsi="Times New Roman" w:eastAsia="Times New Roman" w:cs="Times New Roman"/>
            <w:rtl w:val="0"/>
          </w:rPr>
          <w:t>https://doi.org/10.1080/16549716.2024.2362310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Rule, A., Abbey, C., Wang, H., Rozelle, S., &amp; Singh, M. K. (2024). Measurement of flourishing: A scoping review. Frontiers in Psychology, 15, 1293943. </w:t>
      </w:r>
      <w:hyperlink r:id="rId57" w:history="1">
        <w:r>
          <w:rPr>
            <w:rStyle w:val="Hyperlink"/>
            <w:rFonts w:ascii="Times New Roman" w:hAnsi="Times New Roman" w:eastAsia="Times New Roman" w:cs="Times New Roman"/>
            <w:rtl w:val="0"/>
          </w:rPr>
          <w:t>https://doi.org/10.3389/fpsyg.2024.1293943</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Ryan, R. M., &amp; Deci, E. L. (2017). Self-determination theory: Basic psychological needs in motivation, development, and wellness.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Ryff, C. D. (2024). The privilege of well-being in an increasingly unequal society. Current Directions in Psychological Science, 33(5), 300–307. </w:t>
      </w:r>
      <w:hyperlink r:id="rId30" w:history="1">
        <w:r>
          <w:rPr>
            <w:rStyle w:val="Hyperlink"/>
            <w:rFonts w:ascii="Times New Roman" w:hAnsi="Times New Roman" w:eastAsia="Times New Roman" w:cs="Times New Roman"/>
            <w:rtl w:val="0"/>
          </w:rPr>
          <w:t>https://doi.org/10.1177/09637214241266818</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Shafiee, A., Mohammadi, I., Rajai, S., Jafarabady, K., &amp; Abdollahi, A. (2025). Global prevalence of anxiety symptoms and its associated factors in older adults: A systematic review and meta-analysis. Journal of General and Family Medicine, 26(2), 116–127. </w:t>
      </w:r>
      <w:hyperlink r:id="rId58" w:history="1">
        <w:r>
          <w:rPr>
            <w:rStyle w:val="Hyperlink"/>
            <w:rFonts w:ascii="Times New Roman" w:hAnsi="Times New Roman" w:eastAsia="Times New Roman" w:cs="Times New Roman"/>
            <w:rtl w:val="0"/>
          </w:rPr>
          <w:t>https://doi.org/10.1002/jgf2.750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Stavrova, O. Fetchenhauer, D. Schlosser, T. (2012). Why are religious people happy? The effect of the social norm of religiosity across countries. Social Science Research, 3.</w:t>
      </w:r>
    </w:p>
    <w:p w:rsidR="008908D0" w:rsidRDefault="002D5E38">
      <w:pPr>
        <w:pStyle w:val="References"/>
        <w:bidi w:val="0"/>
        <w:spacing w:after="160"/>
        <w:jc w:val="left"/>
      </w:pPr>
      <w:r>
        <w:rPr>
          <w:rFonts w:ascii="Times New Roman" w:hAnsi="Times New Roman" w:eastAsia="Times New Roman" w:cs="Times New Roman"/>
          <w:rtl w:val="0"/>
          <w:cs w:val="0"/>
        </w:rPr>
        <w:t xml:space="preserve">Sternberg, R. J. (2021). Adaptive Intelligence: Surviving and Thriving in Times of Uncertainty. Cambridge University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Saad, Z. M., Hatta, Z. A., &amp; Mohamad, N. (2010). The impact of spiritual intelligence on the health of the elderly in Malaysia. Asian Social Work and Policy Review, 4(2), 84–97.</w:t>
      </w:r>
    </w:p>
    <w:p w:rsidR="008908D0" w:rsidRDefault="002D5E38">
      <w:pPr>
        <w:pStyle w:val="References"/>
        <w:bidi w:val="0"/>
        <w:spacing w:after="160"/>
        <w:jc w:val="left"/>
      </w:pPr>
      <w:r>
        <w:rPr>
          <w:rFonts w:ascii="Times New Roman" w:hAnsi="Times New Roman" w:eastAsia="Times New Roman" w:cs="Times New Roman"/>
          <w:rtl w:val="0"/>
          <w:cs w:val="0"/>
        </w:rPr>
        <w:t xml:space="preserve">Taylor, S., &amp; Asmundson, G. J. G. (2021). Treating Health Anxiety: A Cognitive-Behavioral Approach.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Templer, D. I. (1970). The construction and validation of a Death Anxiety Scale. The Journal of General Psychology, 82(2), 165–177. </w:t>
      </w:r>
      <w:hyperlink r:id="rId31" w:history="1">
        <w:r>
          <w:rPr>
            <w:rStyle w:val="Hyperlink"/>
            <w:rFonts w:ascii="Times New Roman" w:hAnsi="Times New Roman" w:eastAsia="Times New Roman" w:cs="Times New Roman"/>
            <w:rtl w:val="0"/>
          </w:rPr>
          <w:t>https://doi.org/10.1080/00221309.1970.9920634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Tomer, A., &amp; Eliason, G. (2000). Attitudes toward death: A developmental perspective. Springer Publishing Company.</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Department of Economic and Social Affairs, Population Division. (2024). World population prospects 2024: Summary of results. United Nations.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Population Fund. (2026). Population ageing and disabilities: Islamic Republic of Iran. UNFPA Iran. </w:t>
      </w:r>
      <w:hyperlink r:id="rId32" w:history="1">
        <w:r>
          <w:rPr>
            <w:rStyle w:val="Hyperlink"/>
            <w:rFonts w:ascii="Times New Roman" w:hAnsi="Times New Roman" w:eastAsia="Times New Roman" w:cs="Times New Roman"/>
            <w:rtl w:val="0"/>
          </w:rPr>
          <w:t>https://iran.unfpa.org/en/topics/population-ageing-and-disabilities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(2023). World Social Report 2023: Leaving No One Behind in an Ageing World.</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Valsala, P., &amp; Menon, P. (2023). Psychospiritual basis of altruism: A review. Journal of Humanistic Psychology, 63(3), 344–363. </w:t>
      </w:r>
      <w:hyperlink r:id="rId59" w:history="1">
        <w:r>
          <w:rPr>
            <w:rStyle w:val="Hyperlink"/>
            <w:rFonts w:ascii="Times New Roman" w:hAnsi="Times New Roman" w:eastAsia="Times New Roman" w:cs="Times New Roman"/>
            <w:rtl w:val="0"/>
          </w:rPr>
          <w:t>https://doi.org/10.1177/0022167819830517</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33" w:history="1">
        <w:r>
          <w:rPr>
            <w:rStyle w:val="Hyperlink"/>
            <w:rFonts w:ascii="Times New Roman" w:hAnsi="Times New Roman" w:eastAsia="Times New Roman" w:cs="Times New Roman"/>
            <w:rtl w:val="0"/>
          </w:rPr>
          <w:t>https://doi.org/10.1093/oxfordhb/9780190905538.013.18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Wang, S., Lin, J., Kuang, L., Yang, X., Yu, B., &amp; Cui, Y. (2024). Risk factors for social isolation in older adults: A systematic review and meta-analysis. Public Health Nursing, 41(2), 200–208. </w:t>
      </w:r>
      <w:hyperlink r:id="rId60" w:history="1">
        <w:r>
          <w:rPr>
            <w:rStyle w:val="Hyperlink"/>
            <w:rFonts w:ascii="Times New Roman" w:hAnsi="Times New Roman" w:eastAsia="Times New Roman" w:cs="Times New Roman"/>
            <w:rtl w:val="0"/>
          </w:rPr>
          <w:t>https://doi.org/10.1111/phn.13266</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 (2025, October 1). Ageing and health. </w:t>
      </w:r>
      <w:hyperlink r:id="rId34" w:history="1">
        <w:r>
          <w:rPr>
            <w:rStyle w:val="Hyperlink"/>
            <w:rFonts w:ascii="Times New Roman" w:hAnsi="Times New Roman" w:eastAsia="Times New Roman" w:cs="Times New Roman"/>
            <w:rtl w:val="0"/>
          </w:rPr>
          <w:t>https://www.who.int/news-room/fact-sheets/detail/ageing-and-health</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Organization.(2022). World mental health report: Transforming mental health for all.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Organization.(2023). Healthy ageing: A priority for delivering universal health coverage. Geneva: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Organization.(2025, October 8). Mental health of older adults. </w:t>
      </w:r>
      <w:hyperlink r:id="rId35" w:history="1">
        <w:r>
          <w:rPr>
            <w:rStyle w:val="Hyperlink"/>
            <w:rFonts w:ascii="Times New Roman" w:hAnsi="Times New Roman" w:eastAsia="Times New Roman" w:cs="Times New Roman"/>
            <w:rtl w:val="0"/>
          </w:rPr>
          <w:t>https://www.who.int/news-room/fact-sheets/detail/mental-health-of-older-adults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Yalom, I. D. (1980). Existential Psychotherapy. New York: Basic Books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Yonker, J.E. Schnabelrauch, C.A. Dehaan, L.G.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Younes, R. S., Rahme, E., Rajha, F., &amp; Mzawak, M. A. (2024). Exploring death anxiety among older adults: An integrative review of associated factors and interventions. OMEGA—Journal of Death and Dying. Advance online publication. </w:t>
      </w:r>
      <w:hyperlink r:id="rId61" w:history="1">
        <w:r>
          <w:rPr>
            <w:rStyle w:val="Hyperlink"/>
            <w:rFonts w:ascii="Times New Roman" w:hAnsi="Times New Roman" w:eastAsia="Times New Roman" w:cs="Times New Roman"/>
            <w:rtl w:val="0"/>
          </w:rPr>
          <w:t>https://doi.org/10.1177/00302228241272578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Yousefi Afrashteh, M., Fartash, A., &amp; Aboutorabi, K. (2025). Relationship between death anxiety and spiritual intelligence: The potential mediating role of meaning of life and resilience in Iranian older people. BMC Geriatrics, 25, 482. </w:t>
      </w:r>
      <w:hyperlink r:id="rId36" w:history="1">
        <w:r>
          <w:rPr>
            <w:rStyle w:val="Hyperlink"/>
            <w:rFonts w:ascii="Times New Roman" w:hAnsi="Times New Roman" w:eastAsia="Times New Roman" w:cs="Times New Roman"/>
            <w:rtl w:val="0"/>
          </w:rPr>
          <w:t>https://doi.org/10.1186/s12877-025-06040-2</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Zeng, Y., Gu, D., &amp; George, L. K. (2011). Association of religious participation with mortality among Chinese old adults. Research on Aging, 33(1), 51–83. </w:t>
      </w:r>
      <w:hyperlink r:id="rId37" w:history="1">
        <w:r>
          <w:rPr>
            <w:rStyle w:val="Hyperlink"/>
            <w:rFonts w:ascii="Times New Roman" w:hAnsi="Times New Roman" w:eastAsia="Times New Roman" w:cs="Times New Roman"/>
            <w:rtl w:val="0"/>
          </w:rPr>
          <w:t>https://doi.org/10.1177/0164027510383584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 w:id="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Atchison</w:t>
      </w:r>
    </w:p>
  </w:footnote>
  <w:footnote w:id="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Gerontology</w:t>
      </w:r>
    </w:p>
  </w:footnote>
  <w:footnote w:id="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Nikolich-Žugich</w:t>
      </w:r>
    </w:p>
  </w:footnote>
  <w:footnote w:id="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Campisi</w:t>
      </w:r>
    </w:p>
  </w:footnote>
  <w:footnote w:id="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Gladyshev</w:t>
      </w:r>
    </w:p>
  </w:footnote>
  <w:footnote w:id="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Kivnick</w:t>
      </w:r>
    </w:p>
  </w:footnote>
  <w:footnote w:id="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Henry</w:t>
      </w:r>
    </w:p>
  </w:footnote>
  <w:footnote w:id="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Cumming</w:t>
      </w:r>
    </w:p>
  </w:footnote>
  <w:footnote w:id="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Tobin</w:t>
      </w:r>
    </w:p>
  </w:footnote>
  <w:footnote w:id="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Neugarten</w:t>
      </w:r>
    </w:p>
  </w:footnote>
  <w:footnote w:id="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Havighurst</w:t>
      </w:r>
    </w:p>
  </w:footnote>
  <w:footnote w:id="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Dowd</w:t>
      </w:r>
    </w:p>
  </w:footnote>
  <w:footnote w:id="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Continuity Theory</w:t>
      </w:r>
    </w:p>
  </w:footnote>
  <w:footnote w:id="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Martin</w:t>
      </w:r>
    </w:p>
  </w:footnote>
  <w:footnote w:id="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Nordgren</w:t>
      </w:r>
    </w:p>
  </w:footnote>
  <w:footnote w:id="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Greenberg</w:t>
      </w:r>
    </w:p>
  </w:footnote>
  <w:footnote w:id="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Florian</w:t>
      </w:r>
    </w:p>
  </w:footnote>
  <w:footnote w:id="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Mikulincer</w:t>
      </w:r>
    </w:p>
  </w:footnote>
  <w:footnote w:id="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Neimeyer</w:t>
      </w:r>
    </w:p>
  </w:footnote>
  <w:footnote w:id="1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Mayer</w:t>
      </w:r>
    </w:p>
  </w:footnote>
  <w:footnote w:id="1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Sternberg</w:t>
      </w:r>
    </w:p>
  </w:footnote>
  <w:footnote w:id="1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Adler</w:t>
      </w:r>
    </w:p>
  </w:footnote>
  <w:footnote w:id="1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Frankl</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Maslow</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Franz</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William James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Ryan</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Asmundson</w:t>
      </w:r>
    </w:p>
  </w:footnote>
  <w:footnote w:id="1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Işık</w:t>
      </w:r>
    </w:p>
  </w:footnote>
  <w:footnote w:id="1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Çarıkçı-Özgül</w:t>
      </w:r>
    </w:p>
  </w:footnote>
  <w:footnote w:id="1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1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1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Stuart</w:t>
      </w:r>
    </w:p>
  </w:footnote>
  <w:footnote w:id="1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Valentiner</w:t>
      </w:r>
    </w:p>
  </w:footnote>
  <w:footnote w:id="1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Fergus</w:t>
      </w:r>
    </w:p>
  </w:footnote>
  <w:footnote w:id="1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Koenig</w:t>
      </w:r>
    </w:p>
  </w:footnote>
  <w:footnote w:id="1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Soto</w:t>
      </w:r>
    </w:p>
  </w:footnote>
  <w:footnote w:id="1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Kaplan</w:t>
      </w:r>
    </w:p>
  </w:footnote>
  <w:footnote w:id="1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Chen</w:t>
      </w:r>
    </w:p>
  </w:footnote>
  <w:footnote w:id="1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1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Zhao</w:t>
      </w:r>
    </w:p>
  </w:footnote>
  <w:footnote w:id="1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Stavrova</w:t>
      </w:r>
    </w:p>
  </w:footnote>
  <w:footnote w:id="1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Yonker</w:t>
      </w:r>
    </w:p>
  </w:footnote>
  <w:footnote w:id="1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Zeng</w:t>
      </w:r>
    </w:p>
  </w:footnote>
  <w:footnote w:id="1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w:t>
      </w:r>
    </w:p>
  </w:footnote>
  <w:footnote w:id="1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Mat Saad</w:t>
      </w:r>
    </w:p>
  </w:footnote>
  <w:footnote w:id="1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Chlan</w:t>
      </w:r>
    </w:p>
  </w:footnote>
  <w:footnote w:id="1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1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1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1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Powell</w:t>
      </w:r>
    </w:p>
  </w:footnote>
  <w:footnote w:id="1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Thorson</w:t>
      </w:r>
    </w:p>
  </w:footnote>
  <w:footnote w:id="2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Moreira-Almeida</w:t>
      </w:r>
    </w:p>
  </w:footnote>
  <w:footnote w:id="2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2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2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Tomer</w:t>
      </w:r>
    </w:p>
  </w:footnote>
  <w:footnote w:id="2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2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2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2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jc w:val="left"/>
    </w:pPr>
    <w:rPr>
      <w:rFonts w:ascii="Times New Roman" w:hAnsi="Times New Roman" w:eastAsia="Times New Roman" w:cs="Times New Roman"/>
      <w:sz w:val="24"/>
      <w:szCs w:val="24"/>
      <w:rtl w:val="0"/>
      <w:cs w:val="0"/>
      <w:lang w:val="en-US"/>
    </w:rPr>
  </w:style>
  <w:style w:type="paragraph" w:customStyle="1" w:styleId="PersianReferences">
    <w:name w:val="Persian References"/>
    <w:basedOn w:val="Normal"/>
    <w:qFormat/>
    <w:pPr>
      <w:bidi w:val="1"/>
      <w:spacing w:after="80" w:line="276" w:lineRule="auto"/>
      <w:ind w:right="720" w:hanging="720"/>
      <w:jc w:val="right"/>
    </w:pPr>
    <w:rPr>
      <w:rFonts w:ascii="Times New Roman" w:hAnsi="Times New Roman" w:eastAsia="Times New Roman" w:cs="B Lotus"/>
      <w:sz w:val="24"/>
      <w:szCs w:val="24"/>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 Id="rId42" Type="http://schemas.openxmlformats.org/officeDocument/2006/relationships/hyperlink" Target="https://doi.org/10.1093/ageing/afae122" TargetMode="External"/><Relationship Id="rId43" Type="http://schemas.openxmlformats.org/officeDocument/2006/relationships/hyperlink" Target="https://doi.org/10.1007/978-3-030-11899-0" TargetMode="External"/><Relationship Id="rId44" Type="http://schemas.openxmlformats.org/officeDocument/2006/relationships/hyperlink" Target="https://doi.org/10.34172/hpp.42354" TargetMode="External"/><Relationship Id="rId45" Type="http://schemas.openxmlformats.org/officeDocument/2006/relationships/hyperlink" Target="https://doi.org/10.1016/j.jocrd.2023.100783" TargetMode="External"/><Relationship Id="rId46" Type="http://schemas.openxmlformats.org/officeDocument/2006/relationships/hyperlink" Target="https://doi.org/10.1093/geront/1.1.8" TargetMode="External"/><Relationship Id="rId47" Type="http://schemas.openxmlformats.org/officeDocument/2006/relationships/hyperlink" Target="https://doi.org/10.1002/ccr3.9316" TargetMode="External"/><Relationship Id="rId48" Type="http://schemas.openxmlformats.org/officeDocument/2006/relationships/hyperlink" Target="https://doi.org/10.1186/s12877-024-04947-w" TargetMode="External"/><Relationship Id="rId49" Type="http://schemas.openxmlformats.org/officeDocument/2006/relationships/hyperlink" Target="https://doi.org/10.1016/j.psc.2024.04.015" TargetMode="External"/><Relationship Id="rId50" Type="http://schemas.openxmlformats.org/officeDocument/2006/relationships/hyperlink" Target="https://doi.org/10.1007/s11920-024-01507-2" TargetMode="External"/><Relationship Id="rId51" Type="http://schemas.openxmlformats.org/officeDocument/2006/relationships/hyperlink" Target="https://doi.org/10.1016/j.jamda.2024.105334" TargetMode="External"/><Relationship Id="rId52" Type="http://schemas.openxmlformats.org/officeDocument/2006/relationships/hyperlink" Target="https://pubmed.ncbi.nlm.nih.gov/39900466/" TargetMode="External"/><Relationship Id="rId53" Type="http://schemas.openxmlformats.org/officeDocument/2006/relationships/hyperlink" Target="https://doi.org/10.1016/j.cell.2022.11.001" TargetMode="External"/><Relationship Id="rId54" Type="http://schemas.openxmlformats.org/officeDocument/2006/relationships/hyperlink" Target="https://doi.org/10.4103/ijnmr.ijnmr_260_23" TargetMode="External"/><Relationship Id="rId55" Type="http://schemas.openxmlformats.org/officeDocument/2006/relationships/hyperlink" Target="https://doi.org/10.1007/s12144-024-05659-5" TargetMode="External"/><Relationship Id="rId56" Type="http://schemas.openxmlformats.org/officeDocument/2006/relationships/hyperlink" Target="https://doi.org/10.1097/00005053-200208000-00002" TargetMode="External"/><Relationship Id="rId57" Type="http://schemas.openxmlformats.org/officeDocument/2006/relationships/hyperlink" Target="https://doi.org/10.3389/fpsyg.2024.1293943" TargetMode="External"/><Relationship Id="rId58" Type="http://schemas.openxmlformats.org/officeDocument/2006/relationships/hyperlink" Target="https://doi.org/10.1002/jgf2.750" TargetMode="External"/><Relationship Id="rId59" Type="http://schemas.openxmlformats.org/officeDocument/2006/relationships/hyperlink" Target="https://doi.org/10.1177/0022167819830517" TargetMode="External"/><Relationship Id="rId60" Type="http://schemas.openxmlformats.org/officeDocument/2006/relationships/hyperlink" Target="https://doi.org/10.1111/phn.13266" TargetMode="External"/><Relationship Id="rId61"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