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bidi w:val="1"/>
        <w:jc w:val="center"/>
        <w:rPr>
          <w:b/>
          <w:bCs/>
          <w:color w:val="auto"/>
          <w:lang w:bidi="fa-IR"/>
        </w:rPr>
      </w:pPr>
    </w:p>
    <w:p w14:paraId="1BAF5A34" w14:textId="77777777">
      <w:pPr>
        <w:bidi w:val="1"/>
        <w:spacing w:line="240" w:lineRule="auto"/>
        <w:jc w:val="center"/>
        <w:rPr>
          <w:b/>
          <w:bCs/>
          <w:color w:val="auto"/>
          <w:lang w:bidi="fa-IR"/>
        </w:rPr>
      </w:pPr>
    </w:p>
    <w:p w14:paraId="31244712" w14:textId="77777777">
      <w:pPr>
        <w:bidi w:val="1"/>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bidi w:val="1"/>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bidi w:val="1"/>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bidi w:val="1"/>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bidi w:val="1"/>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bidi w:val="1"/>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bidi w:val="1"/>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bidi w:val="1"/>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bidi w:val="1"/>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bidi w:val="1"/>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bidi w:val="1"/>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bidi w:val="1"/>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bidi w:val="1"/>
        <w:adjustRightInd/>
        <w:spacing w:before="240" w:after="100" w:line="276" w:lineRule="auto"/>
        <w:jc w:val="right"/>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bidi w:val="1"/>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bidi w:val="1"/>
        <w:spacing w:before="240" w:after="100" w:line="276" w:lineRule="auto"/>
        <w:jc w:val="right"/>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bidi w:val="1"/>
        <w:spacing w:before="240" w:after="100" w:line="276" w:lineRule="auto"/>
        <w:jc w:val="right"/>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bidi w:val="1"/>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bidi w:val="1"/>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r>
        <w:rPr>
          <w:rFonts w:ascii="Times New Roman" w:hAnsi="Times New Roman" w:eastAsia="Times New Roman" w:cs="B Lotus"/>
          <w:color w:val="000000"/>
          <w:sz w:val="24"/>
          <w:szCs w:val="24"/>
          <w:rtl w:val="1"/>
          <w:cs w:val="1"/>
          <w:lang w:bidi="fa-IR"/>
        </w:rPr>
        <w:fldChar w:fldCharType="begin" w:dirty="true"/>
      </w:r>
      <w:r>
        <w:rPr>
          <w:rFonts w:cs="B Lotus" w:ascii="Times New Roman" w:hAnsi="Times New Roman" w:eastAsia="Times New Roman"/>
          <w:color w:val="000000"/>
          <w:sz w:val="24"/>
          <w:szCs w:val="24"/>
          <w:rtl w:val="1"/>
          <w:cs w:val="1"/>
          <w:lang w:bidi="fa-IR"/>
        </w:rPr>
        <w:instrText xml:space="preserve"> TOC \o "1-4" \h \z \u </w:instrText>
      </w:r>
      <w:r>
        <w:rPr>
          <w:rFonts w:ascii="Times New Roman" w:hAnsi="Times New Roman" w:eastAsia="Times New Roman" w:cs="B Lotus"/>
          <w:color w:val="000000"/>
          <w:sz w:val="24"/>
          <w:szCs w:val="24"/>
          <w:rtl w:val="1"/>
          <w:cs w:val="1"/>
          <w:lang w:bidi="fa-IR"/>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1" w:history="1">
        <w:r>
          <w:rPr>
            <w:rFonts w:cs="B Lotus" w:ascii="Times New Roman" w:hAnsi="Times New Roman" w:eastAsia="Times New Roman"/>
            <w:color w:val="000000"/>
            <w:sz w:val="24"/>
            <w:szCs w:val="24"/>
            <w:rtl/>
            <w:lang w:bidi="fa-IR"/>
          </w:rPr>
          <w:t>۱-۵-۲- فرضیه‌های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8" w:history="1">
        <w:r>
          <w:rPr>
            <w:rFonts w:cs="B Lotus" w:ascii="Times New Roman" w:hAnsi="Times New Roman" w:eastAsia="Times New Roman"/>
            <w:color w:val="000000"/>
            <w:sz w:val="24"/>
            <w:szCs w:val="24"/>
            <w:rtl/>
            <w:lang w:bidi="fa-IR"/>
          </w:rPr>
          <w:t xml:space="preserve">۲-۱-۲- نظریه‌های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1" w:history="1">
        <w:r>
          <w:rPr>
            <w:rFonts w:ascii="Times New Roman" w:hAnsi="Times New Roman" w:cs="B Lotus" w:eastAsia="Times New Roman"/>
            <w:noProof/>
            <w:color w:val="000000"/>
            <w:sz w:val="24"/>
            <w:szCs w:val="24"/>
            <w:rtl/>
            <w:lang w:bidi="fa-IR"/>
          </w:rPr>
          <w:t>۲-۱-۲-۱-۲- 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200" w:history="1">
        <w:r>
          <w:rPr>
            <w:rFonts w:ascii="Times New Roman" w:hAnsi="Times New Roman" w:cs="B Lotus" w:eastAsia="Times New Roman"/>
            <w:noProof/>
            <w:color w:val="000000"/>
            <w:sz w:val="24"/>
            <w:szCs w:val="24"/>
            <w:rtl/>
            <w:lang w:bidi="fa-IR"/>
          </w:rPr>
          <w:t xml:space="preserve">۲-۱-۲-۲-۴- نظریه انتخاب اجتماعی-هیجانی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_Toc238572200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6" w:history="1">
        <w:r>
          <w:rPr>
            <w:rFonts w:cs="B Lotus" w:ascii="Times New Roman" w:hAnsi="Times New Roman" w:eastAsia="Times New Roman"/>
            <w:kern w:val="32"/>
            <w:color w:val="000000"/>
            <w:sz w:val="24"/>
            <w:szCs w:val="24"/>
            <w:rtl/>
            <w:lang w:bidi="fa-IR"/>
          </w:rPr>
          <w:t xml:space="preserve">۲-۳-۳- عوامل مؤثر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201" w:history="1">
        <w:r>
          <w:rPr>
            <w:rFonts w:cs="B Lotus" w:ascii="Times New Roman" w:hAnsi="Times New Roman" w:eastAsia="Times New Roman"/>
            <w:kern w:val="32"/>
            <w:color w:val="000000"/>
            <w:sz w:val="24"/>
            <w:szCs w:val="24"/>
            <w:rtl/>
            <w:lang w:bidi="fa-IR"/>
          </w:rPr>
          <w:t xml:space="preserve">۲-۳-۴- مدل چهارعاملی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_Toc238572201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4" w:history="1">
        <w:r>
          <w:rPr>
            <w:rFonts w:cs="B Lotus" w:ascii="Times New Roman" w:hAnsi="Times New Roman" w:eastAsia="Times New Roman"/>
            <w:color w:val="000000"/>
            <w:sz w:val="24"/>
            <w:szCs w:val="24"/>
            <w:rtl/>
            <w:lang w:bidi="fa-IR"/>
          </w:rPr>
          <w:t xml:space="preserve">۳-۳-۲- پرسشنامه اضطراب مرگ (DAS)</w:t>
        </w:r>
        <w:r>
          <w:rPr>
            <w:rFonts w:cs="B Lotus" w:ascii="Times New Roman" w:hAnsi="Times New Roman" w:eastAsia="Times New Roman"/>
            <w:color w:val="000000"/>
            <w:sz w:val="24"/>
            <w:szCs w:val="24"/>
            <w:rtl w:val="0"/>
            <w:lang w:bidi="fa-IR" w:val="en-US"/>
          </w:rPr>
          <w:t xml:space="preserve"/>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 (HAI)</w:t>
        </w:r>
        <w:r>
          <w:rPr>
            <w:rFonts w:cs="B Lotus" w:ascii="Times New Roman" w:hAnsi="Times New Roman" w:eastAsia="Times New Roman"/>
            <w:color w:val="000000"/>
            <w:sz w:val="24"/>
            <w:szCs w:val="24"/>
            <w:rtl w:val="0"/>
            <w:lang w:bidi="fa-IR" w:val="en-US"/>
          </w:rPr>
          <w:t xml:space="preserve"/>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bidi w:val="1"/>
        <w:jc w:val="right"/>
      </w:pPr>
      <w:r>
        <w:rPr>
          <w:rFonts w:ascii="Times New Roman" w:hAnsi="Times New Roman"/>
        </w:rPr>
        <w:fldChar w:fldCharType="end"/>
      </w:r>
    </w:p>
    <w:p w14:paraId="335678AD" w14:textId="77777777">
      <w:pPr>
        <w:pageBreakBefore/>
        <w:bidi w:val="1"/>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r>
        <w:rPr>
          <w:rFonts w:ascii="Times New Roman" w:hAnsi="Times New Roman" w:eastAsia="Times New Roman" w:cs="B Lotus"/>
          <w:sz w:val="24"/>
          <w:szCs w:val="24"/>
          <w:color w:val="000000"/>
        </w:rPr>
        <w:fldChar w:fldCharType="begin" w:dirty="true"/>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pStyle w:val="Heading1"/>
        <w:keepNext/>
        <w:keepLines/>
        <w:pageBreakBefore/>
        <w:bidi w:val="1"/>
        <w:spacing w:before="0" w:after="80" w:line="276" w:lineRule="auto"/>
        <w:jc w:val="right"/>
        <w:rPr>
          <w:rFonts w:ascii="Times New Roman" w:hAnsi="Times New Roman" w:eastAsia="Times New Roman" w:cs="B Titr"/>
          <w:color w:val="auto"/>
          <w:rtl w:val="1"/>
          <w:cs w:val="1"/>
          <w:lang w:bidi="fa-IR" w:val="en-US"/>
        </w:rPr>
      </w:pPr>
      <w:bookmarkStart w:id="5001" w:name="_TocChekideh"/>
      <w:r>
        <w:rPr>
          <w:rFonts w:ascii="Times New Roman" w:hAnsi="Times New Roman" w:hint="cs" w:eastAsia="Times New Roman" w:cs="B Titr"/>
          <w:b/>
          <w:bCs/>
          <w:sz w:val="56"/>
          <w:szCs w:val="56"/>
          <w:rtl w:val="1"/>
          <w:cs w:val="1"/>
          <w:lang w:bidi="fa-IR"/>
        </w:rPr>
        <w:t>چکیده</w:t>
      </w:r>
      <w:r>
        <w:rPr>
          <w:rFonts w:ascii="Times New Roman" w:eastAsia="Times New Roman" w:hAnsi="Times New Roman" w:hint="cs" w:cs="B Titr"/>
          <w:rtl w:val="1"/>
          <w:cs w:val="1"/>
          <w:lang w:bidi="fa-IR"/>
        </w:rPr>
        <w:t xml:space="preserve"> </w:t>
      </w:r>
      <w:bookmarkEnd w:id="5001"/>
    </w:p>
    <w:p w14:paraId="25611BA5" w14:textId="3872EF37">
      <w:pPr>
        <w:bidi w:val="1"/>
        <w:spacing w:before="0" w:after="80" w:line="276" w:lineRule="auto"/>
        <w:ind w:firstLine="397"/>
        <w:jc w:val="both"/>
        <w:rPr>
          <w:rFonts w:ascii="Times New Roman" w:hAnsi="Times New Roman"/>
          <w:color w:val="auto"/>
          <w:sz w:val="16"/>
          <w:szCs w:val="16"/>
          <w:lang w:bidi="fa-IR"/>
        </w:rPr>
      </w:pPr>
      <w:r>
        <w:rPr>
          <w:rFonts w:ascii="Times New Roman" w:hAnsi="Times New Roman" w:hint="cs"/>
          <w:lang w:bidi="fa-IR"/>
          <w:rtl/>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val="en-US"/>
          <w:sz w:val="20"/>
          <w:szCs w:val="20"/>
          <w:vertAlign w:val="superscript"/>
          <w:rtl w:val="0"/>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val="en-US"/>
          <w:sz w:val="20"/>
          <w:szCs w:val="20"/>
          <w:vertAlign w:val="superscript"/>
          <w:rtl w:val="0"/>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 xml:space="preserve">r=-</w:t>
      </w:r>
      <w:r>
        <w:rPr>
          <w:rFonts w:ascii="Times New Roman" w:hAnsi="Times New Roman" w:hint="cs"/>
          <w:lang w:bidi="fa-IR"/>
          <w:rtl/>
        </w:rPr>
        <w:t xml:space="preserve">۰.۴۶, </w:t>
      </w:r>
      <w:r>
        <w:rPr>
          <w:rFonts w:ascii="Times New Roman" w:hAnsi="Times New Roman" w:hint="cs"/>
          <w:lang w:bidi="fa-IR" w:val="en-US"/>
          <w:rtl w:val="0"/>
        </w:rPr>
        <w:t xml:space="preserve">p&lt;</w:t>
      </w:r>
      <w:r>
        <w:rPr>
          <w:rFonts w:ascii="Times New Roman" w:hAnsi="Times New Roman" w:hint="cs"/>
          <w:lang w:bidi="fa-IR"/>
          <w:rtl/>
        </w:rPr>
        <w:t xml:space="preserve">۰.۰۱) و بین اضطراب سلامتی و اضطراب مرگ رابطه مثبت و معنادار مشاهده شد (</w:t>
      </w:r>
      <w:r>
        <w:rPr>
          <w:rFonts w:ascii="Times New Roman" w:hAnsi="Times New Roman" w:hint="cs"/>
          <w:lang w:bidi="fa-IR" w:val="en-US"/>
          <w:rtl w:val="0"/>
        </w:rPr>
        <w:t xml:space="preserve">r=</w:t>
      </w:r>
      <w:r>
        <w:rPr>
          <w:rFonts w:ascii="Times New Roman" w:hAnsi="Times New Roman" w:hint="cs"/>
          <w:lang w:bidi="fa-IR"/>
          <w:rtl/>
        </w:rPr>
        <w:t xml:space="preserve">۰.۵۸, </w:t>
      </w:r>
      <w:r>
        <w:rPr>
          <w:rFonts w:ascii="Times New Roman" w:hAnsi="Times New Roman" w:hint="cs"/>
          <w:lang w:bidi="fa-IR" w:val="en-US"/>
          <w:rtl w:val="0"/>
        </w:rPr>
        <w:t xml:space="preserve">p&lt;</w:t>
      </w:r>
      <w:r>
        <w:rPr>
          <w:rFonts w:ascii="Times New Roman" w:hAnsi="Times New Roman" w:hint="cs"/>
          <w:lang w:bidi="fa-IR"/>
          <w:rtl/>
        </w:rPr>
        <w:t xml:space="preserve">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 xml:space="preserve">R²=</w:t>
      </w:r>
      <w:r>
        <w:rPr>
          <w:rFonts w:ascii="Times New Roman" w:hAnsi="Times New Roman" w:hint="cs"/>
          <w:lang w:bidi="fa-IR"/>
          <w:rtl/>
        </w:rPr>
        <w:t xml:space="preserve">۰.۵۴, </w:t>
      </w:r>
      <w:r>
        <w:rPr>
          <w:rFonts w:ascii="Times New Roman" w:hAnsi="Times New Roman" w:hint="cs"/>
          <w:lang w:bidi="fa-IR" w:val="en-US"/>
          <w:rtl w:val="0"/>
        </w:rPr>
        <w:t xml:space="preserve">p&lt;</w:t>
      </w:r>
      <w:r>
        <w:rPr>
          <w:rFonts w:ascii="Times New Roman" w:hAnsi="Times New Roman" w:hint="cs"/>
          <w:lang w:bidi="fa-IR"/>
          <w:rtl/>
        </w:rPr>
        <w:t xml:space="preserve">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lastRenderedPageBreak/>
        <w:t xml:space="preserve"/>
      </w:r>
    </w:p>
    <w:p w14:paraId="196E5BBD" w14:textId="77777777">
      <w:pPr>
        <w:bidi w:val="1"/>
        <w:spacing w:before="0" w:after="80" w:line="276" w:lineRule="auto"/>
        <w:ind w:firstLine="397"/>
        <w:jc w:val="both"/>
        <w:rPr>
          <w:rFonts w:ascii="Times New Roman" w:eastAsia="Times New Roman" w:hAnsi="Times New Roman"/>
          <w:color w:val="auto"/>
          <w:lang w:bidi="fa-IR"/>
        </w:rPr>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1" w:name="_Toc238572002"/>
      <w:r>
        <w:rPr>
          <w:rFonts w:ascii="Times New Roman" w:hAnsi="Times New Roman" w:cs="B Titr" w:eastAsia="Times New Roman"/>
          <w:b/>
          <w:bCs/>
          <w:color w:val="000000"/>
          <w:sz w:val="56"/>
          <w:szCs w:val="56"/>
          <w:rtl w:val="1"/>
          <w:cs w:val="1"/>
          <w:lang w:bidi="fa-IR"/>
        </w:rPr>
        <w:lastRenderedPageBreak/>
        <w:t>فصل اول: کلیات پژوهش</w:t>
      </w:r>
      <w:bookmarkEnd w:id="1"/>
    </w:p>
    <w:p w14:paraId="2753F673"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 w:name="_Toc238572003"/>
      <w:r>
        <w:rPr>
          <w:rFonts w:ascii="Times New Roman" w:hAnsi="Times New Roman" w:cs="B Titr" w:eastAsia="Times New Roman"/>
          <w:b/>
          <w:bCs/>
          <w:color w:val="000000"/>
          <w:sz w:val="30"/>
          <w:szCs w:val="30"/>
          <w:rtl w:val="1"/>
          <w:cs w:val="1"/>
          <w:lang w:bidi="fa-IR"/>
        </w:rPr>
        <w:lastRenderedPageBreak/>
        <w:t>۱-۱- مقدمه</w:t>
      </w:r>
      <w:bookmarkEnd w:id="2"/>
    </w:p>
    <w:p w14:paraId="5B22574B" w14:textId="77777777">
      <w:pPr>
        <w:bidi w:val="1"/>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val="en-US"/>
          <w:sz w:val="20"/>
          <w:szCs w:val="20"/>
          <w:vertAlign w:val="superscript"/>
          <w:rtl w:val="0"/>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14:paraId="4F7BB6F4" w14:textId="77777777">
      <w:pPr>
        <w:bidi w:val="1"/>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از جمله 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14:paraId="58269F42" w14:textId="77777777">
      <w:pPr>
        <w:bidi w:val="1"/>
        <w:spacing w:after="0" w:line="276" w:lineRule="auto"/>
        <w:ind w:firstLine="397"/>
        <w:jc w:val="both"/>
        <w:rPr>
          <w:color w:val="auto"/>
          <w:lang w:bidi="fa-IR"/>
        </w:rPr>
      </w:pPr>
      <w:r>
        <w:rPr>
          <w:rFonts w:ascii="Times New Roman" w:hAnsi="Times New Roman" w:hint="cs"/>
          <w:lang w:bidi="fa-IR"/>
          <w:rtl/>
        </w:rPr>
        <w:lastRenderedPageBreak/>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14:paraId="5CB8810A"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eastAsia="Times New Roman" w:cs="Times New Roman"/>
          <w:lang w:bidi="fa-IR" w:val="en-US"/>
          <w:sz w:val="20"/>
          <w:szCs w:val="20"/>
          <w:vertAlign w:val="superscript"/>
          <w:rtl w:val="0"/>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 w:name="_Toc238572004"/>
      <w:r>
        <w:rPr>
          <w:rFonts w:ascii="Times New Roman" w:hAnsi="Times New Roman" w:cs="B Titr" w:eastAsia="Times New Roman"/>
          <w:b/>
          <w:bCs/>
          <w:color w:val="000000"/>
          <w:sz w:val="30"/>
          <w:szCs w:val="30"/>
          <w:rtl w:val="1"/>
          <w:cs w:val="1"/>
          <w:lang w:bidi="fa-IR"/>
        </w:rPr>
        <w:t>۱-۲- بیان مسأله</w:t>
      </w:r>
      <w:bookmarkEnd w:id="3"/>
    </w:p>
    <w:p w14:paraId="558E3BA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از جمله 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14:paraId="4C92F84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lastRenderedPageBreak/>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0C54AD1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5F488E9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از جمله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eastAsia="Times New Roman" w:hAnsi="Times New Roman" w:hint="cs"/>
          <w:lang w:bidi="fa-IR"/>
          <w:rtl/>
        </w:rPr>
        <w:t xml:space="preserve"> و همکاران، ۲۰۲۴).</w:t>
      </w:r>
    </w:p>
    <w:p w14:paraId="7F3E9A2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 همچنین،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cs="Times New Roman"/>
          <w:lang w:bidi="fa-IR" w:val="en-US"/>
          <w:sz w:val="20"/>
          <w:szCs w:val="20"/>
          <w:vertAlign w:val="superscript"/>
          <w:rtl w:val="0"/>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cs="Times New Roman"/>
          <w:lang w:bidi="fa-IR" w:val="en-US"/>
          <w:sz w:val="20"/>
          <w:szCs w:val="20"/>
          <w:vertAlign w:val="superscript"/>
          <w:rtl w:val="0"/>
        </w:rPr>
        <w:footnoteReference w:id="7"/>
      </w:r>
      <w:r>
        <w:rPr>
          <w:rFonts w:ascii="Times New Roman" w:eastAsia="Times New Roman" w:hAnsi="Times New Roman" w:hint="cs"/>
          <w:lang w:bidi="fa-IR"/>
          <w:rtl/>
        </w:rPr>
        <w:t xml:space="preserve"> و همکاران، ۲۰۲۴). بنابراین، با توجه به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14:paraId="1FACD9A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 همچنین،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lastRenderedPageBreak/>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 w:name="_Toc238572005"/>
      <w:r>
        <w:rPr>
          <w:rFonts w:ascii="Times New Roman" w:hAnsi="Times New Roman" w:cs="B Titr" w:eastAsia="Times New Roman"/>
          <w:b/>
          <w:bCs/>
          <w:color w:val="000000"/>
          <w:sz w:val="30"/>
          <w:szCs w:val="30"/>
          <w:rtl w:val="1"/>
          <w:cs w:val="1"/>
          <w:lang w:bidi="fa-IR"/>
        </w:rPr>
        <w:t>۱-۳- اهمیت و ضرورت پژوهش</w:t>
      </w:r>
      <w:bookmarkEnd w:id="5"/>
    </w:p>
    <w:p w14:paraId="420ABAB6"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14:paraId="30A9AECF"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با توجه به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 همچنین 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 w:name="_Toc238572006"/>
      <w:r>
        <w:rPr>
          <w:rFonts w:ascii="Times New Roman" w:hAnsi="Times New Roman" w:cs="B Titr" w:eastAsia="Times New Roman"/>
          <w:b/>
          <w:bCs/>
          <w:color w:val="000000"/>
          <w:sz w:val="30"/>
          <w:szCs w:val="30"/>
          <w:rtl w:val="1"/>
          <w:cs w:val="1"/>
          <w:lang w:bidi="fa-IR"/>
        </w:rPr>
        <w:t>۱-۴- اهداف پژوهش</w:t>
      </w:r>
      <w:bookmarkEnd w:id="6"/>
    </w:p>
    <w:p w14:paraId="4AB0C7D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 w:name="_Toc238572007"/>
      <w:r>
        <w:rPr>
          <w:rFonts w:ascii="Times New Roman" w:hAnsi="Times New Roman" w:cs="B Titr" w:eastAsia="Times New Roman"/>
          <w:b/>
          <w:bCs/>
          <w:color w:val="000000"/>
          <w:sz w:val="30"/>
          <w:szCs w:val="30"/>
          <w:rtl w:val="1"/>
          <w:cs w:val="1"/>
          <w:lang w:bidi="fa-IR"/>
        </w:rPr>
        <w:t>۱-۴-۱- هدف اصلی:</w:t>
      </w:r>
      <w:bookmarkEnd w:id="7"/>
    </w:p>
    <w:p w14:paraId="7AEEF4F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val="1"/>
        <w:adjustRightInd/>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0" w:name="_Toc238572008"/>
      <w:r>
        <w:rPr>
          <w:rFonts w:ascii="Times New Roman" w:hAnsi="Times New Roman" w:cs="B Titr" w:eastAsia="Times New Roman"/>
          <w:b/>
          <w:bCs/>
          <w:color w:val="000000"/>
          <w:sz w:val="30"/>
          <w:szCs w:val="30"/>
          <w:rtl w:val="1"/>
          <w:cs w:val="1"/>
          <w:lang w:bidi="fa-IR"/>
        </w:rPr>
        <w:t>۱-۴-۲- اهداف فرعی:</w:t>
      </w:r>
      <w:bookmarkEnd w:id="10"/>
    </w:p>
    <w:p w14:paraId="402B10CB"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14:paraId="7FE1ADE1" w14:textId="77777777">
      <w:pPr>
        <w:pStyle w:val="Heading2"/>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1" w:name="_Toc238572009"/>
      <w:r>
        <w:rPr>
          <w:rFonts w:ascii="Times New Roman" w:hAnsi="Times New Roman" w:cs="B Titr" w:eastAsia="Times New Roman"/>
          <w:b/>
          <w:bCs/>
          <w:color w:val="000000"/>
          <w:sz w:val="30"/>
          <w:szCs w:val="30"/>
          <w:rtl w:val="1"/>
          <w:cs w:val="1"/>
          <w:lang w:bidi="fa-IR"/>
        </w:rPr>
        <w:lastRenderedPageBreak/>
        <w:t xml:space="preserve">۱-۵- فرضیه‌های پژوهش</w:t>
      </w:r>
      <w:bookmarkEnd w:id="11"/>
    </w:p>
    <w:p w14:paraId="0FD89750"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2" w:name="_Toc238572010"/>
      <w:r>
        <w:rPr>
          <w:rFonts w:ascii="Times New Roman" w:hAnsi="Times New Roman" w:cs="B Titr" w:eastAsia="Times New Roman"/>
          <w:b/>
          <w:bCs/>
          <w:color w:val="000000"/>
          <w:sz w:val="30"/>
          <w:szCs w:val="30"/>
          <w:rtl w:val="1"/>
          <w:cs w:val="1"/>
          <w:lang w:bidi="fa-IR"/>
        </w:rPr>
        <w:t>۱-۵-۱- فرضیه اصلی:</w:t>
      </w:r>
      <w:bookmarkEnd w:id="12"/>
    </w:p>
    <w:p w14:paraId="0331943C" w14:textId="77777777">
      <w:pPr>
        <w:bidi w:val="1"/>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14:paraId="20106FCE"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5" w:name="_Toc238572011"/>
      <w:r>
        <w:rPr>
          <w:rFonts w:ascii="Times New Roman" w:hAnsi="Times New Roman" w:cs="B Titr" w:eastAsia="Times New Roman"/>
          <w:b/>
          <w:bCs/>
          <w:color w:val="000000"/>
          <w:sz w:val="30"/>
          <w:szCs w:val="30"/>
          <w:rtl w:val="1"/>
          <w:cs w:val="1"/>
          <w:lang w:bidi="fa-IR"/>
        </w:rPr>
        <w:t xml:space="preserve">۱-۵-۲- فرضیه‌های فرعی:</w:t>
      </w:r>
      <w:bookmarkEnd w:id="15"/>
    </w:p>
    <w:p w14:paraId="319DF98C"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8" w:name="_Toc238572012"/>
      <w:r>
        <w:rPr>
          <w:rFonts w:ascii="Times New Roman" w:hAnsi="Times New Roman" w:cs="B Titr" w:eastAsia="Times New Roman"/>
          <w:b/>
          <w:bCs/>
          <w:color w:val="000000"/>
          <w:sz w:val="30"/>
          <w:szCs w:val="30"/>
          <w:rtl w:val="1"/>
          <w:cs w:val="1"/>
          <w:lang w:bidi="fa-IR"/>
        </w:rPr>
        <w:t xml:space="preserve">۱-۶- تعاریف نظری و عملیاتی </w:t>
      </w:r>
      <w:r>
        <w:rPr>
          <w:rFonts w:ascii="Times New Roman" w:hAnsi="Times New Roman" w:cs="B Titr" w:eastAsia="Times New Roman"/>
          <w:b/>
          <w:bCs/>
          <w:color w:val="000000"/>
          <w:sz w:val="30"/>
          <w:szCs w:val="30"/>
          <w:rtl w:val="1"/>
          <w:cs w:val="1"/>
          <w:lang w:bidi="fa-IR"/>
        </w:rPr>
        <w:t>متغیرها</w:t>
      </w:r>
      <w:bookmarkEnd w:id="18"/>
    </w:p>
    <w:p w14:paraId="2346C958"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9" w:name="_Toc238572013"/>
      <w:r>
        <w:rPr>
          <w:rFonts w:ascii="Times New Roman" w:hAnsi="Times New Roman" w:cs="B Titr" w:eastAsia="Times New Roman"/>
          <w:b/>
          <w:bCs/>
          <w:color w:val="000000"/>
          <w:sz w:val="30"/>
          <w:szCs w:val="30"/>
          <w:rtl w:val="1"/>
          <w:cs w:val="1"/>
          <w:lang w:bidi="fa-IR"/>
        </w:rPr>
        <w:t xml:space="preserve">۱-۶-۱- تعاریف نظری </w:t>
      </w:r>
      <w:r>
        <w:rPr>
          <w:rFonts w:ascii="Times New Roman" w:hAnsi="Times New Roman" w:cs="B Titr" w:eastAsia="Times New Roman"/>
          <w:b/>
          <w:bCs/>
          <w:color w:val="000000"/>
          <w:sz w:val="30"/>
          <w:szCs w:val="30"/>
          <w:rtl w:val="1"/>
          <w:cs w:val="1"/>
          <w:lang w:bidi="fa-IR"/>
        </w:rPr>
        <w:t>متغیرها</w:t>
      </w:r>
      <w:bookmarkEnd w:id="19"/>
    </w:p>
    <w:p w14:paraId="6DA708E3"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20" w:name="_Toc238572014"/>
      <w:r>
        <w:rPr>
          <w:rFonts w:ascii="Times New Roman" w:hAnsi="Times New Roman" w:cs="B Titr" w:eastAsia="Times New Roman"/>
          <w:b/>
          <w:bCs/>
          <w:color w:val="000000"/>
          <w:sz w:val="30"/>
          <w:szCs w:val="30"/>
          <w:rtl w:val="1"/>
          <w:cs w:val="1"/>
          <w:lang w:bidi="fa-IR"/>
        </w:rPr>
        <w:t xml:space="preserve">۱-۶-۲- تعاریف عملیاتی </w:t>
      </w:r>
      <w:r>
        <w:rPr>
          <w:rFonts w:ascii="Times New Roman" w:hAnsi="Times New Roman" w:cs="B Titr" w:eastAsia="Times New Roman"/>
          <w:b/>
          <w:bCs/>
          <w:color w:val="000000"/>
          <w:sz w:val="30"/>
          <w:szCs w:val="30"/>
          <w:rtl w:val="1"/>
          <w:cs w:val="1"/>
          <w:lang w:bidi="fa-IR"/>
        </w:rPr>
        <w:t>متغیرها</w:t>
      </w:r>
      <w:bookmarkEnd w:id="20"/>
    </w:p>
    <w:p w14:paraId="68B0A26F" w14:textId="77777777">
      <w:pPr>
        <w:bidi w:val="1"/>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bidi w:val="1"/>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bidi w:val="1"/>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bidi w:val="1"/>
        <w:spacing w:before="0" w:after="240" w:line="276" w:lineRule="auto"/>
        <w:jc w:val="right"/>
        <w:rPr>
          <w:rFonts w:ascii="Times New Roman" w:cs="B Titr" w:hAnsi="Times New Roman" w:eastAsia="Times New Roman"/>
          <w:b/>
          <w:bCs/>
          <w:color w:val="000000"/>
          <w:sz w:val="56"/>
          <w:szCs w:val="56"/>
          <w:rtl w:val="1"/>
          <w:cs w:val="1"/>
          <w:lang w:bidi="fa-IR" w:val="en-US"/>
        </w:rPr>
      </w:pPr>
      <w:bookmarkStart w:id="21" w:name="_Toc238572015"/>
      <w:r>
        <w:rPr>
          <w:rFonts w:ascii="Times New Roman" w:hAnsi="Times New Roman" w:cs="B Titr" w:eastAsia="Times New Roman"/>
          <w:b/>
          <w:bCs/>
          <w:color w:val="000000"/>
          <w:sz w:val="56"/>
          <w:szCs w:val="56"/>
          <w:rtl w:val="1"/>
          <w:cs w:val="1"/>
          <w:lang w:bidi="fa-IR"/>
        </w:rPr>
        <w:lastRenderedPageBreak/>
        <w:t>فصل دوم: مبانی نظری و پیشینه پژوهش</w:t>
      </w:r>
      <w:bookmarkEnd w:id="21"/>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2" w:name="_Toc238572016"/>
      <w:r>
        <w:rPr>
          <w:rFonts w:ascii="Times New Roman" w:hAnsi="Times New Roman" w:cs="B Titr" w:eastAsia="Times New Roman"/>
          <w:b/>
          <w:bCs/>
          <w:color w:val="000000"/>
          <w:sz w:val="30"/>
          <w:szCs w:val="30"/>
          <w:rtl w:val="1"/>
          <w:cs w:val="1"/>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3" w:name="_Toc238572017"/>
      <w:r>
        <w:rPr>
          <w:rFonts w:ascii="Times New Roman" w:hAnsi="Times New Roman" w:cs="B Titr" w:eastAsia="Times New Roman"/>
          <w:b/>
          <w:bCs/>
          <w:color w:val="000000"/>
          <w:sz w:val="30"/>
          <w:szCs w:val="30"/>
          <w:rtl w:val="1"/>
          <w:cs w:val="1"/>
          <w:lang w:bidi="fa-IR"/>
        </w:rPr>
        <w:t>۲-۱-۱- مفهوم سالمندی</w:t>
      </w:r>
      <w:bookmarkEnd w:id="23"/>
    </w:p>
    <w:p w14:paraId="2CA3490E"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در سال‌های اخیر،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Fonts w:ascii="Times New Roman" w:hAnsi="Times New Roman" w:eastAsia="Times New Roman" w:cs="B Lotus"/>
          <w:sz w:val="28"/>
          <w:szCs w:val="28"/>
          <w:rtl/>
          <w:cs/>
          <w:lang w:bidi="fa-IR" w:val="en-US"/>
        </w:rPr>
        <w:t>، ۲۰۲۳).</w:t>
      </w:r>
    </w:p>
    <w:p w14:paraId="0F3658C2"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4" w:name="_Toc238572018"/>
      <w:r>
        <w:rPr>
          <w:rFonts w:ascii="Times New Roman" w:hAnsi="Times New Roman" w:cs="B Titr" w:eastAsia="Times New Roman"/>
          <w:b/>
          <w:bCs/>
          <w:color w:val="000000"/>
          <w:sz w:val="30"/>
          <w:szCs w:val="30"/>
          <w:rtl w:val="1"/>
          <w:cs w:val="1"/>
          <w:lang w:bidi="fa-IR"/>
        </w:rPr>
        <w:t xml:space="preserve">۲-۱-۲- نظریه‌های سالمندی</w:t>
      </w:r>
      <w:bookmarkEnd w:id="24"/>
    </w:p>
    <w:p>
      <w:pPr>
        <w:jc w:val="center"/>
        <w:bidi w:val="0"/>
      </w:pPr>
      <w:r>
        <w:drawing>
          <wp:inline distT="0" distB="0" distL="0" distR="0">
            <wp:extent cx="5669280" cy="4297680"/>
            <wp:effectExtent l="0" t="0" r="0" b="0"/>
            <wp:docPr id="20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r>
                            <w:rPr>
                              <w:rFonts w:ascii="Times New Roman" w:hAnsi="Times New Roman" w:eastAsia="Times New Roman" w:cs="Times New Roman"/>
                              <w:rStyle w:val="FootnoteReference"/>
                              <w:sz w:val="20"/>
                              <w:szCs w:val="20"/>
                              <w:vertAlign w:val="superscript"/>
                              <w:rtl w:val="0"/>
                              <w:cs w:val="0"/>
                              <w:lang w:val="en-US"/>
                            </w:rPr>
                            <w:footnoteReference w:id="11"/>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cs="B Lotus" w:hAnsi="Times New Roman"/>
                              <w:sz w:val="14"/>
                              <w:szCs w:val="14"/>
                              <w:color w:val="1F4E5F"/>
                              <w:rtl/>
                              <w:cs/>
                            </w:rPr>
                            <w:t xml:space="preserve">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r>
                            <w:rPr>
                              <w:rFonts w:ascii="Times New Roman" w:hAnsi="Times New Roman" w:eastAsia="Times New Roman" w:cs="Times New Roman"/>
                              <w:rStyle w:val="FootnoteReference"/>
                              <w:sz w:val="20"/>
                              <w:szCs w:val="20"/>
                              <w:vertAlign w:val="superscript"/>
                              <w:rtl w:val="0"/>
                              <w:cs w:val="0"/>
                              <w:lang w:val="en-US"/>
                            </w:rPr>
                            <w:footnoteReference w:id="14"/>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۱- درختواره نظریه‌های سالمندی (شاخه زیست‌شناختی، روان‌شناختی و جامعه‌شناختی)</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pPr>
        <w:bidi w:val="1"/>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eastAsia="Times New Roman" w:cs="Times New Roman"/>
          <w:lang w:bidi="fa-IR" w:val="en-US"/>
          <w:sz w:val="20"/>
          <w:szCs w:val="20"/>
          <w:vertAlign w:val="superscript"/>
          <w:rtl w:val="0"/>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 </w:t>
      </w:r>
      <w:r>
        <w:rPr>
          <w:rFonts w:ascii="Times New Roman" w:hAnsi="Times New Roman" w:hint="cs"/>
          <w:lang w:bidi="fa-IR"/>
          <w:rtl/>
        </w:rPr>
        <w:t>علاوه بر این</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9"/>
      </w:r>
      <w:r>
        <w:rPr>
          <w:rFonts w:ascii="Times New Roman" w:hAnsi="Times New Roman" w:hint="cs"/>
          <w:lang w:bidi="fa-IR"/>
          <w:rtl/>
        </w:rPr>
        <w:t>، ۲۰۲۳؛ سازمان جهانی بهداشت، ۲۰۲۰).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14:paraId="66899C70"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5" w:name="_Toc238572019"/>
      <w:r>
        <w:rPr>
          <w:rFonts w:ascii="Times New Roman" w:hAnsi="Times New Roman" w:cs="B Titr" w:eastAsia="Times New Roman"/>
          <w:b/>
          <w:bCs/>
          <w:color w:val="000000"/>
          <w:sz w:val="30"/>
          <w:szCs w:val="30"/>
          <w:rtl w:val="1"/>
          <w:cs w:val="1"/>
          <w:lang w:bidi="fa-IR"/>
        </w:rPr>
        <w:t xml:space="preserve">۲-۱-۲-۱- نظریه‌های زیست شناختی</w:t>
      </w:r>
      <w:bookmarkEnd w:id="25"/>
    </w:p>
    <w:p w14:paraId="484366E1" w14:textId="77777777">
      <w:pPr>
        <w:bidi w:val="1"/>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7" w:name="_Toc238572020"/>
      <w:r>
        <w:rPr>
          <w:rFonts w:ascii="Times New Roman" w:hAnsi="Times New Roman" w:cs="B Titr" w:eastAsia="Times New Roman"/>
          <w:b/>
          <w:bCs/>
          <w:color w:val="000000"/>
          <w:sz w:val="30"/>
          <w:szCs w:val="30"/>
          <w:rtl w:val="1"/>
          <w:cs w:val="1"/>
          <w:lang w:bidi="fa-IR"/>
        </w:rPr>
        <w:lastRenderedPageBreak/>
        <w:t xml:space="preserve">۲-۱-۲-۱-۱- نظریه ایمنی</w:t>
      </w:r>
      <w:bookmarkEnd w:id="27"/>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پژوهش‌های سال‌های اخیر، مفهوم «التهاب پیری» یا اینفلامجینگ</w:t>
      </w:r>
      <w:r>
        <w:rPr>
          <w:rStyle w:val="FootnoteReference"/>
          <w:rFonts w:ascii="Times New Roman" w:eastAsia="Times New Roman" w:hAnsi="Times New Roman" w:hint="cs" w:cs="Times New Roman"/>
          <w:lang w:bidi="fa-IR" w:val="en-US"/>
          <w:sz w:val="20"/>
          <w:szCs w:val="20"/>
          <w:vertAlign w:val="superscript"/>
          <w:rtl w:val="0"/>
        </w:rPr>
        <w:footnoteReference w:id="106"/>
      </w:r>
      <w:r>
        <w:rPr>
          <w:rFonts w:ascii="Times New Roman" w:hAnsi="Times New Roman" w:eastAsia="Times New Roman" w:cs="B Lotus"/>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Fonts w:ascii="Times New Roman" w:eastAsia="Times New Roman" w:hAnsi="Times New Roman" w:hint="cs" w:cs="Times New Roman"/>
          <w:lang w:bidi="fa-IR" w:val="en-US"/>
          <w:sz w:val="20"/>
          <w:szCs w:val="20"/>
          <w:vertAlign w:val="superscript"/>
          <w:rtl w:val="0"/>
        </w:rPr>
        <w:footnoteReference w:id="107"/>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۲۰۱۸؛ فولپ</w:t>
      </w:r>
      <w:r>
        <w:rPr>
          <w:rStyle w:val="FootnoteReference"/>
          <w:rFonts w:ascii="Times New Roman" w:eastAsia="Times New Roman" w:hAnsi="Times New Roman" w:hint="cs" w:cs="Times New Roman"/>
          <w:lang w:bidi="fa-IR" w:val="en-US"/>
          <w:sz w:val="20"/>
          <w:szCs w:val="20"/>
          <w:vertAlign w:val="superscript"/>
          <w:rtl w:val="0"/>
        </w:rPr>
        <w:footnoteReference w:id="12"/>
      </w:r>
      <w:r>
        <w:rPr>
          <w:rFonts w:ascii="Times New Roman" w:hAnsi="Times New Roman" w:eastAsia="Times New Roman" w:cs="B Lotus"/>
          <w:sz w:val="28"/>
          <w:szCs w:val="28"/>
          <w:rtl/>
          <w:cs/>
          <w:lang w:bidi="fa-IR" w:val="en-US"/>
        </w:rPr>
        <w:t xml:space="preserve"> و همکاران، ۲۰۲۳).</w:t>
      </w:r>
    </w:p>
    <w:p>
      <w:pPr>
        <w:bidi w:val="1"/>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 </w:t>
      </w:r>
      <w:r>
        <w:rPr>
          <w:rFonts w:ascii="Times New Roman" w:hAnsi="Times New Roman" w:hint="cs"/>
          <w:lang w:bidi="fa-IR"/>
          <w:rtl/>
        </w:rPr>
        <w:t>علاوه بر این</w:t>
      </w:r>
      <w:r>
        <w:rPr>
          <w:rFonts w:ascii="Times New Roman" w:hAnsi="Times New Roman" w:hint="cs"/>
          <w:lang w:bidi="fa-IR"/>
          <w:rtl/>
        </w:rPr>
        <w:t xml:space="preserve"> </w:t>
      </w:r>
      <w:r>
        <w:rPr>
          <w:rFonts w:ascii="Times New Roman" w:hAnsi="Times New Roman" w:hint="cs"/>
          <w:lang w:bidi="fa-IR"/>
          <w:rtl/>
        </w:rPr>
        <w:t>سلول‌های</w:t>
      </w:r>
      <w:r>
        <w:rPr>
          <w:rFonts w:ascii="Times New Roman" w:hAnsi="Times New Roman" w:hint="cs"/>
          <w:lang w:bidi="fa-IR"/>
          <w:rtl/>
        </w:rPr>
        <w:t xml:space="preserve"> غیرطبیعی از جمله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w:t>
      </w:r>
      <w:r>
        <w:rPr>
          <w:rFonts w:ascii="Times New Roman" w:hAnsi="Times New Roman" w:hint="cs"/>
          <w:lang w:bidi="fa-IR"/>
          <w:rtl/>
        </w:rPr>
        <w:t>در کنار این</w:t>
      </w:r>
      <w:r>
        <w:rPr>
          <w:rFonts w:ascii="Times New Roman" w:hAnsi="Times New Roman" w:hint="cs"/>
          <w:lang w:bidi="fa-IR"/>
          <w:rtl/>
        </w:rPr>
        <w:t xml:space="preserve">،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eastAsia="Times New Roman" w:cs="Times New Roman"/>
          <w:lang w:bidi="fa-IR" w:val="en-US"/>
          <w:sz w:val="20"/>
          <w:szCs w:val="20"/>
          <w:vertAlign w:val="superscript"/>
          <w:rtl w:val="0"/>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eastAsia="Times New Roman" w:cs="Times New Roman"/>
          <w:lang w:bidi="fa-IR" w:val="en-US"/>
          <w:sz w:val="20"/>
          <w:szCs w:val="20"/>
          <w:vertAlign w:val="superscript"/>
          <w:rtl w:val="0"/>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Fonts w:ascii="Times New Roman" w:hAnsi="Times New Roman" w:hint="cs"/>
          <w:lang w:bidi="fa-IR"/>
          <w:rtl/>
        </w:rPr>
        <w:t xml:space="preserve"> و همکاران، ۲۰۲۳).</w:t>
      </w:r>
    </w:p>
    <w:p w14:paraId="11FE0E24"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8" w:name="_Toc238572021"/>
      <w:r>
        <w:rPr>
          <w:rFonts w:ascii="Times New Roman" w:hAnsi="Times New Roman" w:cs="B Titr" w:eastAsia="Times New Roman"/>
          <w:b/>
          <w:bCs/>
          <w:color w:val="000000"/>
          <w:sz w:val="30"/>
          <w:szCs w:val="30"/>
          <w:rtl w:val="1"/>
          <w:cs w:val="1"/>
          <w:lang w:bidi="fa-IR"/>
        </w:rPr>
        <w:t xml:space="preserve">۲-۱-۲-۱-۲- نظریه پیر شدن سلولی</w:t>
      </w:r>
      <w:bookmarkEnd w:id="28"/>
    </w:p>
    <w:p>
      <w:pPr>
        <w:bidi w:val="1"/>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w:t>
      </w:r>
      <w:r>
        <w:rPr>
          <w:rFonts w:ascii="Times New Roman" w:hAnsi="Times New Roman" w:hint="cs"/>
          <w:lang w:bidi="fa-IR"/>
          <w:rtl/>
        </w:rPr>
        <w:t>در کنار این</w:t>
      </w:r>
      <w:r>
        <w:rPr>
          <w:rFonts w:ascii="Times New Roman" w:hAnsi="Times New Roman" w:hint="cs"/>
          <w:lang w:bidi="fa-IR"/>
          <w:rtl/>
        </w:rPr>
        <w:t xml:space="preserve">،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eastAsia="Times New Roman" w:cs="Times New Roman"/>
          <w:lang w:bidi="fa-IR" w:val="en-US"/>
          <w:sz w:val="20"/>
          <w:szCs w:val="20"/>
          <w:vertAlign w:val="superscript"/>
          <w:rtl w:val="0"/>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eastAsia="Times New Roman" w:cs="Times New Roman"/>
          <w:lang w:bidi="fa-IR" w:val="en-US"/>
          <w:sz w:val="20"/>
          <w:szCs w:val="20"/>
          <w:vertAlign w:val="superscript"/>
          <w:rtl w:val="0"/>
        </w:rPr>
        <w:footnoteReference w:id="14"/>
      </w:r>
      <w:r>
        <w:rPr>
          <w:rFonts w:ascii="Times New Roman" w:hAnsi="Times New Roman" w:hint="cs"/>
          <w:lang w:bidi="fa-IR"/>
          <w:rtl/>
        </w:rPr>
        <w:t>، 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14:paraId="41EE9C73"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9" w:name="_Toc238572022"/>
      <w:r>
        <w:rPr>
          <w:rFonts w:ascii="Times New Roman" w:hAnsi="Times New Roman" w:cs="B Titr" w:eastAsia="Times New Roman"/>
          <w:b/>
          <w:bCs/>
          <w:color w:val="000000"/>
          <w:sz w:val="30"/>
          <w:szCs w:val="30"/>
          <w:rtl w:val="1"/>
          <w:cs w:val="1"/>
          <w:lang w:bidi="fa-IR"/>
        </w:rPr>
        <w:lastRenderedPageBreak/>
        <w:t xml:space="preserve">۲-۱-۲-۱-۳- نظریه رادیکال آزاد</w:t>
      </w:r>
      <w:bookmarkEnd w:id="29"/>
    </w:p>
    <w:p>
      <w:pPr>
        <w:bidi w:val="1"/>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w:t>
      </w:r>
      <w:r>
        <w:rPr>
          <w:rFonts w:ascii="Times New Roman" w:hAnsi="Times New Roman" w:hint="cs"/>
          <w:lang w:bidi="fa-IR"/>
          <w:rtl/>
        </w:rPr>
        <w:t>در کنار این</w:t>
      </w:r>
      <w:r>
        <w:rPr>
          <w:rFonts w:ascii="Times New Roman" w:hAnsi="Times New Roman" w:hint="cs"/>
          <w:lang w:bidi="fa-IR"/>
          <w:rtl/>
        </w:rPr>
        <w:t xml:space="preserve">،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eastAsia="Times New Roman" w:cs="Times New Roman"/>
          <w:lang w:bidi="fa-IR" w:val="en-US"/>
          <w:sz w:val="20"/>
          <w:szCs w:val="20"/>
          <w:vertAlign w:val="superscript"/>
          <w:rtl w:val="0"/>
        </w:rPr>
        <w:footnoteReference w:id="15"/>
      </w:r>
      <w:r>
        <w:rPr>
          <w:rFonts w:ascii="Times New Roman" w:hAnsi="Times New Roman" w:hint="cs"/>
          <w:lang w:bidi="fa-IR"/>
          <w:rtl/>
        </w:rPr>
        <w:t>، 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Style w:val="FootnoteReference"/>
          <w:rFonts w:ascii="Times New Roman" w:eastAsia="Times New Roman" w:hAnsi="Times New Roman" w:hint="cs" w:cs="Times New Roman"/>
          <w:lang w:bidi="fa-IR" w:val="en-US"/>
          <w:sz w:val="20"/>
          <w:szCs w:val="20"/>
          <w:vertAlign w:val="superscript"/>
          <w:rtl w:val="0"/>
        </w:rPr>
        <w:footnoteReference w:id="13"/>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B Lotus"/>
          <w:sz w:val="28"/>
          <w:szCs w:val="28"/>
          <w:rtl/>
          <w:cs/>
          <w:lang w:bidi="fa-IR" w:val="en-US"/>
        </w:rPr>
        <w:t>، ۲۰۲۴).</w:t>
      </w:r>
    </w:p>
    <w:p w14:paraId="3D641FB1"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0" w:name="_Toc238572023"/>
      <w:r>
        <w:rPr>
          <w:rFonts w:ascii="Times New Roman" w:hAnsi="Times New Roman" w:cs="B Titr" w:eastAsia="Times New Roman"/>
          <w:b/>
          <w:bCs/>
          <w:color w:val="000000"/>
          <w:sz w:val="30"/>
          <w:szCs w:val="30"/>
          <w:rtl w:val="1"/>
          <w:cs w:val="1"/>
          <w:lang w:bidi="fa-IR"/>
        </w:rPr>
        <w:t xml:space="preserve">۲-۱-۲-۲- نظریه‌های روانشناختی</w:t>
      </w:r>
      <w:bookmarkEnd w:id="30"/>
    </w:p>
    <w:p w14:paraId="4520A324" w14:textId="77777777">
      <w:pPr>
        <w:bidi w:val="1"/>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۲۰۲۱).</w:t>
      </w:r>
    </w:p>
    <w:p w14:paraId="101F6DC1"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1" w:name="_Toc238572024"/>
      <w:r>
        <w:rPr>
          <w:rFonts w:ascii="Times New Roman" w:hAnsi="Times New Roman" w:cs="B Titr" w:eastAsia="Times New Roman"/>
          <w:b/>
          <w:bCs/>
          <w:color w:val="000000"/>
          <w:sz w:val="30"/>
          <w:szCs w:val="30"/>
          <w:rtl w:val="1"/>
          <w:cs w:val="1"/>
          <w:lang w:bidi="fa-IR"/>
        </w:rPr>
        <w:t xml:space="preserve">۲-۱-۲-۲-۱- نظریه گولد</w:t>
      </w:r>
      <w:bookmarkEnd w:id="31"/>
    </w:p>
    <w:p w14:paraId="20C23824" w14:textId="77777777">
      <w:pPr>
        <w:bidi w:val="1"/>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eastAsia="Times New Roman" w:cs="Times New Roman"/>
          <w:lang w:bidi="fa-IR" w:val="en-US"/>
          <w:sz w:val="20"/>
          <w:szCs w:val="20"/>
          <w:vertAlign w:val="superscript"/>
          <w:rtl w:val="0"/>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اگرچه صورت‌بندی گولد</w:t>
      </w:r>
      <w:r>
        <w:rPr>
          <w:rStyle w:val="FootnoteReference"/>
          <w:rFonts w:ascii="Times New Roman" w:eastAsia="Times New Roman" w:hAnsi="Times New Roman" w:hint="cs" w:cs="Times New Roman"/>
          <w:lang w:bidi="fa-IR" w:val="en-US"/>
          <w:sz w:val="20"/>
          <w:szCs w:val="20"/>
          <w:vertAlign w:val="superscript"/>
          <w:rtl w:val="0"/>
        </w:rPr>
        <w:footnoteReference w:id="64"/>
      </w:r>
      <w:r>
        <w:rPr>
          <w:rFonts w:ascii="Times New Roman" w:hAnsi="Times New Roman" w:eastAsia="Times New Roman" w:cs="B Lotus"/>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۲۰۲۱).</w:t>
      </w:r>
    </w:p>
    <w:p w14:paraId="55F08B4D"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2" w:name="_Toc238572025"/>
      <w:r>
        <w:rPr>
          <w:rFonts w:ascii="Times New Roman" w:hAnsi="Times New Roman" w:cs="B Titr" w:eastAsia="Times New Roman"/>
          <w:b/>
          <w:bCs/>
          <w:color w:val="000000"/>
          <w:sz w:val="30"/>
          <w:szCs w:val="30"/>
          <w:rtl w:val="1"/>
          <w:cs w:val="1"/>
          <w:lang w:bidi="fa-IR"/>
        </w:rPr>
        <w:t xml:space="preserve">۲-۱-۲-۲-۲- نظریه لوینسون و شی</w:t>
      </w:r>
      <w:bookmarkEnd w:id="32"/>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صورت‌بندی مرحله‌ای لوینسون</w:t>
      </w:r>
      <w:r>
        <w:rPr>
          <w:rStyle w:val="FootnoteReference"/>
          <w:rFonts w:ascii="Times New Roman" w:eastAsia="Times New Roman" w:hAnsi="Times New Roman" w:hint="cs" w:cs="Times New Roman"/>
          <w:lang w:bidi="fa-IR" w:val="en-US"/>
          <w:sz w:val="20"/>
          <w:szCs w:val="20"/>
          <w:vertAlign w:val="superscript"/>
          <w:rtl w:val="0"/>
        </w:rPr>
        <w:footnoteReference w:id="17"/>
      </w:r>
      <w:r>
        <w:rPr>
          <w:rFonts w:ascii="Times New Roman" w:hAnsi="Times New Roman" w:eastAsia="Times New Roman" w:cs="B Lotus"/>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۲۰۰۶).</w:t>
      </w:r>
    </w:p>
    <w:p w14:paraId="081CFB18" w14:textId="77777777">
      <w:pPr>
        <w:bidi w:val="1"/>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eastAsia="Times New Roman" w:cs="Times New Roman"/>
          <w:lang w:bidi="fa-IR" w:val="en-US"/>
          <w:sz w:val="20"/>
          <w:szCs w:val="20"/>
          <w:vertAlign w:val="superscript"/>
          <w:rtl w:val="0"/>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3" w:name="_Toc238572026"/>
      <w:r>
        <w:rPr>
          <w:rFonts w:ascii="Times New Roman" w:hAnsi="Times New Roman" w:cs="B Titr" w:eastAsia="Times New Roman"/>
          <w:b/>
          <w:bCs/>
          <w:color w:val="000000"/>
          <w:sz w:val="30"/>
          <w:szCs w:val="30"/>
          <w:rtl w:val="1"/>
          <w:cs w:val="1"/>
          <w:lang w:bidi="fa-IR"/>
        </w:rPr>
        <w:t xml:space="preserve">۲-۱-۲-۲-۳- نظریه اریکسون</w:t>
      </w:r>
      <w:bookmarkEnd w:id="33"/>
    </w:p>
    <w:p w14:paraId="624436C2" w14:textId="77777777">
      <w:pPr>
        <w:bidi w:val="1"/>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eastAsia="Times New Roman" w:cs="Times New Roman"/>
          <w:lang w:bidi="fa-IR" w:val="en-US"/>
          <w:sz w:val="20"/>
          <w:szCs w:val="20"/>
          <w:vertAlign w:val="superscript"/>
          <w:rtl w:val="0"/>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eastAsia="Times New Roman" w:cs="Times New Roman"/>
          <w:lang w:bidi="fa-IR" w:val="en-US"/>
          <w:sz w:val="20"/>
          <w:szCs w:val="20"/>
          <w:vertAlign w:val="superscript"/>
          <w:rtl w:val="0"/>
        </w:rPr>
        <w:footnoteReference w:id="20"/>
      </w:r>
      <w:r>
        <w:rPr>
          <w:rFonts w:ascii="Times New Roman" w:hAnsi="Times New Roman" w:hint="cs"/>
          <w:lang w:bidi="fa-IR"/>
          <w:rtl/>
        </w:rPr>
        <w:t>، ۱۹۸۶).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Fonts w:ascii="Times New Roman" w:hAnsi="Times New Roman" w:eastAsia="Times New Roman" w:cs="B Lotus"/>
          <w:sz w:val="28"/>
          <w:szCs w:val="28"/>
          <w:rtl/>
          <w:cs/>
          <w:lang w:bidi="fa-IR" w:val="en-US"/>
        </w:rPr>
        <w:t xml:space="preserve"> همچنان برای فهم سازگاری و سلامت روان سالمندان راهگشا است (وسترهاف</w:t>
      </w:r>
      <w:r>
        <w:rPr>
          <w:rStyle w:val="FootnoteReference"/>
          <w:rFonts w:ascii="Times New Roman" w:eastAsia="Times New Roman" w:hAnsi="Times New Roman" w:hint="cs" w:cs="Times New Roman"/>
          <w:lang w:bidi="fa-IR" w:val="en-US"/>
          <w:sz w:val="20"/>
          <w:szCs w:val="20"/>
          <w:vertAlign w:val="superscript"/>
          <w:rtl w:val="0"/>
        </w:rPr>
        <w:footnoteReference w:id="109"/>
      </w:r>
      <w:r>
        <w:rPr>
          <w:rFonts w:ascii="Times New Roman" w:hAnsi="Times New Roman" w:eastAsia="Times New Roman" w:cs="B Lotus"/>
          <w:sz w:val="28"/>
          <w:szCs w:val="28"/>
          <w:rtl/>
          <w:cs/>
          <w:lang w:bidi="fa-IR" w:val="en-US"/>
        </w:rPr>
        <w:t>، بولمایر</w:t>
      </w:r>
      <w:r>
        <w:rPr>
          <w:rStyle w:val="FootnoteReference"/>
          <w:rFonts w:ascii="Times New Roman" w:eastAsia="Times New Roman" w:hAnsi="Times New Roman" w:hint="cs" w:cs="Times New Roman"/>
          <w:lang w:bidi="fa-IR" w:val="en-US"/>
          <w:sz w:val="20"/>
          <w:szCs w:val="20"/>
          <w:vertAlign w:val="superscript"/>
          <w:rtl w:val="0"/>
        </w:rPr>
        <w:footnoteReference w:id="110"/>
      </w:r>
      <w:r>
        <w:rPr>
          <w:rFonts w:ascii="Times New Roman" w:hAnsi="Times New Roman" w:eastAsia="Times New Roman" w:cs="B Lotus"/>
          <w:sz w:val="28"/>
          <w:szCs w:val="28"/>
          <w:rtl/>
          <w:cs/>
          <w:lang w:bidi="fa-IR" w:val="en-US"/>
        </w:rPr>
        <w:t xml:space="preserve"> و مک‌آدامز</w:t>
      </w:r>
      <w:r>
        <w:rPr>
          <w:rStyle w:val="FootnoteReference"/>
          <w:rFonts w:ascii="Times New Roman" w:eastAsia="Times New Roman" w:hAnsi="Times New Roman" w:hint="cs" w:cs="Times New Roman"/>
          <w:lang w:bidi="fa-IR" w:val="en-US"/>
          <w:sz w:val="20"/>
          <w:szCs w:val="20"/>
          <w:vertAlign w:val="superscript"/>
          <w:rtl w:val="0"/>
        </w:rPr>
        <w:footnoteReference w:id="111"/>
      </w:r>
      <w:r>
        <w:rPr>
          <w:rFonts w:ascii="Times New Roman" w:hAnsi="Times New Roman" w:eastAsia="Times New Roman" w:cs="B Lotus"/>
          <w:sz w:val="28"/>
          <w:szCs w:val="28"/>
          <w:rtl/>
          <w:cs/>
          <w:lang w:bidi="fa-IR" w:val="en-US"/>
        </w:rPr>
        <w:t>، ۲۰۱۷).</w:t>
      </w:r>
    </w:p>
    <w:p>
      <w:pPr>
        <w:pStyle w:val="Heading5"/>
        <w:bidi w:val="1"/>
        <w:spacing w:after="120" w:line="276" w:lineRule="auto"/>
        <w:jc w:val="right"/>
        <w:rPr>
          <w:rFonts w:ascii="Times New Roman" w:hAnsi="Times New Roman" w:eastAsia="Times New Roman" w:cs="B Titr"/>
          <w:rtl w:val="1"/>
          <w:cs w:val="1"/>
          <w:lang w:bidi="fa-IR" w:val="en-US"/>
        </w:rPr>
      </w:pPr>
      <w:bookmarkStart w:id="5002" w:name="_Toc238572200"/>
      <w:r>
        <w:rPr>
          <w:rFonts w:ascii="Times New Roman" w:hAnsi="Times New Roman" w:eastAsia="Times New Roman" w:cs="B Titr"/>
          <w:b/>
          <w:bCs/>
          <w:sz w:val="28"/>
          <w:szCs w:val="28"/>
          <w:rtl w:val="1"/>
          <w:cs w:val="1"/>
          <w:lang w:bidi="fa-IR" w:val="en-US"/>
        </w:rPr>
        <w:t>۲-۱-۲-۲-۴- نظریه انتخاب اجتماعی-هیجانی</w:t>
      </w:r>
      <w:bookmarkEnd w:id="5002"/>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نظریه انتخاب اجتماعی-هیجانی</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eastAsia="Times New Roman" w:cs="B Lotus"/>
          <w:sz w:val="28"/>
          <w:szCs w:val="28"/>
          <w:rtl/>
          <w:cs/>
          <w:lang w:bidi="fa-IR" w:val="en-US"/>
        </w:rPr>
        <w:t xml:space="preserve"> که توسط لورا کارستنسن</w:t>
      </w:r>
      <w:r>
        <w:rPr>
          <w:rFonts w:ascii="Times New Roman" w:hAnsi="Times New Roman" w:eastAsia="Times New Roman" w:cs="B Lotus"/>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Style w:val="FootnoteReference"/>
          <w:rFonts w:ascii="Times New Roman" w:eastAsia="Times New Roman" w:hAnsi="Times New Roman" w:hint="cs" w:cs="Times New Roman"/>
          <w:lang w:bidi="fa-IR" w:val="en-US"/>
          <w:sz w:val="20"/>
          <w:szCs w:val="20"/>
          <w:vertAlign w:val="superscript"/>
          <w:rtl w:val="0"/>
        </w:rPr>
        <w:footnoteReference w:id="113"/>
      </w:r>
      <w:r>
        <w:rPr>
          <w:rFonts w:ascii="Times New Roman" w:hAnsi="Times New Roman" w:eastAsia="Times New Roman" w:cs="B Lotus"/>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w:t>
      </w:r>
      <w:r>
        <w:rPr>
          <w:rFonts w:ascii="Times New Roman" w:hAnsi="Times New Roman" w:eastAsia="Times New Roman" w:cs="B Lotus"/>
          <w:sz w:val="28"/>
          <w:szCs w:val="28"/>
          <w:rtl/>
          <w:cs/>
          <w:lang w:bidi="fa-IR" w:val="en-US"/>
        </w:rPr>
        <w:t>مانند</w:t>
      </w:r>
      <w:r>
        <w:rPr>
          <w:rFonts w:ascii="Times New Roman" w:hAnsi="Times New Roman" w:eastAsia="Times New Roman" w:cs="B Lotus"/>
          <w:sz w:val="28"/>
          <w:szCs w:val="28"/>
          <w:rtl/>
          <w:cs/>
          <w:lang w:bidi="fa-IR" w:val="en-US"/>
        </w:rPr>
        <w:t xml:space="preserve">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w:t>
      </w:r>
      <w:r>
        <w:rPr>
          <w:rFonts w:ascii="Times New Roman" w:hAnsi="Times New Roman" w:eastAsia="Times New Roman" w:cs="B Lotus"/>
          <w:sz w:val="28"/>
          <w:szCs w:val="28"/>
          <w:rtl/>
          <w:cs/>
          <w:lang w:bidi="fa-IR" w:val="en-US"/>
        </w:rPr>
        <w:t>نظیر</w:t>
      </w:r>
      <w:r>
        <w:rPr>
          <w:rFonts w:ascii="Times New Roman" w:hAnsi="Times New Roman" w:eastAsia="Times New Roman" w:cs="B Lotus"/>
          <w:sz w:val="28"/>
          <w:szCs w:val="28"/>
          <w:rtl/>
          <w:cs/>
          <w:lang w:bidi="fa-IR" w:val="en-US"/>
        </w:rPr>
        <w:t xml:space="preserve"> آگاهی از پایان زندگی ــ پیشنهاد نموده‌اند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آیزاکوویتز</w:t>
      </w:r>
      <w:r>
        <w:rPr>
          <w:rStyle w:val="FootnoteReference"/>
          <w:rFonts w:ascii="Times New Roman" w:eastAsia="Times New Roman" w:hAnsi="Times New Roman" w:hint="cs" w:cs="Times New Roman"/>
          <w:lang w:bidi="fa-IR" w:val="en-US"/>
          <w:sz w:val="20"/>
          <w:szCs w:val="20"/>
          <w:vertAlign w:val="superscript"/>
          <w:rtl w:val="0"/>
        </w:rPr>
        <w:footnoteReference w:id="114"/>
      </w:r>
      <w:r>
        <w:rPr>
          <w:rFonts w:ascii="Times New Roman" w:hAnsi="Times New Roman" w:eastAsia="Times New Roman" w:cs="B Lotus"/>
          <w:sz w:val="28"/>
          <w:szCs w:val="28"/>
          <w:rtl/>
          <w:cs/>
          <w:lang w:bidi="fa-IR" w:val="en-US"/>
        </w:rPr>
        <w:t xml:space="preserve"> و چارلز</w:t>
      </w:r>
      <w:r>
        <w:rPr>
          <w:rStyle w:val="FootnoteReference"/>
          <w:rFonts w:ascii="Times New Roman" w:eastAsia="Times New Roman" w:hAnsi="Times New Roman" w:hint="cs" w:cs="Times New Roman"/>
          <w:lang w:bidi="fa-IR" w:val="en-US"/>
          <w:sz w:val="20"/>
          <w:szCs w:val="20"/>
          <w:vertAlign w:val="superscript"/>
          <w:rtl w:val="0"/>
        </w:rPr>
        <w:footnoteReference w:id="115"/>
      </w:r>
      <w:r>
        <w:rPr>
          <w:rFonts w:ascii="Times New Roman" w:hAnsi="Times New Roman" w:eastAsia="Times New Roman" w:cs="B Lotus"/>
          <w:sz w:val="28"/>
          <w:szCs w:val="28"/>
          <w:rtl/>
          <w:cs/>
          <w:lang w:bidi="fa-IR" w:val="en-US"/>
        </w:rPr>
        <w:t>، ۱۹۹۹؛ کارستنسن</w:t>
      </w:r>
      <w:r>
        <w:rPr>
          <w:rFonts w:ascii="Times New Roman" w:hAnsi="Times New Roman" w:eastAsia="Times New Roman" w:cs="B Lotus"/>
          <w:sz w:val="28"/>
          <w:szCs w:val="28"/>
          <w:rtl/>
          <w:cs/>
          <w:lang w:bidi="fa-IR" w:val="en-US"/>
        </w:rPr>
        <w:t>، ۲۰۰۶؛ رید</w:t>
      </w:r>
      <w:r>
        <w:rPr>
          <w:rStyle w:val="FootnoteReference"/>
          <w:rFonts w:ascii="Times New Roman" w:eastAsia="Times New Roman" w:hAnsi="Times New Roman" w:hint="cs" w:cs="Times New Roman"/>
          <w:lang w:bidi="fa-IR" w:val="en-US"/>
          <w:sz w:val="20"/>
          <w:szCs w:val="20"/>
          <w:vertAlign w:val="superscript"/>
          <w:rtl w:val="0"/>
        </w:rPr>
        <w:footnoteReference w:id="116"/>
      </w:r>
      <w:r>
        <w:rPr>
          <w:rFonts w:ascii="Times New Roman" w:hAnsi="Times New Roman" w:eastAsia="Times New Roman" w:cs="B Lotus"/>
          <w:sz w:val="28"/>
          <w:szCs w:val="28"/>
          <w:rtl/>
          <w:cs/>
          <w:lang w:bidi="fa-IR" w:val="en-US"/>
        </w:rPr>
        <w:t>، چان</w:t>
      </w:r>
      <w:r>
        <w:rPr>
          <w:rStyle w:val="FootnoteReference"/>
          <w:rFonts w:ascii="Times New Roman" w:eastAsia="Times New Roman" w:hAnsi="Times New Roman" w:hint="cs" w:cs="Times New Roman"/>
          <w:lang w:bidi="fa-IR" w:val="en-US"/>
          <w:sz w:val="20"/>
          <w:szCs w:val="20"/>
          <w:vertAlign w:val="superscript"/>
          <w:rtl w:val="0"/>
        </w:rPr>
        <w:footnoteReference w:id="117"/>
      </w:r>
      <w:r>
        <w:rPr>
          <w:rFonts w:ascii="Times New Roman" w:hAnsi="Times New Roman" w:eastAsia="Times New Roman" w:cs="B Lotus"/>
          <w:sz w:val="28"/>
          <w:szCs w:val="28"/>
          <w:rtl/>
          <w:cs/>
          <w:lang w:bidi="fa-IR" w:val="en-US"/>
        </w:rPr>
        <w:t xml:space="preserve"> و مایکلز</w:t>
      </w:r>
      <w:r>
        <w:rPr>
          <w:rStyle w:val="FootnoteReference"/>
          <w:rFonts w:ascii="Times New Roman" w:eastAsia="Times New Roman" w:hAnsi="Times New Roman" w:hint="cs" w:cs="Times New Roman"/>
          <w:lang w:bidi="fa-IR" w:val="en-US"/>
          <w:sz w:val="20"/>
          <w:szCs w:val="20"/>
          <w:vertAlign w:val="superscript"/>
          <w:rtl w:val="0"/>
        </w:rPr>
        <w:footnoteReference w:id="118"/>
      </w:r>
      <w:r>
        <w:rPr>
          <w:rFonts w:ascii="Times New Roman" w:hAnsi="Times New Roman" w:eastAsia="Times New Roman" w:cs="B Lotus"/>
          <w:sz w:val="28"/>
          <w:szCs w:val="28"/>
          <w:rtl/>
          <w:cs/>
          <w:lang w:bidi="fa-IR" w:val="en-US"/>
        </w:rPr>
        <w:t>، ۲۰۱۴؛ کارستنسن</w:t>
      </w:r>
      <w:r>
        <w:rPr>
          <w:rFonts w:ascii="Times New Roman" w:hAnsi="Times New Roman" w:eastAsia="Times New Roman" w:cs="B Lotus"/>
          <w:sz w:val="28"/>
          <w:szCs w:val="28"/>
          <w:rtl/>
          <w:cs/>
          <w:lang w:bidi="fa-IR" w:val="en-US"/>
        </w:rPr>
        <w:t>، ۲۰۲۱).</w:t>
      </w:r>
    </w:p>
    <w:p w14:paraId="6DF5AB5B"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4" w:name="_Toc238572027"/>
      <w:r>
        <w:rPr>
          <w:rFonts w:ascii="Times New Roman" w:hAnsi="Times New Roman" w:cs="B Titr" w:eastAsia="Times New Roman"/>
          <w:b/>
          <w:bCs/>
          <w:color w:val="000000"/>
          <w:sz w:val="30"/>
          <w:szCs w:val="30"/>
          <w:rtl w:val="1"/>
          <w:cs w:val="1"/>
          <w:lang w:bidi="fa-IR"/>
        </w:rPr>
        <w:t xml:space="preserve">۲-۱-۲-۳- نظریه‌های جامعه شناختی</w:t>
      </w:r>
      <w:bookmarkEnd w:id="34"/>
    </w:p>
    <w:p w14:paraId="04BBBE12"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6" w:name="_Toc238572028"/>
      <w:r>
        <w:rPr>
          <w:rFonts w:ascii="Times New Roman" w:hAnsi="Times New Roman" w:cs="B Titr" w:eastAsia="Times New Roman"/>
          <w:b/>
          <w:bCs/>
          <w:color w:val="000000"/>
          <w:sz w:val="30"/>
          <w:szCs w:val="30"/>
          <w:rtl w:val="1"/>
          <w:cs w:val="1"/>
          <w:lang w:bidi="fa-IR"/>
        </w:rPr>
        <w:t xml:space="preserve">۲-۱-۲-۳-۱- نظریه عدم تعهد</w:t>
      </w:r>
      <w:bookmarkEnd w:id="36"/>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Fonts w:ascii="Times New Roman" w:hAnsi="Times New Roman" w:eastAsia="Times New Roman" w:cs="B Lotus"/>
          <w:sz w:val="28"/>
          <w:szCs w:val="28"/>
          <w:rtl/>
          <w:cs/>
          <w:lang w:bidi="fa-IR" w:val="en-US"/>
        </w:rPr>
        <w:t>، ۲۰۲۳).</w:t>
      </w:r>
    </w:p>
    <w:p w14:paraId="31775D54" w14:textId="77777777">
      <w:pPr>
        <w:bidi w:val="1"/>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eastAsia="Times New Roman" w:cs="Times New Roman"/>
          <w:lang w:bidi="fa-IR" w:val="en-US"/>
          <w:sz w:val="20"/>
          <w:szCs w:val="20"/>
          <w:vertAlign w:val="superscript"/>
          <w:rtl w:val="0"/>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eastAsia="Times New Roman" w:cs="Times New Roman"/>
          <w:lang w:bidi="fa-IR" w:val="en-US"/>
          <w:sz w:val="20"/>
          <w:szCs w:val="20"/>
          <w:vertAlign w:val="superscript"/>
          <w:rtl w:val="0"/>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eastAsia="Times New Roman" w:cs="Times New Roman"/>
          <w:lang w:bidi="fa-IR" w:val="en-US"/>
          <w:sz w:val="20"/>
          <w:szCs w:val="20"/>
          <w:vertAlign w:val="superscript"/>
          <w:rtl w:val="0"/>
        </w:rPr>
        <w:footnoteReference w:id="23"/>
      </w:r>
      <w:r>
        <w:rPr>
          <w:rFonts w:ascii="Times New Roman" w:hAnsi="Times New Roman" w:hint="cs"/>
          <w:lang w:bidi="fa-IR"/>
          <w:rtl/>
        </w:rPr>
        <w:t>، ۲۰۱۶).</w:t>
      </w:r>
    </w:p>
    <w:p w14:paraId="4B444079"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7" w:name="_Toc238572029"/>
      <w:r>
        <w:rPr>
          <w:rFonts w:ascii="Times New Roman" w:hAnsi="Times New Roman" w:cs="B Titr" w:eastAsia="Times New Roman"/>
          <w:b/>
          <w:bCs/>
          <w:color w:val="000000"/>
          <w:sz w:val="30"/>
          <w:szCs w:val="30"/>
          <w:rtl w:val="1"/>
          <w:cs w:val="1"/>
          <w:lang w:bidi="fa-IR"/>
        </w:rPr>
        <w:t xml:space="preserve">۲-۱-۲-۳-۲- نظریه فعالیت</w:t>
      </w:r>
      <w:bookmarkEnd w:id="37"/>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Fonts w:ascii="Times New Roman" w:eastAsia="Times New Roman" w:hAnsi="Times New Roman" w:hint="cs" w:cs="Times New Roman"/>
          <w:lang w:bidi="fa-IR" w:val="en-US"/>
          <w:sz w:val="20"/>
          <w:szCs w:val="20"/>
          <w:vertAlign w:val="superscript"/>
          <w:rtl w:val="0"/>
        </w:rPr>
        <w:footnoteReference w:id="119"/>
      </w:r>
      <w:r>
        <w:rPr>
          <w:rFonts w:ascii="Times New Roman" w:hAnsi="Times New Roman" w:eastAsia="Times New Roman" w:cs="B Lotus"/>
          <w:sz w:val="28"/>
          <w:szCs w:val="28"/>
          <w:rtl/>
          <w:cs/>
          <w:lang w:bidi="fa-IR" w:val="en-US"/>
        </w:rPr>
        <w:t xml:space="preserve"> و کان</w:t>
      </w:r>
      <w:r>
        <w:rPr>
          <w:rStyle w:val="FootnoteReference"/>
          <w:rFonts w:ascii="Times New Roman" w:eastAsia="Times New Roman" w:hAnsi="Times New Roman" w:hint="cs" w:cs="Times New Roman"/>
          <w:lang w:bidi="fa-IR" w:val="en-US"/>
          <w:sz w:val="20"/>
          <w:szCs w:val="20"/>
          <w:vertAlign w:val="superscript"/>
          <w:rtl w:val="0"/>
        </w:rPr>
        <w:footnoteReference w:id="120"/>
      </w:r>
      <w:r>
        <w:rPr>
          <w:rFonts w:ascii="Times New Roman" w:hAnsi="Times New Roman" w:eastAsia="Times New Roman" w:cs="B Lotus"/>
          <w:sz w:val="28"/>
          <w:szCs w:val="28"/>
          <w:rtl/>
          <w:cs/>
          <w:lang w:bidi="fa-IR" w:val="en-US"/>
        </w:rPr>
        <w:t>، ۲۰۱۵).</w:t>
      </w:r>
    </w:p>
    <w:p w14:paraId="146A3D73" w14:textId="77777777">
      <w:pPr>
        <w:bidi w:val="1"/>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eastAsia="Times New Roman" w:cs="Times New Roman"/>
          <w:lang w:bidi="fa-IR" w:val="en-US"/>
          <w:sz w:val="20"/>
          <w:szCs w:val="20"/>
          <w:vertAlign w:val="superscript"/>
          <w:rtl w:val="0"/>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eastAsia="Times New Roman" w:cs="Times New Roman"/>
          <w:lang w:bidi="fa-IR" w:val="en-US"/>
          <w:sz w:val="20"/>
          <w:szCs w:val="20"/>
          <w:vertAlign w:val="superscript"/>
          <w:rtl w:val="0"/>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eastAsia="Times New Roman" w:cs="Times New Roman"/>
          <w:lang w:bidi="fa-IR" w:val="en-US"/>
          <w:sz w:val="20"/>
          <w:szCs w:val="20"/>
          <w:vertAlign w:val="superscript"/>
          <w:rtl w:val="0"/>
        </w:rPr>
        <w:footnoteReference w:id="26"/>
      </w:r>
      <w:r>
        <w:rPr>
          <w:rFonts w:ascii="Times New Roman" w:hAnsi="Times New Roman" w:hint="cs"/>
          <w:lang w:bidi="fa-IR"/>
          <w:rtl/>
        </w:rPr>
        <w:t>، ۱۹۶۸).</w:t>
      </w:r>
    </w:p>
    <w:p w14:paraId="4AC40FF0"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8" w:name="_Toc238572030"/>
      <w:r>
        <w:rPr>
          <w:rFonts w:ascii="Times New Roman" w:hAnsi="Times New Roman" w:cs="B Titr" w:eastAsia="Times New Roman"/>
          <w:b/>
          <w:bCs/>
          <w:color w:val="000000"/>
          <w:sz w:val="30"/>
          <w:szCs w:val="30"/>
          <w:rtl w:val="1"/>
          <w:cs w:val="1"/>
          <w:lang w:bidi="fa-IR"/>
        </w:rPr>
        <w:t xml:space="preserve">۲-۱-۲-۳-۳- نظریه مبادله یا تعامل</w:t>
      </w:r>
      <w:bookmarkEnd w:id="38"/>
    </w:p>
    <w:p w14:paraId="5EA435A4" w14:textId="77777777">
      <w:pPr>
        <w:bidi w:val="1"/>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eastAsia="Times New Roman" w:cs="Times New Roman"/>
          <w:lang w:bidi="fa-IR" w:val="en-US"/>
          <w:sz w:val="20"/>
          <w:szCs w:val="20"/>
          <w:vertAlign w:val="superscript"/>
          <w:rtl w:val="0"/>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9" w:name="_Toc238572031"/>
      <w:r>
        <w:rPr>
          <w:rFonts w:ascii="Times New Roman" w:hAnsi="Times New Roman" w:cs="B Titr" w:eastAsia="Times New Roman"/>
          <w:b/>
          <w:bCs/>
          <w:color w:val="000000"/>
          <w:sz w:val="30"/>
          <w:szCs w:val="30"/>
          <w:rtl w:val="1"/>
          <w:cs w:val="1"/>
          <w:lang w:bidi="fa-IR"/>
        </w:rPr>
        <w:t xml:space="preserve">۲-۱-۲-۳-۴- نظریه استمرار</w:t>
      </w:r>
      <w:bookmarkEnd w:id="39"/>
    </w:p>
    <w:p w14:paraId="1A70B65D" w14:textId="77777777">
      <w:pPr>
        <w:bidi w:val="1"/>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eastAsia="Times New Roman" w:cs="Times New Roman"/>
          <w:lang w:bidi="fa-IR" w:val="en-US"/>
          <w:sz w:val="20"/>
          <w:szCs w:val="20"/>
          <w:vertAlign w:val="superscript"/>
          <w:rtl w:val="0"/>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Style w:val="FootnoteReference"/>
          <w:rFonts w:ascii="Times New Roman" w:eastAsia="Times New Roman" w:hAnsi="Times New Roman" w:hint="cs" w:cs="Times New Roman"/>
          <w:lang w:bidi="fa-IR" w:val="en-US"/>
          <w:sz w:val="20"/>
          <w:szCs w:val="20"/>
          <w:vertAlign w:val="superscript"/>
          <w:rtl w:val="0"/>
        </w:rPr>
        <w:footnoteReference w:id="23"/>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0" w:name="_Toc238572032"/>
      <w:r>
        <w:rPr>
          <w:rFonts w:ascii="Times New Roman" w:hAnsi="Times New Roman" w:cs="B Titr" w:eastAsia="Times New Roman"/>
          <w:b/>
          <w:bCs/>
          <w:color w:val="000000"/>
          <w:sz w:val="30"/>
          <w:szCs w:val="30"/>
          <w:rtl w:val="1"/>
          <w:cs w:val="1"/>
          <w:lang w:bidi="fa-IR"/>
        </w:rPr>
        <w:t>۲-۲- گستره دوم: اضطراب مرگ</w:t>
      </w:r>
      <w:bookmarkEnd w:id="40"/>
    </w:p>
    <w:p>
      <w:pPr>
        <w:jc w:val="center"/>
        <w:bidi w:val="0"/>
      </w:pPr>
      <w:r>
        <w:drawing>
          <wp:inline distT="0" distB="0" distL="0" distR="0">
            <wp:extent cx="5669280" cy="3063240"/>
            <wp:effectExtent l="0" t="0" r="0" b="0"/>
            <wp:docPr id="220"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r>
                            <w:rPr>
                              <w:rFonts w:ascii="Times New Roman" w:hAnsi="Times New Roman" w:eastAsia="Times New Roman" w:cs="Times New Roman"/>
                              <w:rStyle w:val="FootnoteReference"/>
                              <w:sz w:val="20"/>
                              <w:szCs w:val="20"/>
                              <w:vertAlign w:val="superscript"/>
                              <w:rtl w:val="0"/>
                              <w:cs w:val="0"/>
                              <w:lang w:val="en-US"/>
                            </w:rPr>
                            <w:footnoteReference w:id="42"/>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r>
                            <w:rPr>
                              <w:rFonts w:ascii="Times New Roman" w:hAnsi="Times New Roman" w:eastAsia="Times New Roman" w:cs="Times New Roman"/>
                              <w:rStyle w:val="FootnoteReference"/>
                              <w:sz w:val="20"/>
                              <w:szCs w:val="20"/>
                              <w:vertAlign w:val="superscript"/>
                              <w:rtl w:val="0"/>
                              <w:cs w:val="0"/>
                              <w:lang w:val="en-US"/>
                            </w:rPr>
                            <w:footnoteReference w:id="43"/>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۲- درختواره اضطراب مرگ (نظریه‌ها، ابعاد، عوامل و پیامدها)</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1" w:name="_Toc238572033"/>
      <w:r>
        <w:rPr>
          <w:rFonts w:ascii="Times New Roman" w:hAnsi="Times New Roman" w:cs="B Titr" w:eastAsia="Times New Roman"/>
          <w:b/>
          <w:bCs/>
          <w:color w:val="000000"/>
          <w:sz w:val="30"/>
          <w:szCs w:val="30"/>
          <w:rtl w:val="1"/>
          <w:cs w:val="1"/>
          <w:lang w:bidi="fa-IR"/>
        </w:rPr>
        <w:t>۲-۲-۱- مفهوم اضطراب مرگ</w:t>
      </w:r>
      <w:bookmarkEnd w:id="41"/>
    </w:p>
    <w:p w14:paraId="5473E586"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30"/>
      </w:r>
      <w:r>
        <w:rPr>
          <w:rFonts w:ascii="Times New Roman" w:hAnsi="Times New Roman" w:hint="cs"/>
          <w:lang w:bidi="fa-IR"/>
          <w:rtl/>
        </w:rPr>
        <w:t xml:space="preserve"> و همکاران، ۲۰۲۳).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این یافته‌ها، آزمون‌های جدیدتر نظریه مدیریت وحشت نشان می‌دهند که برجسته شدن فناپذیری ــ </w:t>
      </w:r>
      <w:r>
        <w:rPr>
          <w:rFonts w:ascii="Times New Roman" w:hAnsi="Times New Roman" w:eastAsia="Times New Roman" w:cs="B Lotus"/>
          <w:sz w:val="28"/>
          <w:szCs w:val="28"/>
          <w:rtl/>
          <w:cs/>
          <w:lang w:bidi="fa-IR" w:val="en-US"/>
        </w:rPr>
        <w:t>مانند</w:t>
      </w:r>
      <w:r>
        <w:rPr>
          <w:rFonts w:ascii="Times New Roman" w:hAnsi="Times New Roman" w:eastAsia="Times New Roman" w:cs="B Lotus"/>
          <w:sz w:val="28"/>
          <w:szCs w:val="28"/>
          <w:rtl/>
          <w:cs/>
          <w:lang w:bidi="fa-IR" w:val="en-US"/>
        </w:rPr>
        <w:t xml:space="preserve">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Fonts w:ascii="Times New Roman" w:eastAsia="Times New Roman" w:hAnsi="Times New Roman" w:hint="cs" w:cs="Times New Roman"/>
          <w:lang w:bidi="fa-IR" w:val="en-US"/>
          <w:sz w:val="20"/>
          <w:szCs w:val="20"/>
          <w:vertAlign w:val="superscript"/>
          <w:rtl w:val="0"/>
        </w:rPr>
        <w:footnoteReference w:id="121"/>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3" w:name="_Toc238572034"/>
      <w:r>
        <w:rPr>
          <w:rFonts w:ascii="Times New Roman" w:hAnsi="Times New Roman" w:cs="B Titr" w:eastAsia="Times New Roman"/>
          <w:b/>
          <w:bCs/>
          <w:color w:val="000000"/>
          <w:sz w:val="30"/>
          <w:szCs w:val="30"/>
          <w:rtl w:val="1"/>
          <w:cs w:val="1"/>
          <w:lang w:bidi="fa-IR"/>
        </w:rPr>
        <w:lastRenderedPageBreak/>
        <w:t xml:space="preserve">۲-۲-۲- </w:t>
      </w:r>
      <w:r>
        <w:rPr>
          <w:rFonts w:ascii="Times New Roman" w:hAnsi="Times New Roman" w:cs="B Titr" w:eastAsia="Times New Roman"/>
          <w:b/>
          <w:bCs/>
          <w:color w:val="000000"/>
          <w:sz w:val="30"/>
          <w:szCs w:val="30"/>
          <w:rtl w:val="1"/>
          <w:cs w:val="1"/>
          <w:lang w:bidi="fa-IR"/>
        </w:rPr>
        <w:t>نظریه‌های</w:t>
      </w:r>
      <w:r>
        <w:rPr>
          <w:rFonts w:ascii="Times New Roman" w:hAnsi="Times New Roman" w:cs="B Titr" w:eastAsia="Times New Roman"/>
          <w:b/>
          <w:bCs/>
          <w:color w:val="000000"/>
          <w:sz w:val="30"/>
          <w:szCs w:val="30"/>
          <w:rtl w:val="1"/>
          <w:cs w:val="1"/>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4" w:name="_Toc238572035"/>
      <w:r>
        <w:rPr>
          <w:rFonts w:ascii="Times New Roman" w:hAnsi="Times New Roman" w:cs="B Titr" w:eastAsia="Times New Roman"/>
          <w:b/>
          <w:bCs/>
          <w:color w:val="000000"/>
          <w:sz w:val="30"/>
          <w:szCs w:val="30"/>
          <w:rtl w:val="1"/>
          <w:cs w:val="1"/>
          <w:lang w:bidi="fa-IR"/>
        </w:rPr>
        <w:t>۲-۲-۲-۱- نظریه فروید (</w:t>
      </w:r>
      <w:r>
        <w:rPr>
          <w:rFonts w:ascii="Times New Roman" w:hAnsi="Times New Roman" w:cs="B Titr" w:eastAsia="Times New Roman"/>
          <w:b/>
          <w:bCs/>
          <w:color w:val="000000"/>
          <w:sz w:val="30"/>
          <w:szCs w:val="30"/>
          <w:rtl w:val="1"/>
          <w:cs w:val="1"/>
          <w:lang w:bidi="fa-IR"/>
        </w:rPr>
        <w:t>روان‌تحلیل‌گری</w:t>
      </w:r>
      <w:r>
        <w:rPr>
          <w:rFonts w:ascii="Times New Roman" w:hAnsi="Times New Roman" w:cs="B Titr" w:eastAsia="Times New Roman"/>
          <w:b/>
          <w:bCs/>
          <w:color w:val="000000"/>
          <w:sz w:val="30"/>
          <w:szCs w:val="30"/>
          <w:rtl w:val="1"/>
          <w:cs w:val="1"/>
          <w:lang w:bidi="fa-IR"/>
        </w:rPr>
        <w:t>)</w:t>
      </w:r>
      <w:bookmarkEnd w:id="44"/>
    </w:p>
    <w:p w14:paraId="49CE6BEC" w14:textId="77777777">
      <w:pPr>
        <w:bidi w:val="1"/>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پژوهش‌های متأخر کمتر از تبیین کاملاً ناهشیار فروید</w:t>
      </w:r>
      <w:r>
        <w:rPr>
          <w:rFonts w:ascii="Times New Roman" w:hAnsi="Times New Roman" w:eastAsia="Times New Roman" w:cs="B Lotus"/>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xml:space="preserve"> و منزیس</w:t>
      </w:r>
      <w:r>
        <w:rPr>
          <w:rFonts w:ascii="Times New Roman" w:hAnsi="Times New Roman" w:eastAsia="Times New Roman" w:cs="B Lotus"/>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6" w:name="_Toc238572036"/>
      <w:r>
        <w:rPr>
          <w:rFonts w:ascii="Times New Roman" w:hAnsi="Times New Roman" w:cs="B Titr" w:eastAsia="Times New Roman"/>
          <w:b/>
          <w:bCs/>
          <w:color w:val="000000"/>
          <w:sz w:val="30"/>
          <w:szCs w:val="30"/>
          <w:rtl w:val="1"/>
          <w:cs w:val="1"/>
          <w:lang w:bidi="fa-IR"/>
        </w:rPr>
        <w:t xml:space="preserve">۲-۲-۲-۲- نظریه </w:t>
      </w:r>
      <w:r>
        <w:rPr>
          <w:rFonts w:ascii="Times New Roman" w:hAnsi="Times New Roman" w:cs="B Titr" w:eastAsia="Times New Roman"/>
          <w:b/>
          <w:bCs/>
          <w:color w:val="000000"/>
          <w:sz w:val="30"/>
          <w:szCs w:val="30"/>
          <w:rtl w:val="1"/>
          <w:cs w:val="1"/>
          <w:lang w:bidi="fa-IR"/>
        </w:rPr>
        <w:t>یالوم</w:t>
      </w:r>
      <w:r>
        <w:rPr>
          <w:rFonts w:ascii="Times New Roman" w:hAnsi="Times New Roman" w:cs="B Titr" w:eastAsia="Times New Roman"/>
          <w:b/>
          <w:bCs/>
          <w:color w:val="000000"/>
          <w:sz w:val="30"/>
          <w:szCs w:val="30"/>
          <w:rtl w:val="1"/>
          <w:cs w:val="1"/>
          <w:lang w:bidi="fa-IR"/>
        </w:rPr>
        <w:t xml:space="preserve"> (</w:t>
      </w:r>
      <w:r>
        <w:rPr>
          <w:rFonts w:ascii="Times New Roman" w:hAnsi="Times New Roman" w:cs="B Titr" w:eastAsia="Times New Roman"/>
          <w:b/>
          <w:bCs/>
          <w:color w:val="000000"/>
          <w:sz w:val="30"/>
          <w:szCs w:val="30"/>
          <w:rtl w:val="1"/>
          <w:cs w:val="1"/>
          <w:lang w:bidi="fa-IR"/>
        </w:rPr>
        <w:t>وجودگرایی</w:t>
      </w:r>
      <w:r>
        <w:rPr>
          <w:rFonts w:ascii="Times New Roman" w:hAnsi="Times New Roman" w:cs="B Titr" w:eastAsia="Times New Roman"/>
          <w:b/>
          <w:bCs/>
          <w:color w:val="000000"/>
          <w:sz w:val="30"/>
          <w:szCs w:val="30"/>
          <w:rtl w:val="1"/>
          <w:cs w:val="1"/>
          <w:lang w:bidi="fa-IR"/>
        </w:rPr>
        <w:t>)</w:t>
      </w:r>
      <w:bookmarkEnd w:id="46"/>
    </w:p>
    <w:p w14:paraId="4FE7C253" w14:textId="77777777">
      <w:pPr>
        <w:bidi w:val="1"/>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رویکردهای وجودی معاصر همچنان بر چهار دغدغه یالوم</w:t>
      </w:r>
      <w:r>
        <w:rPr>
          <w:rFonts w:ascii="Times New Roman" w:hAnsi="Times New Roman" w:eastAsia="Times New Roman" w:cs="B Lotus"/>
          <w:sz w:val="28"/>
          <w:szCs w:val="28"/>
          <w:rtl/>
          <w:cs/>
          <w:lang w:bidi="fa-IR" w:val="en-US"/>
        </w:rPr>
        <w:t xml:space="preserve"> تأکید دارند؛ در کنار آن، نظریه مدیریت معنا</w:t>
      </w:r>
      <w:r>
        <w:rPr>
          <w:rStyle w:val="FootnoteReference"/>
          <w:rFonts w:ascii="Times New Roman" w:eastAsia="Times New Roman" w:hAnsi="Times New Roman" w:hint="cs" w:cs="Times New Roman"/>
          <w:lang w:bidi="fa-IR" w:val="en-US"/>
          <w:sz w:val="20"/>
          <w:szCs w:val="20"/>
          <w:vertAlign w:val="superscript"/>
          <w:rtl w:val="0"/>
        </w:rPr>
        <w:footnoteReference w:id="124"/>
      </w:r>
      <w:r>
        <w:rPr>
          <w:rFonts w:ascii="Times New Roman" w:hAnsi="Times New Roman" w:eastAsia="Times New Roman" w:cs="B Lotus"/>
          <w:sz w:val="28"/>
          <w:szCs w:val="28"/>
          <w:rtl/>
          <w:cs/>
          <w:lang w:bidi="fa-IR" w:val="en-US"/>
        </w:rPr>
        <w:t xml:space="preserve"> بیان می‌کند که معناجویی و پذیرش مرگ، مسیر سازگاری سالم‌تر در مواجهه با فناپذیری است (وانگ</w:t>
      </w:r>
      <w:r>
        <w:rPr>
          <w:rStyle w:val="FootnoteReference"/>
          <w:rFonts w:ascii="Times New Roman" w:eastAsia="Times New Roman" w:hAnsi="Times New Roman" w:hint="cs" w:cs="Times New Roman"/>
          <w:lang w:bidi="fa-IR" w:val="en-US"/>
          <w:sz w:val="20"/>
          <w:szCs w:val="20"/>
          <w:vertAlign w:val="superscript"/>
          <w:rtl w:val="0"/>
        </w:rPr>
        <w:footnoteReference w:id="125"/>
      </w:r>
      <w:r>
        <w:rPr>
          <w:rFonts w:ascii="Times New Roman" w:hAnsi="Times New Roman" w:eastAsia="Times New Roman" w:cs="B Lotus"/>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8" w:name="_Toc238572037"/>
      <w:r>
        <w:rPr>
          <w:rFonts w:ascii="Times New Roman" w:hAnsi="Times New Roman" w:cs="B Titr" w:eastAsia="Times New Roman"/>
          <w:b/>
          <w:bCs/>
          <w:color w:val="000000"/>
          <w:sz w:val="30"/>
          <w:szCs w:val="30"/>
          <w:rtl w:val="1"/>
          <w:cs w:val="1"/>
          <w:lang w:bidi="fa-IR"/>
        </w:rPr>
        <w:t>۲-۲-۲-۳- نظریه مدیریت وحشت (</w:t>
      </w:r>
      <w:r>
        <w:rPr>
          <w:rFonts w:ascii="Times New Roman" w:hAnsi="Times New Roman" w:cs="B Titr" w:eastAsia="Times New Roman"/>
          <w:b/>
          <w:bCs/>
          <w:color w:val="000000"/>
          <w:sz w:val="30"/>
          <w:szCs w:val="30"/>
          <w:rtl w:val="1"/>
          <w:cs w:val="1"/>
          <w:lang w:bidi="fa-IR" w:val="en-US"/>
        </w:rPr>
        <w:t>TMT)</w:t>
      </w:r>
      <w:bookmarkEnd w:id="48"/>
    </w:p>
    <w:p w14:paraId="4B5542D5" w14:textId="77777777">
      <w:pPr>
        <w:bidi w:val="1"/>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Fonts w:ascii="Times New Roman" w:eastAsia="Times New Roman" w:hAnsi="Times New Roman" w:hint="cs" w:cs="Times New Roman"/>
          <w:lang w:bidi="fa-IR" w:val="en-US"/>
          <w:sz w:val="20"/>
          <w:szCs w:val="20"/>
          <w:vertAlign w:val="superscript"/>
          <w:rtl w:val="0"/>
        </w:rPr>
        <w:footnoteReference w:id="121"/>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9" w:name="_Toc238572038"/>
      <w:r>
        <w:rPr>
          <w:rFonts w:ascii="Times New Roman" w:hAnsi="Times New Roman" w:cs="B Titr" w:eastAsia="Times New Roman"/>
          <w:b/>
          <w:bCs/>
          <w:color w:val="000000"/>
          <w:sz w:val="30"/>
          <w:szCs w:val="30"/>
          <w:rtl w:val="1"/>
          <w:cs w:val="1"/>
          <w:lang w:bidi="fa-IR"/>
        </w:rPr>
        <w:t>۲-۲-۲-۴- نظریه دلبستگی</w:t>
      </w:r>
      <w:bookmarkEnd w:id="49"/>
    </w:p>
    <w:p>
      <w:pPr>
        <w:bidi w:val="1"/>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xml:space="preserve">، </w:t>
      </w:r>
      <w:r>
        <w:rPr>
          <w:rFonts w:ascii="Times New Roman" w:hAnsi="Times New Roman" w:hint="cs"/>
          <w:lang w:bidi="fa-IR"/>
          <w:rtl/>
        </w:rPr>
        <w:t>مانند</w:t>
      </w:r>
      <w:r>
        <w:rPr>
          <w:rFonts w:ascii="Times New Roman" w:hAnsi="Times New Roman" w:hint="cs"/>
          <w:lang w:bidi="fa-IR"/>
          <w:rtl/>
        </w:rPr>
        <w:t xml:space="preserve">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0" w:name="_Toc238572039"/>
      <w:r>
        <w:rPr>
          <w:rFonts w:ascii="Times New Roman" w:hAnsi="Times New Roman" w:cs="B Titr" w:eastAsia="Times New Roman"/>
          <w:b/>
          <w:bCs/>
          <w:color w:val="000000"/>
          <w:sz w:val="30"/>
          <w:szCs w:val="30"/>
          <w:rtl w:val="1"/>
          <w:cs w:val="1"/>
          <w:lang w:bidi="fa-IR"/>
        </w:rPr>
        <w:lastRenderedPageBreak/>
        <w:t>۲-۲-۳- ابعاد اضطراب مرگ</w:t>
      </w:r>
      <w:bookmarkEnd w:id="50"/>
    </w:p>
    <w:p>
      <w:pPr>
        <w:bidi w:val="1"/>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w:t>
      </w:r>
      <w:r>
        <w:rPr>
          <w:rFonts w:ascii="Times New Roman" w:hAnsi="Times New Roman" w:hint="cs"/>
          <w:lang w:bidi="fa-IR"/>
          <w:rtl/>
        </w:rPr>
        <w:t>نظیر</w:t>
      </w:r>
      <w:r>
        <w:rPr>
          <w:rFonts w:ascii="Times New Roman" w:hAnsi="Times New Roman" w:hint="cs"/>
          <w:lang w:bidi="fa-IR"/>
          <w:rtl/>
        </w:rPr>
        <w:t xml:space="preserve">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1" w:name="_Toc238572040"/>
      <w:r>
        <w:rPr>
          <w:rFonts w:ascii="Times New Roman" w:hAnsi="Times New Roman" w:cs="B Titr" w:eastAsia="Times New Roman"/>
          <w:b/>
          <w:bCs/>
          <w:color w:val="000000"/>
          <w:sz w:val="30"/>
          <w:szCs w:val="30"/>
          <w:rtl w:val="1"/>
          <w:cs w:val="1"/>
          <w:lang w:bidi="fa-IR"/>
        </w:rPr>
        <w:t>۲-۲-۴- عوامل مؤثر بر اضطراب مرگ در سالمندان</w:t>
      </w:r>
      <w:bookmarkEnd w:id="51"/>
    </w:p>
    <w:p w14:paraId="14442CB0"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2" w:name="_Toc238572041"/>
      <w:r>
        <w:rPr>
          <w:rFonts w:ascii="Times New Roman" w:hAnsi="Times New Roman" w:cs="B Titr" w:eastAsia="Times New Roman"/>
          <w:b/>
          <w:bCs/>
          <w:color w:val="000000"/>
          <w:sz w:val="30"/>
          <w:szCs w:val="30"/>
          <w:rtl w:val="1"/>
          <w:cs w:val="1"/>
          <w:lang w:bidi="fa-IR"/>
        </w:rPr>
        <w:t>۲-۲-۵- اضطراب مرگ و سالمندی</w:t>
      </w:r>
      <w:bookmarkEnd w:id="52"/>
    </w:p>
    <w:p w14:paraId="4A610D42" w14:textId="77777777">
      <w:pPr>
        <w:bidi w:val="1"/>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35"/>
      </w:r>
      <w:r>
        <w:rPr>
          <w:rFonts w:ascii="Times New Roman" w:hAnsi="Times New Roman" w:hint="cs"/>
          <w:lang w:bidi="fa-IR"/>
          <w:rtl/>
        </w:rPr>
        <w:t>، ۱۹۹۴).</w:t>
      </w:r>
    </w:p>
    <w:p>
      <w:pPr>
        <w:bidi w:val="1"/>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w:t>
      </w:r>
      <w:r>
        <w:rPr>
          <w:rFonts w:ascii="Times New Roman" w:hAnsi="Times New Roman" w:hint="cs"/>
          <w:lang w:bidi="fa-IR"/>
          <w:rtl/>
        </w:rPr>
        <w:t>افزون بر این</w:t>
      </w:r>
      <w:r>
        <w:rPr>
          <w:rFonts w:ascii="Times New Roman" w:hAnsi="Times New Roman" w:hint="cs"/>
          <w:lang w:bidi="fa-IR"/>
          <w:rtl/>
        </w:rPr>
        <w:t xml:space="preserve">،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37"/>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3" w:name="_Toc238572042"/>
      <w:r>
        <w:rPr>
          <w:rFonts w:ascii="Times New Roman" w:hAnsi="Times New Roman" w:cs="B Titr" w:eastAsia="Times New Roman"/>
          <w:b/>
          <w:bCs/>
          <w:color w:val="000000"/>
          <w:sz w:val="30"/>
          <w:szCs w:val="30"/>
          <w:rtl w:val="1"/>
          <w:cs w:val="1"/>
          <w:lang w:bidi="fa-IR"/>
        </w:rPr>
        <w:t>۲-۲-۶- پیامدهای اضطراب مرگ</w:t>
      </w:r>
      <w:bookmarkEnd w:id="53"/>
    </w:p>
    <w:p>
      <w:pPr>
        <w:bidi w:val="1"/>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w:t>
      </w:r>
      <w:r>
        <w:rPr>
          <w:rFonts w:ascii="Times New Roman" w:hAnsi="Times New Roman" w:hint="cs"/>
          <w:lang w:bidi="fa-IR"/>
          <w:rtl/>
        </w:rPr>
        <w:t>نظیر</w:t>
      </w:r>
      <w:r>
        <w:rPr>
          <w:rFonts w:ascii="Times New Roman" w:hAnsi="Times New Roman" w:hint="cs"/>
          <w:lang w:bidi="fa-IR"/>
          <w:rtl/>
        </w:rPr>
        <w:t>:</w:t>
      </w:r>
    </w:p>
    <w:p w14:paraId="0B463209"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bidi w:val="1"/>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xml:space="preserve"> و منزیس</w:t>
      </w:r>
      <w:r>
        <w:rPr>
          <w:rFonts w:ascii="Times New Roman" w:hAnsi="Times New Roman" w:eastAsia="Times New Roman" w:cs="B Lotus"/>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5" w:name="_Toc238572043"/>
      <w:r>
        <w:rPr>
          <w:rFonts w:ascii="Times New Roman" w:hAnsi="Times New Roman" w:cs="B Titr" w:eastAsia="Times New Roman"/>
          <w:b/>
          <w:bCs/>
          <w:color w:val="000000"/>
          <w:sz w:val="30"/>
          <w:szCs w:val="30"/>
          <w:rtl w:val="1"/>
          <w:cs w:val="1"/>
          <w:lang w:bidi="fa-IR"/>
        </w:rPr>
        <w:lastRenderedPageBreak/>
        <w:t>۲-۳- گستره سوم: هوش معنوی</w:t>
      </w:r>
      <w:bookmarkEnd w:id="55"/>
    </w:p>
    <w:p>
      <w:pPr>
        <w:jc w:val="center"/>
        <w:bidi w:val="0"/>
      </w:pPr>
      <w:r>
        <w:drawing>
          <wp:inline distT="0" distB="0" distL="0" distR="0">
            <wp:extent cx="5669280" cy="3246120"/>
            <wp:effectExtent l="0" t="0" r="0" b="0"/>
            <wp:docPr id="240"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r>
                            <w:rPr>
                              <w:rFonts w:ascii="Times New Roman" w:hAnsi="Times New Roman" w:eastAsia="Times New Roman" w:cs="Times New Roman"/>
                              <w:rStyle w:val="FootnoteReference"/>
                              <w:sz w:val="20"/>
                              <w:szCs w:val="20"/>
                              <w:vertAlign w:val="superscript"/>
                              <w:rtl w:val="0"/>
                              <w:cs w:val="0"/>
                              <w:lang w:val="en-US"/>
                            </w:rPr>
                            <w:footnoteReference w:id="36"/>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۳- درختواره هوش معنوی (مفهوم، فضیلت‌گرایی، عوامل و مدل چهارعاملی کینگ)</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7" w:name="_Toc238572044"/>
      <w:r>
        <w:rPr>
          <w:rFonts w:ascii="Times New Roman" w:hAnsi="Times New Roman" w:cs="B Titr" w:eastAsia="Times New Roman"/>
          <w:b/>
          <w:bCs/>
          <w:color w:val="000000"/>
          <w:sz w:val="30"/>
          <w:szCs w:val="30"/>
          <w:rtl w:val="1"/>
          <w:cs w:val="1"/>
          <w:lang w:bidi="fa-IR"/>
        </w:rPr>
        <w:t>۲-۳-۱- مفهوم هوش معنوی</w:t>
      </w:r>
      <w:bookmarkEnd w:id="57"/>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w:t>
      </w:r>
      <w:r>
        <w:rPr>
          <w:rFonts w:ascii="Times New Roman" w:eastAsia="Times New Roman" w:hAnsi="Times New Roman" w:hint="cs"/>
          <w:lang w:bidi="fa-IR"/>
          <w:rtl/>
        </w:rPr>
        <w:t>برای مثال</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0"/>
      </w:r>
      <w:r>
        <w:rPr>
          <w:rFonts w:ascii="Times New Roman" w:eastAsia="Times New Roman" w:hAnsi="Times New Roman" w:hint="cs"/>
          <w:lang w:bidi="fa-IR"/>
          <w:rtl/>
        </w:rPr>
        <w:t xml:space="preserve"> و همکاران، ۲۰۲۴).</w:t>
      </w:r>
    </w:p>
    <w:p w14:paraId="196F15DD"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val="1"/>
          <w:cs w:val="1"/>
          <w:lang w:bidi="fa-IR"/>
        </w:rPr>
        <w:t>۲-۳-۲- دیدگاه فضیلت گرایانه به هوش معنوی</w:t>
      </w:r>
      <w:bookmarkEnd w:id="59"/>
    </w:p>
    <w:p w14:paraId="6F06039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hAnsi="Times New Roman" w:eastAsia="Times New Roman" w:cs="B Lotus"/>
          <w:sz w:val="28"/>
          <w:szCs w:val="28"/>
          <w:rtl/>
          <w:cs/>
          <w:lang w:bidi="fa-IR" w:val="en-US"/>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Fonts w:ascii="Times New Roman" w:eastAsia="Times New Roman" w:hAnsi="Times New Roman" w:hint="cs" w:cs="Times New Roman"/>
          <w:lang w:bidi="fa-IR" w:val="en-US"/>
          <w:sz w:val="20"/>
          <w:szCs w:val="20"/>
          <w:vertAlign w:val="superscript"/>
          <w:rtl w:val="0"/>
        </w:rPr>
        <w:footnoteReference w:id="96"/>
      </w:r>
      <w:r>
        <w:rPr>
          <w:rFonts w:ascii="Times New Roman" w:hAnsi="Times New Roman" w:eastAsia="Times New Roman" w:cs="B Lotus"/>
          <w:sz w:val="28"/>
          <w:szCs w:val="28"/>
          <w:rtl/>
          <w:cs/>
          <w:lang w:bidi="fa-IR" w:val="en-US"/>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14:paraId="1877310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w:t>
      </w:r>
      <w:r>
        <w:rPr>
          <w:rFonts w:ascii="Times New Roman" w:eastAsia="Times New Roman" w:hAnsi="Times New Roman" w:hint="cs"/>
          <w:lang w:bidi="fa-IR"/>
          <w:rtl/>
        </w:rPr>
        <w:t>برای مثال</w:t>
      </w:r>
      <w:r>
        <w:rPr>
          <w:rFonts w:ascii="Times New Roman" w:eastAsia="Times New Roman" w:hAnsi="Times New Roman" w:hint="cs"/>
          <w:lang w:bidi="fa-IR"/>
          <w:rtl/>
        </w:rPr>
        <w:t xml:space="preserve">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bookmarkStart w:id="60" w:name="_Toc238572046"/>
      <w:r>
        <w:rPr>
          <w:rFonts w:ascii="Times New Roman" w:hAnsi="Times New Roman" w:cs="B Titr" w:eastAsia="Times New Roman"/>
          <w:b/>
          <w:bCs/>
          <w:color w:val="000000"/>
          <w:kern w:val="32"/>
          <w:sz w:val="30"/>
          <w:szCs w:val="30"/>
          <w:rtl w:val="1"/>
          <w:cs w:val="1"/>
          <w:lang w:bidi="fa-IR"/>
        </w:rPr>
        <w:t xml:space="preserve">۲-۳-۳- عوامل مؤثر بر هوش معنوی</w:t>
      </w:r>
      <w:bookmarkEnd w:id="58"/>
      <w:bookmarkEnd w:id="60"/>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w:t>
      </w:r>
      <w:r>
        <w:rPr>
          <w:rFonts w:ascii="Times New Roman" w:eastAsia="Times New Roman" w:hAnsi="Times New Roman" w:hint="cs"/>
          <w:lang w:bidi="fa-IR"/>
          <w:rtl/>
        </w:rPr>
        <w:t>افزون بر این</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43"/>
      </w:r>
      <w:r>
        <w:rPr>
          <w:rFonts w:ascii="Times New Roman" w:eastAsia="Times New Roman" w:hAnsi="Times New Roman" w:hint="cs"/>
          <w:lang w:bidi="fa-IR"/>
          <w:rtl/>
        </w:rPr>
        <w:t>.</w:t>
      </w:r>
    </w:p>
    <w:p w14:paraId="7D569BE6"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w:t>
      </w:r>
      <w:r>
        <w:rPr>
          <w:rFonts w:ascii="Times New Roman" w:eastAsia="Times New Roman" w:hAnsi="Times New Roman" w:hint="cs"/>
          <w:lang w:bidi="fa-IR"/>
          <w:rtl/>
        </w:rPr>
        <w:t>از این رو</w:t>
      </w:r>
      <w:r>
        <w:rPr>
          <w:rFonts w:ascii="Times New Roman" w:eastAsia="Times New Roman" w:hAnsi="Times New Roman" w:hint="cs"/>
          <w:lang w:bidi="fa-IR"/>
          <w:rtl/>
        </w:rPr>
        <w:t xml:space="preserve">،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w:t>
      </w:r>
      <w:r>
        <w:rPr>
          <w:rFonts w:ascii="Times New Roman" w:eastAsia="Times New Roman" w:hAnsi="Times New Roman" w:hint="cs"/>
          <w:lang w:bidi="fa-IR"/>
          <w:rtl/>
        </w:rPr>
        <w:t>از این رو</w:t>
      </w:r>
      <w:r>
        <w:rPr>
          <w:rFonts w:ascii="Times New Roman" w:eastAsia="Times New Roman" w:hAnsi="Times New Roman" w:hint="cs"/>
          <w:lang w:bidi="fa-IR"/>
          <w:rtl/>
        </w:rPr>
        <w:t xml:space="preserve">،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w:t>
      </w:r>
      <w:r>
        <w:rPr>
          <w:rFonts w:ascii="Times New Roman" w:eastAsia="Times New Roman" w:hAnsi="Times New Roman" w:hint="cs"/>
          <w:lang w:bidi="fa-IR"/>
          <w:rtl/>
        </w:rPr>
        <w:t>برای مثال</w:t>
      </w:r>
      <w:r>
        <w:rPr>
          <w:rFonts w:ascii="Times New Roman" w:eastAsia="Times New Roman" w:hAnsi="Times New Roman" w:hint="cs"/>
          <w:lang w:bidi="fa-IR"/>
          <w:rtl/>
        </w:rPr>
        <w:t xml:space="preserve">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w:t>
      </w:r>
      <w:r>
        <w:rPr>
          <w:rFonts w:ascii="Times New Roman" w:eastAsia="Times New Roman" w:hAnsi="Times New Roman" w:hint="cs"/>
          <w:lang w:bidi="fa-IR"/>
          <w:rtl/>
        </w:rPr>
        <w:t>در نتیجه</w:t>
      </w:r>
      <w:r>
        <w:rPr>
          <w:rFonts w:ascii="Times New Roman" w:eastAsia="Times New Roman" w:hAnsi="Times New Roman" w:hint="cs"/>
          <w:lang w:bidi="fa-IR"/>
          <w:rtl/>
        </w:rPr>
        <w:t xml:space="preserve">،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rPr>
          <w:rFonts w:ascii="Times New Roman" w:hAnsi="Times New Roman" w:eastAsia="Times New Roman" w:cs="B Titr"/>
          <w:rtl w:val="1"/>
          <w:cs w:val="1"/>
          <w:lang w:bidi="fa-IR" w:val="en-US"/>
        </w:rPr>
      </w:pPr>
      <w:bookmarkStart w:id="5003" w:name="_Toc238572201"/>
      <w:r>
        <w:rPr>
          <w:rFonts w:ascii="Times New Roman" w:hAnsi="Times New Roman" w:eastAsia="Times New Roman" w:cs="B Titr"/>
          <w:b/>
          <w:bCs/>
          <w:sz w:val="28"/>
          <w:szCs w:val="28"/>
          <w:rtl w:val="1"/>
          <w:cs w:val="1"/>
          <w:lang w:bidi="fa-IR" w:val="en-US"/>
        </w:rPr>
        <w:t>۲-۳-۴- مدل چهارعاملی هوش معنوی کینگ</w:t>
      </w:r>
      <w:bookmarkEnd w:id="5003"/>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hAnsi="Times New Roman" w:eastAsia="Times New Roman" w:cs="B Lotus"/>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w:t>
      </w:r>
      <w:r>
        <w:rPr>
          <w:rFonts w:ascii="Times New Roman" w:hAnsi="Times New Roman" w:eastAsia="Times New Roman" w:cs="B Lotus"/>
          <w:sz w:val="28"/>
          <w:szCs w:val="28"/>
          <w:rtl/>
          <w:cs/>
          <w:lang w:bidi="fa-IR" w:val="en-US"/>
        </w:rPr>
        <w:t xml:space="preserve"> و دی‌سیکو</w:t>
      </w:r>
      <w:r>
        <w:rPr>
          <w:rStyle w:val="FootnoteReference"/>
          <w:rFonts w:ascii="Times New Roman" w:eastAsia="Times New Roman" w:hAnsi="Times New Roman" w:hint="cs" w:cs="Times New Roman"/>
          <w:lang w:bidi="fa-IR" w:val="en-US"/>
          <w:sz w:val="20"/>
          <w:szCs w:val="20"/>
          <w:vertAlign w:val="superscript"/>
          <w:rtl w:val="0"/>
        </w:rPr>
        <w:footnoteReference w:id="126"/>
      </w:r>
      <w:r>
        <w:rPr>
          <w:rFonts w:ascii="Times New Roman" w:hAnsi="Times New Roman" w:eastAsia="Times New Roman" w:cs="B Lotus"/>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1" w:name="_Toc238572047"/>
      <w:r>
        <w:rPr>
          <w:rFonts w:ascii="Times New Roman" w:hAnsi="Times New Roman" w:cs="B Titr" w:eastAsia="Times New Roman"/>
          <w:b/>
          <w:bCs/>
          <w:color w:val="000000"/>
          <w:sz w:val="30"/>
          <w:szCs w:val="30"/>
          <w:rtl w:val="1"/>
          <w:cs w:val="1"/>
          <w:lang w:bidi="fa-IR"/>
        </w:rPr>
        <w:t>۲-۴- گستره چهارم: اضطراب سلامتی</w:t>
      </w:r>
      <w:bookmarkEnd w:id="61"/>
    </w:p>
    <w:p>
      <w:pPr>
        <w:jc w:val="center"/>
        <w:bidi w:val="0"/>
      </w:pPr>
      <w:r>
        <w:drawing>
          <wp:inline distT="0" distB="0" distL="0" distR="0">
            <wp:extent cx="5669280" cy="3154680"/>
            <wp:effectExtent l="0" t="0" r="0" b="0"/>
            <wp:docPr id="260" name="HealthAnxietyTree"/>
            <wp:cNvGraphicFramePr/>
            <ns2:graphic xmlns:ns2="http://schemas.openxmlformats.org/drawingml/2006/main">
              <ns2:graphicData uri="http://schemas.microsoft.com/office/word/2010/wordprocessingGroup">
                <wpg:wgp>
                  <wpg:cNvGrpSpPr/>
                  <wpg:grpSpPr>
                    <ns2:xfrm>
                      <ns2:off x="0" y="0"/>
                      <ns2:ext cx="5669280" cy="3154680"/>
                      <ns2:chOff x="0" y="0"/>
                      <ns2:chExt cx="5669280" cy="3154680"/>
                    </ns2:xfrm>
                  </wpg:grpSpPr>
                  <wps:wsp>
                    <wps:cNvSpPr txBox="1"/>
                    <wps:spPr>
                      <ns2:xfrm>
                        <ns2:off x="1554480" y="54864"/>
                        <ns2:ext cx="2560320" cy="402336"/>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سلامت</w:t>
                          </w:r>
                        </w:p>
                      </w:txbxContent>
                    </wps:txbx>
                    <wps:bodyPr anchor="ctr" lIns="36000" rIns="36000" tIns="18000" bIns="18000"/>
                  </wps:wsp>
                  <wps:wsp>
                    <wps:cNvSpPr txBox="1"/>
                    <wps:spPr>
                      <ns2:xfrm>
                        <ns2:off x="391363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مدل‌های نظری</w:t>
                          </w:r>
                        </w:p>
                      </w:txbxContent>
                    </wps:txbx>
                    <wps:bodyPr anchor="ctr" lIns="36000" rIns="36000" tIns="18000" bIns="18000"/>
                  </wps:wsp>
                  <wps:wsp>
                    <wps:cNvSpPr txBox="1"/>
                    <wps:spPr>
                      <ns2:xfrm>
                        <ns2:off x="16459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سالمندی</w:t>
                          </w:r>
                        </w:p>
                      </w:txbxContent>
                    </wps:txbx>
                    <wps:bodyPr anchor="ctr" lIns="36000" rIns="36000" tIns="18000" bIns="18000"/>
                  </wps:wsp>
                  <wps:wsp>
                    <wps:cNvSpPr txBox="1"/>
                    <wps:spPr>
                      <ns2:xfrm>
                        <ns2:off x="391363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شناختی-رفتاری</w:t>
                          </w:r>
                        </w:p>
                      </w:txbxContent>
                    </wps:txbx>
                    <wps:bodyPr anchor="ctr" lIns="36000" rIns="36000" tIns="18000" bIns="18000"/>
                  </wps:wsp>
                  <wps:wsp>
                    <wps:cNvSpPr txBox="1"/>
                    <wps:spPr>
                      <ns2:xfrm>
                        <ns2:off x="2029968"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زیستی-روانی-</w:t>
                          </w:r>
                        </w:p>
                        <w:p>
                          <w:pPr>
                            <w:jc w:val="center"/>
                            <w:bidi/>
                            <w:spacing w:after="0" w:before="0" w:line="240" w:lineRule="auto"/>
                          </w:pPr>
                          <w:r>
                            <w:rPr>
                              <w:rFonts w:ascii="Times New Roman" w:cs="B Lotus" w:hAnsi="Times New Roman"/>
                              <w:sz w:val="14"/>
                              <w:szCs w:val="14"/>
                              <w:color w:val="1F4E5F"/>
                              <w:rtl/>
                              <w:cs/>
                            </w:rPr>
                            <w:t>اجتماعی</w:t>
                          </w:r>
                        </w:p>
                      </w:txbxContent>
                    </wps:txbx>
                    <wps:bodyPr anchor="ctr" lIns="36000" rIns="36000" tIns="18000" bIns="18000"/>
                  </wps:wsp>
                  <wps:wsp>
                    <wps:cNvSpPr txBox="1"/>
                    <wps:spPr>
                      <ns2:xfrm>
                        <ns2:off x="16459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دلبستگی</w:t>
                          </w:r>
                        </w:p>
                      </w:txbxContent>
                    </wps:txbx>
                    <wps:bodyPr anchor="ctr" lIns="36000" rIns="36000" tIns="18000" bIns="18000"/>
                  </wps:wsp>
                  <wps:wsp>
                    <wps:cNvSpPr txBox="1"/>
                    <wps:spPr>
                      <ns2:xfrm>
                        <ns2:off x="301752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عوامل زمینه‌ساز</w:t>
                          </w:r>
                        </w:p>
                      </w:txbxContent>
                    </wps:txbx>
                    <wps:bodyPr anchor="ctr" lIns="36000" rIns="36000" tIns="18000" bIns="18000"/>
                  </wps:wsp>
                  <wps:wsp>
                    <wps:cNvSpPr txBox="1"/>
                    <wps:spPr>
                      <ns2:xfrm>
                        <ns2:off x="64008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مداخلات</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۴- درختواره اضطراب سلامت (مفهوم، مدل‌های نظری، عوامل و مداخلات)</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2" w:name="_Toc238572048"/>
      <w:r>
        <w:rPr>
          <w:rFonts w:ascii="Times New Roman" w:hAnsi="Times New Roman" w:cs="B Titr" w:eastAsia="Times New Roman"/>
          <w:b/>
          <w:bCs/>
          <w:color w:val="000000"/>
          <w:sz w:val="30"/>
          <w:szCs w:val="30"/>
          <w:rtl w:val="1"/>
          <w:cs w:val="1"/>
          <w:lang w:bidi="fa-IR"/>
        </w:rPr>
        <w:t>۲-۴-۱- مفهوم اضطراب سلامتی</w:t>
      </w:r>
      <w:bookmarkEnd w:id="62"/>
    </w:p>
    <w:p w14:paraId="6DCB5BA4"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44"/>
      </w:r>
      <w:r>
        <w:rPr>
          <w:rStyle w:val="FootnoteReference"/>
          <w:rFonts w:ascii="Times New Roman" w:hAnsi="Times New Roman" w:hint="cs" w:eastAsia="Times New Roman" w:cs="Times New Roman"/>
          <w:lang w:bidi="fa-IR" w:val="en-US"/>
          <w:sz w:val="20"/>
          <w:szCs w:val="20"/>
          <w:vertAlign w:val="superscript"/>
          <w:rtl w:val="0"/>
        </w:rPr>
        <w:footnoteReference w:id="45"/>
      </w:r>
      <w:r>
        <w:rPr>
          <w:rFonts w:ascii="Times New Roman" w:hAnsi="Times New Roman" w:hint="cs"/>
          <w:lang w:bidi="fa-IR"/>
          <w:rtl/>
        </w:rPr>
        <w:t>.</w:t>
      </w:r>
    </w:p>
    <w:p w14:paraId="2D87936C" w14:textId="77777777">
      <w:pPr>
        <w:bidi w:val="1"/>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46"/>
      </w:r>
      <w:r>
        <w:rPr>
          <w:rFonts w:ascii="Times New Roman" w:hAnsi="Times New Roman" w:hint="cs"/>
          <w:lang w:bidi="fa-IR"/>
          <w:rtl/>
        </w:rPr>
        <w:t>.</w:t>
      </w:r>
    </w:p>
    <w:p w14:paraId="452F5EFD"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bidi w:val="1"/>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Fonts w:ascii="Times New Roman" w:hAnsi="Times New Roman" w:eastAsia="Times New Roman" w:cs="B Lotus"/>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Style w:val="FootnoteReference"/>
          <w:rFonts w:ascii="Times New Roman" w:eastAsia="Times New Roman" w:hAnsi="Times New Roman" w:hint="cs" w:cs="Times New Roman"/>
          <w:lang w:bidi="fa-IR" w:val="en-US"/>
          <w:sz w:val="20"/>
          <w:szCs w:val="20"/>
          <w:vertAlign w:val="superscript"/>
          <w:rtl w:val="0"/>
        </w:rPr>
        <w:footnoteReference w:id="56"/>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۲۰۲۲؛ 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hAnsi="Times New Roman" w:eastAsia="Times New Roman" w:cs="B Lotus"/>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65" w:name="_Toc238572049"/>
      <w:r>
        <w:rPr>
          <w:rFonts w:ascii="Times New Roman" w:hAnsi="Times New Roman" w:cs="B Titr" w:eastAsia="Times New Roman"/>
          <w:b/>
          <w:bCs/>
          <w:color w:val="000000"/>
          <w:sz w:val="30"/>
          <w:szCs w:val="30"/>
          <w:rtl w:val="1"/>
          <w:cs w:val="1"/>
          <w:lang w:bidi="fa-IR"/>
        </w:rPr>
        <w:lastRenderedPageBreak/>
        <w:t xml:space="preserve">۲-۴-۲- </w:t>
      </w:r>
      <w:r>
        <w:rPr>
          <w:rFonts w:ascii="Times New Roman" w:hAnsi="Times New Roman" w:cs="B Titr" w:eastAsia="Times New Roman"/>
          <w:b/>
          <w:bCs/>
          <w:color w:val="000000"/>
          <w:sz w:val="30"/>
          <w:szCs w:val="30"/>
          <w:rtl w:val="1"/>
          <w:cs w:val="1"/>
          <w:lang w:bidi="fa-IR"/>
        </w:rPr>
        <w:t>مدل‌های</w:t>
      </w:r>
      <w:r>
        <w:rPr>
          <w:rFonts w:ascii="Times New Roman" w:hAnsi="Times New Roman" w:cs="B Titr" w:eastAsia="Times New Roman"/>
          <w:b/>
          <w:bCs/>
          <w:color w:val="000000"/>
          <w:sz w:val="30"/>
          <w:szCs w:val="30"/>
          <w:rtl w:val="1"/>
          <w:cs w:val="1"/>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7" w:name="_Toc238572050"/>
      <w:r>
        <w:rPr>
          <w:rFonts w:ascii="Times New Roman" w:hAnsi="Times New Roman" w:cs="B Titr" w:eastAsia="Times New Roman"/>
          <w:b/>
          <w:bCs/>
          <w:color w:val="000000"/>
          <w:sz w:val="30"/>
          <w:szCs w:val="30"/>
          <w:rtl w:val="1"/>
          <w:cs w:val="1"/>
          <w:lang w:bidi="fa-IR"/>
        </w:rPr>
        <w:t>۲-۴-۲-۱- مدل شناختی-رفتاری</w:t>
      </w:r>
      <w:bookmarkEnd w:id="67"/>
    </w:p>
    <w:p w14:paraId="456B13ED"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صورت‌بندی کلاسیک این مدل را سالکوویس</w:t>
      </w:r>
      <w:r>
        <w:rPr>
          <w:rStyle w:val="FootnoteReference"/>
          <w:rFonts w:ascii="Times New Roman" w:eastAsia="Times New Roman" w:hAnsi="Times New Roman" w:hint="cs" w:cs="Times New Roman"/>
          <w:lang w:bidi="fa-IR" w:val="en-US"/>
          <w:sz w:val="20"/>
          <w:szCs w:val="20"/>
          <w:vertAlign w:val="superscript"/>
          <w:rtl w:val="0"/>
        </w:rPr>
        <w:footnoteReference w:id="87"/>
      </w:r>
      <w:r>
        <w:rPr>
          <w:rFonts w:ascii="Times New Roman" w:hAnsi="Times New Roman" w:eastAsia="Times New Roman" w:cs="B Lotus"/>
          <w:sz w:val="28"/>
          <w:szCs w:val="28"/>
          <w:rtl/>
          <w:cs/>
          <w:lang w:bidi="fa-IR" w:val="en-US"/>
        </w:rPr>
        <w:t xml:space="preserve"> و وارویک</w:t>
      </w:r>
      <w:r>
        <w:rPr>
          <w:rStyle w:val="FootnoteReference"/>
          <w:rFonts w:ascii="Times New Roman" w:eastAsia="Times New Roman" w:hAnsi="Times New Roman" w:hint="cs" w:cs="Times New Roman"/>
          <w:lang w:bidi="fa-IR" w:val="en-US"/>
          <w:sz w:val="20"/>
          <w:szCs w:val="20"/>
          <w:vertAlign w:val="superscript"/>
          <w:rtl w:val="0"/>
        </w:rPr>
        <w:footnoteReference w:id="127"/>
      </w:r>
      <w:r>
        <w:rPr>
          <w:rFonts w:ascii="Times New Roman" w:hAnsi="Times New Roman" w:eastAsia="Times New Roman" w:cs="B Lotus"/>
          <w:sz w:val="28"/>
          <w:szCs w:val="28"/>
          <w:rtl/>
          <w:cs/>
          <w:lang w:bidi="fa-IR" w:val="en-US"/>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۱- باور به احتمال بالا یا حتی قطعی بودن ابتلا به بیماری، یا وجود پنهان آن؛</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۲- باور به وحشتناکی پیامدهای بیماری؛</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۳- باور به ناتوانی فرد در مقابله با بیماری؛</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۴- باور به ناکافی‌بودن یا غیرقابل‌اعتماد بودن خدمات پزشکی (سالکوویس و وارویک، ۱۹۹۰؛ تیلور</w:t>
      </w:r>
      <w:r>
        <w:rPr>
          <w:rStyle w:val="FootnoteReference"/>
          <w:rFonts w:ascii="Times New Roman" w:eastAsia="Times New Roman" w:hAnsi="Times New Roman" w:hint="cs" w:cs="Times New Roman"/>
          <w:lang w:bidi="fa-IR" w:val="en-US"/>
          <w:sz w:val="20"/>
          <w:szCs w:val="20"/>
          <w:vertAlign w:val="superscript"/>
          <w:rtl w:val="0"/>
        </w:rPr>
        <w:footnoteReference w:id="54"/>
      </w:r>
      <w:r>
        <w:rPr>
          <w:rFonts w:ascii="Times New Roman" w:hAnsi="Times New Roman" w:eastAsia="Times New Roman" w:cs="B Lotus"/>
          <w:sz w:val="28"/>
          <w:szCs w:val="28"/>
          <w:rtl/>
          <w:cs/>
          <w:lang w:bidi="fa-IR" w:val="en-US"/>
        </w:rPr>
        <w:t xml:space="preserve"> و آسموندسون</w:t>
      </w:r>
      <w:r>
        <w:rPr>
          <w:rStyle w:val="FootnoteReference"/>
          <w:rFonts w:ascii="Times New Roman" w:eastAsia="Times New Roman" w:hAnsi="Times New Roman" w:hint="cs" w:cs="Times New Roman"/>
          <w:lang w:bidi="fa-IR" w:val="en-US"/>
          <w:sz w:val="20"/>
          <w:szCs w:val="20"/>
          <w:vertAlign w:val="superscript"/>
          <w:rtl w:val="0"/>
        </w:rPr>
        <w:footnoteReference w:id="49"/>
      </w:r>
      <w:r>
        <w:rPr>
          <w:rFonts w:ascii="Times New Roman" w:hAnsi="Times New Roman" w:eastAsia="Times New Roman" w:cs="B Lotus"/>
          <w:sz w:val="28"/>
          <w:szCs w:val="28"/>
          <w:rtl/>
          <w:cs/>
          <w:lang w:bidi="fa-IR" w:val="en-US"/>
        </w:rPr>
        <w:t>، ۲۰۲۱).</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Style w:val="FootnoteReference"/>
          <w:rFonts w:ascii="Times New Roman" w:eastAsia="Times New Roman" w:hAnsi="Times New Roman" w:hint="cs" w:cs="Times New Roman"/>
          <w:lang w:bidi="fa-IR" w:val="en-US"/>
          <w:sz w:val="20"/>
          <w:szCs w:val="20"/>
          <w:vertAlign w:val="superscript"/>
          <w:rtl w:val="0"/>
        </w:rPr>
        <w:footnoteReference w:id="128"/>
      </w:r>
      <w:r>
        <w:rPr>
          <w:rFonts w:ascii="Times New Roman" w:hAnsi="Times New Roman" w:eastAsia="Times New Roman" w:cs="B Lotus"/>
          <w:sz w:val="28"/>
          <w:szCs w:val="28"/>
          <w:rtl/>
          <w:cs/>
          <w:lang w:bidi="fa-IR" w:val="en-US"/>
        </w:rPr>
        <w:t xml:space="preserve"> و سالکووسکیس</w:t>
      </w:r>
      <w:r>
        <w:rPr>
          <w:rStyle w:val="FootnoteReference"/>
          <w:rFonts w:ascii="Times New Roman" w:eastAsia="Times New Roman" w:hAnsi="Times New Roman" w:hint="cs" w:cs="Times New Roman"/>
          <w:lang w:bidi="fa-IR" w:val="en-US"/>
          <w:sz w:val="20"/>
          <w:szCs w:val="20"/>
          <w:vertAlign w:val="superscript"/>
          <w:rtl w:val="0"/>
        </w:rPr>
        <w:footnoteReference w:id="87"/>
      </w:r>
      <w:r>
        <w:rPr>
          <w:rFonts w:ascii="Times New Roman" w:hAnsi="Times New Roman" w:eastAsia="Times New Roman" w:cs="B Lotus"/>
          <w:sz w:val="28"/>
          <w:szCs w:val="28"/>
          <w:rtl/>
          <w:cs/>
          <w:lang w:bidi="fa-IR" w:val="en-US"/>
        </w:rPr>
        <w:t>، ۲۰۲۳؛ 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hAnsi="Times New Roman" w:eastAsia="Times New Roman" w:cs="B Lotus"/>
          <w:sz w:val="28"/>
          <w:szCs w:val="28"/>
          <w:rtl/>
          <w:cs/>
          <w:lang w:bidi="fa-IR" w:val="en-US"/>
        </w:rPr>
        <w:t xml:space="preserve"> و همکاران، ۲۰۲۴؛ تیلور و آسموندسون، ۲۰۲۱).</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 xml:space="preserve">در سالمندی همین چرخه غالباً بر بستر نشانه‌های جسمانی واقعی، بیماری مزمن و مراجعات پزشکی مکرر عمل می‌کند؛ </w:t>
      </w:r>
      <w:r>
        <w:rPr>
          <w:rFonts w:ascii="Times New Roman" w:hAnsi="Times New Roman" w:eastAsia="Times New Roman" w:cs="B Lotus"/>
          <w:sz w:val="28"/>
          <w:szCs w:val="28"/>
          <w:rtl/>
          <w:cs/>
          <w:lang w:bidi="fa-IR" w:val="en-US"/>
        </w:rPr>
        <w:t>از این رو</w:t>
      </w:r>
      <w:r>
        <w:rPr>
          <w:rFonts w:ascii="Times New Roman" w:hAnsi="Times New Roman" w:eastAsia="Times New Roman" w:cs="B Lotus"/>
          <w:sz w:val="28"/>
          <w:szCs w:val="28"/>
          <w:rtl/>
          <w:cs/>
          <w:lang w:bidi="fa-IR" w:val="en-US"/>
        </w:rPr>
        <w:t xml:space="preserve">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Fonts w:ascii="Times New Roman" w:eastAsia="Times New Roman" w:hAnsi="Times New Roman" w:hint="cs" w:cs="Times New Roman"/>
          <w:lang w:bidi="fa-IR" w:val="en-US"/>
          <w:sz w:val="20"/>
          <w:szCs w:val="20"/>
          <w:vertAlign w:val="superscript"/>
          <w:rtl w:val="0"/>
        </w:rPr>
        <w:footnoteReference w:id="47"/>
      </w:r>
      <w:r>
        <w:rPr>
          <w:rFonts w:ascii="Times New Roman" w:hAnsi="Times New Roman" w:eastAsia="Times New Roman" w:cs="B Lotus"/>
          <w:sz w:val="28"/>
          <w:szCs w:val="28"/>
          <w:rtl/>
          <w:cs/>
          <w:lang w:bidi="fa-IR" w:val="en-US"/>
        </w:rPr>
        <w:t xml:space="preserve"> و برادوک</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۲۰۲۳؛ گولد</w:t>
      </w:r>
      <w:r>
        <w:rPr>
          <w:rStyle w:val="FootnoteReference"/>
          <w:rFonts w:ascii="Times New Roman" w:eastAsia="Times New Roman" w:hAnsi="Times New Roman" w:hint="cs" w:cs="Times New Roman"/>
          <w:lang w:bidi="fa-IR" w:val="en-US"/>
          <w:sz w:val="20"/>
          <w:szCs w:val="20"/>
          <w:vertAlign w:val="superscript"/>
          <w:rtl w:val="0"/>
        </w:rPr>
        <w:footnoteReference w:id="64"/>
      </w:r>
      <w:r>
        <w:rPr>
          <w:rFonts w:ascii="Times New Roman" w:hAnsi="Times New Roman" w:eastAsia="Times New Roman" w:cs="B Lotus"/>
          <w:sz w:val="28"/>
          <w:szCs w:val="28"/>
          <w:rtl/>
          <w:cs/>
          <w:lang w:bidi="fa-IR" w:val="en-US"/>
        </w:rPr>
        <w:t xml:space="preserve"> و همکاران، ۲۰۲۲؛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 بک</w:t>
      </w:r>
      <w:r>
        <w:rPr>
          <w:rStyle w:val="FootnoteReference"/>
          <w:rFonts w:ascii="Times New Roman" w:eastAsia="Times New Roman" w:hAnsi="Times New Roman" w:hint="cs" w:cs="Times New Roman"/>
          <w:lang w:bidi="fa-IR" w:val="en-US"/>
          <w:sz w:val="20"/>
          <w:szCs w:val="20"/>
          <w:vertAlign w:val="superscript"/>
          <w:rtl w:val="0"/>
        </w:rPr>
        <w:footnoteReference w:id="63"/>
      </w:r>
      <w:r>
        <w:rPr>
          <w:rFonts w:ascii="Times New Roman" w:hAnsi="Times New Roman" w:eastAsia="Times New Roman" w:cs="B Lotus"/>
          <w:sz w:val="28"/>
          <w:szCs w:val="28"/>
          <w:rtl/>
          <w:cs/>
          <w:lang w:bidi="fa-IR" w:val="en-US"/>
        </w:rPr>
        <w:t xml:space="preserve"> و هایگ</w:t>
      </w:r>
      <w:r>
        <w:rPr>
          <w:rStyle w:val="FootnoteReference"/>
          <w:rFonts w:ascii="Times New Roman" w:eastAsia="Times New Roman" w:hAnsi="Times New Roman" w:hint="cs" w:cs="Times New Roman"/>
          <w:lang w:bidi="fa-IR" w:val="en-US"/>
          <w:sz w:val="20"/>
          <w:szCs w:val="20"/>
          <w:vertAlign w:val="superscript"/>
          <w:rtl w:val="0"/>
        </w:rPr>
        <w:footnoteReference w:id="130"/>
      </w:r>
      <w:r>
        <w:rPr>
          <w:rFonts w:ascii="Times New Roman" w:hAnsi="Times New Roman" w:eastAsia="Times New Roman" w:cs="B Lotus"/>
          <w:sz w:val="28"/>
          <w:szCs w:val="28"/>
          <w:rtl/>
          <w:cs/>
          <w:lang w:bidi="fa-IR" w:val="en-US"/>
        </w:rPr>
        <w:t>، ۲۰۱۴).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Fonts w:ascii="Times New Roman" w:hAnsi="Times New Roman" w:eastAsia="Times New Roman" w:cs="B Lotus"/>
          <w:sz w:val="28"/>
          <w:szCs w:val="28"/>
          <w:rtl/>
          <w:cs/>
          <w:lang w:bidi="fa-IR" w:val="en-US"/>
        </w:rPr>
        <w:t xml:space="preserve"> و برادوک</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۲۰۲۳؛ انجمن روان‌شناسی آمریکا</w:t>
      </w:r>
      <w:r>
        <w:rPr>
          <w:rFonts w:ascii="Times New Roman" w:hAnsi="Times New Roman" w:eastAsia="Times New Roman" w:cs="B Lotus"/>
          <w:sz w:val="28"/>
          <w:szCs w:val="28"/>
          <w:rtl/>
          <w:cs/>
          <w:lang w:bidi="fa-IR" w:val="en-US"/>
        </w:rPr>
        <w:t>، ۲۰۲۳).</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9" w:name="_Toc238572051"/>
      <w:r>
        <w:rPr>
          <w:rFonts w:ascii="Times New Roman" w:hAnsi="Times New Roman" w:cs="B Titr" w:eastAsia="Times New Roman"/>
          <w:b/>
          <w:bCs/>
          <w:color w:val="000000"/>
          <w:sz w:val="30"/>
          <w:szCs w:val="30"/>
          <w:rtl w:val="1"/>
          <w:cs w:val="1"/>
          <w:lang w:bidi="fa-IR"/>
        </w:rPr>
        <w:t>۲-۴-۲-۲- مدل زیستی-روانی-اجتماعی</w:t>
      </w:r>
      <w:bookmarkEnd w:id="69"/>
    </w:p>
    <w:p>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w:t>
      </w:r>
      <w:r>
        <w:rPr>
          <w:rFonts w:ascii="Times New Roman" w:hAnsi="Times New Roman" w:hint="cs"/>
          <w:lang w:bidi="fa-IR"/>
          <w:rtl/>
        </w:rPr>
        <w:t>در نتیجه</w:t>
      </w:r>
      <w:r>
        <w:rPr>
          <w:rFonts w:ascii="Times New Roman" w:hAnsi="Times New Roman" w:hint="cs"/>
          <w:lang w:bidi="fa-IR"/>
          <w:rtl/>
        </w:rPr>
        <w:t xml:space="preserve">، بررسی </w:t>
      </w:r>
      <w:r>
        <w:rPr>
          <w:rFonts w:ascii="Times New Roman" w:hAnsi="Times New Roman" w:hint="cs"/>
          <w:lang w:bidi="fa-IR"/>
          <w:rtl/>
        </w:rPr>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Fonts w:ascii="Times New Roman" w:hAnsi="Times New Roman" w:eastAsia="Times New Roman" w:cs="B Lotus"/>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0" w:name="_Toc238572052"/>
      <w:r>
        <w:rPr>
          <w:rFonts w:ascii="Times New Roman" w:hAnsi="Times New Roman" w:cs="B Titr" w:eastAsia="Times New Roman"/>
          <w:b/>
          <w:bCs/>
          <w:color w:val="000000"/>
          <w:sz w:val="30"/>
          <w:szCs w:val="30"/>
          <w:rtl w:val="1"/>
          <w:cs w:val="1"/>
          <w:lang w:bidi="fa-IR"/>
        </w:rPr>
        <w:t>۲-۴-۲-۳- مدل دلبستگی</w:t>
      </w:r>
      <w:bookmarkEnd w:id="70"/>
    </w:p>
    <w:p w14:paraId="4B22398F"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48"/>
      </w:r>
      <w:r>
        <w:rPr>
          <w:rFonts w:ascii="Times New Roman" w:hAnsi="Times New Roman" w:hint="cs"/>
          <w:lang w:bidi="fa-IR"/>
          <w:rtl/>
        </w:rPr>
        <w:t>.</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Style w:val="FootnoteReference"/>
          <w:rFonts w:ascii="Times New Roman" w:eastAsia="Times New Roman" w:hAnsi="Times New Roman" w:hint="cs" w:cs="Times New Roman"/>
          <w:lang w:bidi="fa-IR" w:val="en-US"/>
          <w:sz w:val="20"/>
          <w:szCs w:val="20"/>
          <w:vertAlign w:val="superscript"/>
          <w:rtl w:val="0"/>
        </w:rPr>
        <w:footnoteReference w:id="131"/>
      </w:r>
      <w:r>
        <w:rPr>
          <w:rFonts w:ascii="Times New Roman" w:hAnsi="Times New Roman" w:eastAsia="Times New Roman" w:cs="B Lotus"/>
          <w:sz w:val="28"/>
          <w:szCs w:val="28"/>
          <w:rtl/>
          <w:cs/>
          <w:lang w:bidi="fa-IR" w:val="en-US"/>
        </w:rPr>
        <w:t xml:space="preserve"> و ایشیک</w:t>
      </w:r>
      <w:r>
        <w:rPr>
          <w:rStyle w:val="FootnoteReference"/>
          <w:rFonts w:ascii="Times New Roman" w:eastAsia="Times New Roman" w:hAnsi="Times New Roman" w:hint="cs" w:cs="Times New Roman"/>
          <w:lang w:bidi="fa-IR" w:val="en-US"/>
          <w:sz w:val="20"/>
          <w:szCs w:val="20"/>
          <w:vertAlign w:val="superscript"/>
          <w:rtl w:val="0"/>
        </w:rPr>
        <w:footnoteReference w:id="132"/>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نظریه دلبستگی بالبی</w:t>
      </w:r>
      <w:r>
        <w:rPr>
          <w:rStyle w:val="FootnoteReference"/>
          <w:rFonts w:ascii="Times New Roman" w:eastAsia="Times New Roman" w:hAnsi="Times New Roman" w:hint="cs" w:cs="Times New Roman"/>
          <w:lang w:bidi="fa-IR" w:val="en-US"/>
          <w:sz w:val="20"/>
          <w:szCs w:val="20"/>
          <w:vertAlign w:val="superscript"/>
          <w:rtl w:val="0"/>
        </w:rPr>
        <w:footnoteReference w:id="98"/>
      </w:r>
      <w:r>
        <w:rPr>
          <w:rFonts w:ascii="Times New Roman" w:hAnsi="Times New Roman" w:eastAsia="Times New Roman" w:cs="B Lotus"/>
          <w:sz w:val="28"/>
          <w:szCs w:val="28"/>
          <w:rtl/>
          <w:cs/>
          <w:lang w:bidi="fa-IR" w:val="en-US"/>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مدل بین‌فردی خودبیمارانگاری که استوارت</w:t>
      </w:r>
      <w:r>
        <w:rPr>
          <w:rStyle w:val="FootnoteReference"/>
          <w:rFonts w:ascii="Times New Roman" w:eastAsia="Times New Roman" w:hAnsi="Times New Roman" w:hint="cs" w:cs="Times New Roman"/>
          <w:lang w:bidi="fa-IR" w:val="en-US"/>
          <w:sz w:val="20"/>
          <w:szCs w:val="20"/>
          <w:vertAlign w:val="superscript"/>
          <w:rtl w:val="0"/>
        </w:rPr>
        <w:footnoteReference w:id="133"/>
      </w:r>
      <w:r>
        <w:rPr>
          <w:rFonts w:ascii="Times New Roman" w:hAnsi="Times New Roman" w:eastAsia="Times New Roman" w:cs="B Lotus"/>
          <w:sz w:val="28"/>
          <w:szCs w:val="28"/>
          <w:rtl/>
          <w:cs/>
          <w:lang w:bidi="fa-IR" w:val="en-US"/>
        </w:rPr>
        <w:t xml:space="preserve"> و نویز</w:t>
      </w:r>
      <w:r>
        <w:rPr>
          <w:rStyle w:val="FootnoteReference"/>
          <w:rFonts w:ascii="Times New Roman" w:eastAsia="Times New Roman" w:hAnsi="Times New Roman" w:hint="cs" w:cs="Times New Roman"/>
          <w:lang w:bidi="fa-IR" w:val="en-US"/>
          <w:sz w:val="20"/>
          <w:szCs w:val="20"/>
          <w:vertAlign w:val="superscript"/>
          <w:rtl w:val="0"/>
        </w:rPr>
        <w:footnoteReference w:id="85"/>
      </w:r>
      <w:r>
        <w:rPr>
          <w:rFonts w:ascii="Times New Roman" w:hAnsi="Times New Roman" w:eastAsia="Times New Roman" w:cs="B Lotus"/>
          <w:sz w:val="28"/>
          <w:szCs w:val="28"/>
          <w:rtl/>
          <w:cs/>
          <w:lang w:bidi="fa-IR" w:val="en-US"/>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w:t>
      </w:r>
      <w:r>
        <w:rPr>
          <w:rFonts w:ascii="Times New Roman" w:hAnsi="Times New Roman" w:eastAsia="Times New Roman" w:cs="B Lotus"/>
          <w:sz w:val="28"/>
          <w:szCs w:val="28"/>
          <w:rtl/>
          <w:cs/>
          <w:lang w:bidi="fa-IR" w:val="en-US"/>
        </w:rPr>
        <w:t>به عنوان نمونه</w:t>
      </w:r>
      <w:r>
        <w:rPr>
          <w:rFonts w:ascii="Times New Roman" w:hAnsi="Times New Roman" w:eastAsia="Times New Roman" w:cs="B Lotus"/>
          <w:sz w:val="28"/>
          <w:szCs w:val="28"/>
          <w:rtl/>
          <w:cs/>
          <w:lang w:bidi="fa-IR" w:val="en-US"/>
        </w:rPr>
        <w:t xml:space="preserve">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w:t>
      </w:r>
      <w:r>
        <w:rPr>
          <w:rStyle w:val="FootnoteReference"/>
          <w:rFonts w:ascii="Times New Roman" w:eastAsia="Times New Roman" w:hAnsi="Times New Roman" w:hint="cs" w:cs="Times New Roman"/>
          <w:lang w:bidi="fa-IR" w:val="en-US"/>
          <w:sz w:val="20"/>
          <w:szCs w:val="20"/>
          <w:vertAlign w:val="superscript"/>
          <w:rtl w:val="0"/>
        </w:rPr>
        <w:footnoteReference w:id="133"/>
      </w:r>
      <w:r>
        <w:rPr>
          <w:rFonts w:ascii="Times New Roman" w:hAnsi="Times New Roman" w:eastAsia="Times New Roman" w:cs="B Lotus"/>
          <w:sz w:val="28"/>
          <w:szCs w:val="28"/>
          <w:rtl/>
          <w:cs/>
          <w:lang w:bidi="fa-IR" w:val="en-US"/>
        </w:rPr>
        <w:t xml:space="preserve"> و نویز</w:t>
      </w:r>
      <w:r>
        <w:rPr>
          <w:rStyle w:val="FootnoteReference"/>
          <w:rFonts w:ascii="Times New Roman" w:eastAsia="Times New Roman" w:hAnsi="Times New Roman" w:hint="cs" w:cs="Times New Roman"/>
          <w:lang w:bidi="fa-IR" w:val="en-US"/>
          <w:sz w:val="20"/>
          <w:szCs w:val="20"/>
          <w:vertAlign w:val="superscript"/>
          <w:rtl w:val="0"/>
        </w:rPr>
        <w:footnoteReference w:id="85"/>
      </w:r>
      <w:r>
        <w:rPr>
          <w:rFonts w:ascii="Times New Roman" w:hAnsi="Times New Roman" w:eastAsia="Times New Roman" w:cs="B Lotus"/>
          <w:sz w:val="28"/>
          <w:szCs w:val="28"/>
          <w:rtl/>
          <w:cs/>
          <w:lang w:bidi="fa-IR" w:val="en-US"/>
        </w:rPr>
        <w:t>، ۱۹۹۹؛ نویز و همکاران، ۲۰۰۳).</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1" w:name="_Toc238572053"/>
      <w:r>
        <w:rPr>
          <w:rFonts w:ascii="Times New Roman" w:hAnsi="Times New Roman" w:cs="B Titr" w:eastAsia="Times New Roman"/>
          <w:b/>
          <w:bCs/>
          <w:color w:val="000000"/>
          <w:sz w:val="30"/>
          <w:szCs w:val="30"/>
          <w:rtl w:val="1"/>
          <w:cs w:val="1"/>
          <w:lang w:bidi="fa-IR"/>
        </w:rPr>
        <w:t>۲-۴-۳- سالمندی و اضطراب سلامت</w:t>
      </w:r>
      <w:bookmarkEnd w:id="71"/>
    </w:p>
    <w:p w14:paraId="5786D2C2"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50"/>
      </w:r>
      <w:r>
        <w:rPr>
          <w:rFonts w:ascii="Times New Roman" w:hAnsi="Times New Roman" w:hint="cs"/>
          <w:lang w:bidi="fa-IR"/>
          <w:rtl/>
        </w:rPr>
        <w:t>.</w:t>
      </w:r>
    </w:p>
    <w:p>
      <w:pPr>
        <w:bidi w:val="1"/>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w:t>
      </w:r>
      <w:r>
        <w:rPr>
          <w:rFonts w:ascii="Times New Roman" w:hAnsi="Times New Roman" w:hint="cs"/>
          <w:lang w:bidi="fa-IR"/>
          <w:rtl/>
        </w:rPr>
        <w:t>افزون بر این</w:t>
      </w:r>
      <w:r>
        <w:rPr>
          <w:rFonts w:ascii="Times New Roman" w:hAnsi="Times New Roman" w:hint="cs"/>
          <w:lang w:bidi="fa-IR"/>
          <w:rtl/>
        </w:rPr>
        <w:t xml:space="preserve">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t xml:space="preserve">سطوح بالاتر اضطراب سلامت در سالمندان ارتباط دارد؛ </w:t>
      </w:r>
      <w:r>
        <w:rPr>
          <w:rFonts w:ascii="Times New Roman" w:hAnsi="Times New Roman" w:hint="cs"/>
          <w:lang w:bidi="fa-IR"/>
          <w:rtl/>
        </w:rPr>
        <w:t>در نتیجه</w:t>
      </w:r>
      <w:r>
        <w:rPr>
          <w:rFonts w:ascii="Times New Roman" w:hAnsi="Times New Roman" w:hint="cs"/>
          <w:lang w:bidi="fa-IR"/>
          <w:rtl/>
        </w:rPr>
        <w:t xml:space="preserve">،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w:t>
      </w:r>
      <w:r>
        <w:rPr>
          <w:rFonts w:ascii="Times New Roman" w:hAnsi="Times New Roman" w:hint="cs"/>
          <w:lang w:bidi="fa-IR"/>
          <w:rtl/>
        </w:rPr>
        <w:t>به عنوان نمونه</w:t>
      </w:r>
      <w:r>
        <w:rPr>
          <w:rFonts w:ascii="Times New Roman" w:hAnsi="Times New Roman" w:hint="cs"/>
          <w:lang w:bidi="fa-IR"/>
          <w:rtl/>
        </w:rPr>
        <w:t xml:space="preserve">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شفیعی و همکاران، ۲۰۲۵).</w:t>
      </w:r>
    </w:p>
    <w:p>
      <w:pPr>
        <w:bidi w:val="1"/>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w:t>
      </w:r>
      <w:r>
        <w:rPr>
          <w:rFonts w:ascii="Times New Roman" w:hAnsi="Times New Roman" w:hint="cs"/>
          <w:lang w:bidi="fa-IR"/>
          <w:rtl/>
        </w:rPr>
        <w:t xml:space="preserve">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pPr>
        <w:bidi w:val="1"/>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w:t>
      </w:r>
      <w:r>
        <w:rPr>
          <w:rFonts w:ascii="Times New Roman" w:hAnsi="Times New Roman" w:hint="cs"/>
          <w:lang w:bidi="fa-IR"/>
          <w:rtl/>
        </w:rPr>
        <w:t xml:space="preserve">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3" w:name="_Toc238572054"/>
      <w:r>
        <w:rPr>
          <w:rFonts w:ascii="Times New Roman" w:hAnsi="Times New Roman" w:cs="B Titr" w:eastAsia="Times New Roman"/>
          <w:b/>
          <w:bCs/>
          <w:color w:val="000000"/>
          <w:sz w:val="30"/>
          <w:szCs w:val="30"/>
          <w:rtl w:val="1"/>
          <w:cs w:val="1"/>
          <w:lang w:bidi="fa-IR"/>
        </w:rPr>
        <w:t xml:space="preserve">۲-۴-۴- عوامل </w:t>
      </w:r>
      <w:r>
        <w:rPr>
          <w:rFonts w:ascii="Times New Roman" w:hAnsi="Times New Roman" w:cs="B Titr" w:eastAsia="Times New Roman"/>
          <w:b/>
          <w:bCs/>
          <w:color w:val="000000"/>
          <w:sz w:val="30"/>
          <w:szCs w:val="30"/>
          <w:rtl w:val="1"/>
          <w:cs w:val="1"/>
          <w:lang w:bidi="fa-IR"/>
        </w:rPr>
        <w:t>زمینه‌ساز</w:t>
      </w:r>
      <w:r>
        <w:rPr>
          <w:rFonts w:ascii="Times New Roman" w:hAnsi="Times New Roman" w:cs="B Titr" w:eastAsia="Times New Roman"/>
          <w:b/>
          <w:bCs/>
          <w:color w:val="000000"/>
          <w:sz w:val="30"/>
          <w:szCs w:val="30"/>
          <w:rtl w:val="1"/>
          <w:cs w:val="1"/>
          <w:lang w:bidi="fa-IR"/>
        </w:rPr>
        <w:t xml:space="preserve"> اضطراب</w:t>
      </w:r>
      <w:bookmarkEnd w:id="73"/>
    </w:p>
    <w:p>
      <w:pPr>
        <w:bidi w:val="1"/>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w:t>
      </w:r>
      <w:r>
        <w:rPr>
          <w:rFonts w:ascii="Times New Roman" w:hAnsi="Times New Roman" w:hint="cs"/>
          <w:lang w:bidi="fa-IR"/>
          <w:rtl/>
        </w:rPr>
        <w:t>به عنوان نمونه</w:t>
      </w:r>
      <w:r>
        <w:rPr>
          <w:rFonts w:ascii="Times New Roman" w:hAnsi="Times New Roman" w:hint="cs"/>
          <w:lang w:bidi="fa-IR"/>
          <w:rtl/>
        </w:rPr>
        <w:t xml:space="preserve"> مشکلات شایع در این دوره از زندگی هستند. </w:t>
      </w:r>
      <w:r>
        <w:rPr>
          <w:rFonts w:ascii="Times New Roman" w:hAnsi="Times New Roman" w:hint="cs"/>
          <w:lang w:bidi="fa-IR"/>
          <w:rtl/>
        </w:rPr>
        <w:t xml:space="preserve">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pPr>
        <w:bidi w:val="1"/>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w:t>
      </w:r>
      <w:r>
        <w:rPr>
          <w:rFonts w:ascii="Times New Roman" w:hAnsi="Times New Roman" w:hint="cs"/>
          <w:lang w:bidi="fa-IR"/>
          <w:rtl/>
        </w:rPr>
        <w:t xml:space="preserve">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t>ارتقای سلامت روان و بهبود کیفیت زندگی سالمندان دارد (سازمان جهانی بهداشت، ۲۰۲۴؛ سازمان ملل متحد، ۲۰۲۳).</w:t>
      </w:r>
    </w:p>
    <w:p w14:paraId="08AD49FE" w14:textId="77777777">
      <w:pPr>
        <w:bidi w:val="1"/>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53"/>
      </w:r>
      <w:r>
        <w:rPr>
          <w:rStyle w:val="FootnoteReference"/>
          <w:rFonts w:hint="cs" w:ascii="Times New Roman" w:hAnsi="Times New Roman" w:eastAsia="Times New Roman" w:cs="Times New Roman"/>
          <w:sz w:val="20"/>
          <w:szCs w:val="20"/>
          <w:vertAlign w:val="superscript"/>
          <w:lang w:val="en-US"/>
          <w:rtl w:val="0"/>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pPr>
        <w:bidi w:val="1"/>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w:t>
      </w:r>
      <w:r>
        <w:rPr>
          <w:rFonts w:ascii="Times New Roman" w:hAnsi="Times New Roman" w:hint="cs"/>
          <w:lang w:bidi="fa-IR"/>
          <w:rtl/>
        </w:rPr>
        <w:t xml:space="preserve">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4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4" w:name="_Toc238572055"/>
      <w:r>
        <w:rPr>
          <w:rFonts w:ascii="Times New Roman" w:hAnsi="Times New Roman" w:cs="B Titr" w:eastAsia="Times New Roman"/>
          <w:b/>
          <w:bCs/>
          <w:color w:val="000000"/>
          <w:sz w:val="30"/>
          <w:szCs w:val="30"/>
          <w:rtl w:val="1"/>
          <w:cs w:val="1"/>
          <w:lang w:bidi="fa-IR"/>
        </w:rPr>
        <w:t>۲-۴-۵- مداخلات معطوف به کاهش اضطراب سلامت سالمندان</w:t>
      </w:r>
      <w:bookmarkEnd w:id="74"/>
    </w:p>
    <w:p w14:paraId="51F54099" w14:textId="77777777">
      <w:pPr>
        <w:bidi w:val="1"/>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pPr>
        <w:bidi w:val="1"/>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w:t>
      </w:r>
      <w:r>
        <w:rPr>
          <w:rFonts w:ascii="Times New Roman" w:hAnsi="Times New Roman" w:hint="cs"/>
          <w:lang w:bidi="fa-IR"/>
          <w:rtl/>
        </w:rPr>
        <w:t xml:space="preserve">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pPr>
        <w:bidi w:val="1"/>
        <w:spacing w:after="0" w:line="276" w:lineRule="auto"/>
        <w:ind w:firstLine="397"/>
        <w:jc w:val="both"/>
        <w:rPr>
          <w:color w:val="auto"/>
          <w:lang w:bidi="fa-IR"/>
        </w:rPr>
      </w:pPr>
      <w:r>
        <w:rPr>
          <w:rFonts w:ascii="Times New Roman" w:hAnsi="Times New Roman" w:hint="cs"/>
          <w:lang w:bidi="fa-IR"/>
          <w:rtl/>
        </w:rPr>
        <w:t xml:space="preserve">مداخلات مبتنی بر معنویت </w:t>
      </w:r>
      <w:r>
        <w:rPr>
          <w:rFonts w:ascii="Times New Roman" w:hAnsi="Times New Roman" w:hint="cs"/>
          <w:lang w:bidi="fa-IR"/>
          <w:rtl/>
        </w:rPr>
        <w:t xml:space="preserve">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58"/>
      </w:r>
      <w:r>
        <w:rPr>
          <w:rFonts w:ascii="Times New Roman" w:hAnsi="Times New Roman" w:hint="cs"/>
          <w:lang w:bidi="fa-IR"/>
          <w:rtl/>
        </w:rPr>
        <w:t>، ۲۰۲۳؛ سازمان جهانی بهداشت، ۲۰۲۴).</w:t>
      </w:r>
    </w:p>
    <w:p>
      <w:pPr>
        <w:bidi w:val="1"/>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w:t>
      </w:r>
      <w:r>
        <w:rPr>
          <w:rFonts w:ascii="Times New Roman" w:hAnsi="Times New Roman" w:hint="cs"/>
          <w:lang w:bidi="fa-IR"/>
          <w:rtl/>
        </w:rPr>
        <w:t xml:space="preserve">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60"/>
      </w:r>
      <w:r>
        <w:rPr>
          <w:rFonts w:ascii="Times New Roman" w:hAnsi="Times New Roman" w:hint="cs"/>
          <w:lang w:bidi="fa-IR"/>
          <w:rtl/>
        </w:rPr>
        <w:t xml:space="preserve"> و همکاران، ۲۰۲۴).</w:t>
      </w:r>
    </w:p>
    <w:p w14:paraId="4697D82D" w14:textId="77777777">
      <w:pPr>
        <w:bidi w:val="1"/>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62"/>
      </w:r>
      <w:r>
        <w:rPr>
          <w:rFonts w:ascii="Times New Roman" w:hAnsi="Times New Roman" w:hint="cs"/>
          <w:lang w:bidi="fa-IR"/>
          <w:rtl/>
        </w:rPr>
        <w:t xml:space="preserve"> و همکاران، ۲۰۲۴).</w:t>
      </w:r>
    </w:p>
    <w:p>
      <w:pPr>
        <w:bidi w:val="1"/>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t>می‌تواند</w:t>
      </w:r>
      <w:r>
        <w:rPr>
          <w:rFonts w:ascii="Times New Roman" w:hAnsi="Times New Roman" w:hint="cs"/>
          <w:lang w:bidi="fa-IR"/>
          <w:rtl/>
        </w:rPr>
        <w:t xml:space="preserve"> احساس امنیت، ارزشمندی و آرامش را در آنان تقویت کند. </w:t>
      </w:r>
      <w:r>
        <w:rPr>
          <w:rFonts w:ascii="Times New Roman" w:hAnsi="Times New Roman" w:hint="cs"/>
          <w:lang w:bidi="fa-IR"/>
          <w:rtl/>
        </w:rPr>
        <w:t xml:space="preserve">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 xml:space="preserve">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bidi w:val="1"/>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64"/>
      </w:r>
      <w:r>
        <w:rPr>
          <w:rFonts w:ascii="Times New Roman" w:hAnsi="Times New Roman" w:hint="cs"/>
          <w:lang w:bidi="fa-IR"/>
          <w:rtl/>
        </w:rPr>
        <w:t xml:space="preserve"> و همکاران، ۲۰۲۲).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75" w:name="_Toc238572056"/>
      <w:r>
        <w:rPr>
          <w:rFonts w:ascii="Times New Roman" w:hAnsi="Times New Roman" w:cs="B Titr" w:eastAsia="Times New Roman"/>
          <w:b/>
          <w:bCs/>
          <w:color w:val="000000"/>
          <w:sz w:val="30"/>
          <w:szCs w:val="30"/>
          <w:rtl w:val="1"/>
          <w:cs w:val="1"/>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6" w:name="_Toc238572057"/>
      <w:r>
        <w:rPr>
          <w:rFonts w:ascii="Times New Roman" w:hAnsi="Times New Roman" w:cs="B Titr" w:eastAsia="Times New Roman"/>
          <w:b/>
          <w:bCs/>
          <w:color w:val="000000"/>
          <w:sz w:val="30"/>
          <w:szCs w:val="30"/>
          <w:rtl w:val="1"/>
          <w:cs w:val="1"/>
          <w:lang w:bidi="fa-IR"/>
        </w:rPr>
        <w:t xml:space="preserve">۲-۵-۱- پیشینه داخلی</w:t>
      </w:r>
      <w:bookmarkEnd w:id="76"/>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w:t>
      </w:r>
      <w:r>
        <w:rPr>
          <w:rFonts w:ascii="Times New Roman" w:eastAsia="Times New Roman" w:hAnsi="Times New Roman" w:hint="cs"/>
          <w:lang w:bidi="fa-IR"/>
          <w:rtl/>
        </w:rPr>
        <w:t xml:space="preserve">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w:t>
      </w:r>
      <w:r>
        <w:rPr>
          <w:rFonts w:ascii="Times New Roman" w:eastAsia="Times New Roman" w:hAnsi="Times New Roman" w:hint="cs"/>
          <w:lang w:bidi="fa-IR"/>
          <w:rtl/>
        </w:rPr>
        <w:t>بدین ترتیب</w:t>
      </w:r>
      <w:r>
        <w:rPr>
          <w:rFonts w:ascii="Times New Roman" w:eastAsia="Times New Roman" w:hAnsi="Times New Roman" w:hint="cs"/>
          <w:lang w:bidi="fa-IR"/>
          <w:rtl/>
        </w:rPr>
        <w:t xml:space="preserve">،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w:t>
      </w:r>
      <w:r>
        <w:rPr>
          <w:rFonts w:ascii="Times New Roman" w:eastAsia="Times New Roman" w:hAnsi="Times New Roman" w:hint="cs"/>
          <w:lang w:bidi="fa-IR"/>
          <w:rtl/>
        </w:rPr>
        <w:t>بدین ترتیب</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w:t>
      </w:r>
      <w:r>
        <w:rPr>
          <w:rFonts w:ascii="Times New Roman" w:eastAsia="Times New Roman" w:hAnsi="Times New Roman" w:hint="cs"/>
          <w:lang w:bidi="fa-IR"/>
          <w:rtl/>
        </w:rPr>
        <w:t xml:space="preserve">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w:t>
      </w:r>
      <w:r>
        <w:rPr>
          <w:rFonts w:ascii="Times New Roman" w:eastAsia="Times New Roman" w:hAnsi="Times New Roman" w:hint="cs"/>
          <w:lang w:bidi="fa-IR"/>
          <w:rtl/>
        </w:rPr>
        <w:t xml:space="preserve">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7" w:name="_Toc238572058"/>
      <w:r>
        <w:rPr>
          <w:rFonts w:ascii="Times New Roman" w:hAnsi="Times New Roman" w:cs="B Titr" w:eastAsia="Times New Roman"/>
          <w:b/>
          <w:bCs/>
          <w:color w:val="000000"/>
          <w:sz w:val="30"/>
          <w:szCs w:val="30"/>
          <w:rtl w:val="1"/>
          <w:cs w:val="1"/>
          <w:lang w:bidi="fa-IR"/>
        </w:rPr>
        <w:t>۲-۵-۲- پیشینه خارجی</w:t>
      </w:r>
      <w:bookmarkEnd w:id="77"/>
    </w:p>
    <w:p w14:paraId="320E3D12"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w:t>
      </w:r>
      <w:r>
        <w:rPr>
          <w:rFonts w:ascii="Times New Roman" w:eastAsia="Times New Roman" w:hAnsi="Times New Roman" w:hint="cs"/>
          <w:lang w:bidi="fa-IR"/>
          <w:rtl/>
        </w:rPr>
        <w:t xml:space="preserve">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w:t>
      </w:r>
      <w:r>
        <w:rPr>
          <w:rFonts w:ascii="Times New Roman" w:eastAsia="Times New Roman" w:hAnsi="Times New Roman" w:hint="cs"/>
          <w:lang w:bidi="fa-IR"/>
          <w:rtl/>
        </w:rPr>
        <w:t xml:space="preserve">ارتباط معناداری بین اجزای هوش معنوی </w:t>
      </w:r>
      <w:r>
        <w:rPr>
          <w:rFonts w:ascii="Times New Roman" w:eastAsia="Times New Roman" w:hAnsi="Times New Roman" w:hint="cs"/>
          <w:lang w:bidi="fa-IR"/>
          <w:rtl/>
        </w:rPr>
        <w:t xml:space="preserve">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w:t>
      </w:r>
      <w:r>
        <w:rPr>
          <w:rFonts w:ascii="Times New Roman" w:eastAsia="Times New Roman" w:hAnsi="Times New Roman" w:hint="cs"/>
          <w:lang w:bidi="fa-IR"/>
          <w:rtl/>
        </w:rPr>
        <w:t xml:space="preserve">یافته ها حاکی از این بودند که هوش معنوی به طور مثبتی با سلامت عمومی رابطه دارد. </w:t>
      </w:r>
      <w:r>
        <w:rPr>
          <w:rFonts w:ascii="Times New Roman" w:eastAsia="Times New Roman" w:hAnsi="Times New Roman" w:hint="cs"/>
          <w:lang w:bidi="fa-IR"/>
          <w:rtl/>
        </w:rPr>
        <w:t xml:space="preserve">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جین</w:t>
      </w:r>
      <w:r>
        <w:rPr>
          <w:rStyle w:val="FootnoteReference"/>
          <w:rFonts w:ascii="Times New Roman" w:eastAsia="Times New Roman" w:hAnsi="Times New Roman" w:hint="cs" w:cs="Times New Roman"/>
          <w:vertAlign w:val="superscript"/>
          <w:lang w:bidi="fa-IR" w:val="en-US"/>
          <w:sz w:val="20"/>
          <w:szCs w:val="20"/>
          <w:rtl w:val="0"/>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w:t>
      </w:r>
      <w:r>
        <w:rPr>
          <w:rFonts w:ascii="Times New Roman" w:eastAsia="Times New Roman" w:hAnsi="Times New Roman" w:hint="cs"/>
          <w:lang w:bidi="fa-IR"/>
          <w:rtl/>
        </w:rPr>
        <w:t xml:space="preserve">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w:t>
      </w:r>
      <w:r>
        <w:rPr>
          <w:rFonts w:ascii="Times New Roman" w:eastAsia="Times New Roman" w:hAnsi="Times New Roman" w:hint="cs"/>
          <w:lang w:bidi="fa-IR"/>
          <w:rtl/>
        </w:rPr>
        <w:t xml:space="preserve">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hAnsi="Times New Roman" w:eastAsia="Times New Roman" w:cs="B Lotus"/>
          <w:sz w:val="28"/>
          <w:szCs w:val="28"/>
          <w:rtl/>
          <w:cs/>
          <w:lang w:bidi="fa-IR" w:val="en-US"/>
        </w:rPr>
        <w:t xml:space="preserve"> است.</w:t>
      </w:r>
    </w:p>
    <w:p w14:paraId="0DFF80FF"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78" w:name="_Toc238572059"/>
      <w:r>
        <w:rPr>
          <w:rFonts w:ascii="Times New Roman" w:hAnsi="Times New Roman" w:cs="B Titr" w:eastAsia="Times New Roman"/>
          <w:b/>
          <w:bCs/>
          <w:color w:val="000000"/>
          <w:sz w:val="56"/>
          <w:szCs w:val="56"/>
          <w:rtl w:val="1"/>
          <w:cs w:val="1"/>
          <w:lang w:bidi="fa-IR"/>
        </w:rPr>
        <w:lastRenderedPageBreak/>
        <w:t>فصل سوم: روش پژوهش</w:t>
      </w:r>
      <w:bookmarkEnd w:id="78"/>
    </w:p>
    <w:p w14:paraId="1E04641F"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9" w:name="_Toc238572060"/>
      <w:r>
        <w:rPr>
          <w:rFonts w:ascii="Times New Roman" w:hAnsi="Times New Roman" w:cs="B Titr" w:eastAsia="Times New Roman"/>
          <w:b/>
          <w:bCs/>
          <w:color w:val="000000"/>
          <w:sz w:val="30"/>
          <w:szCs w:val="30"/>
          <w:rtl w:val="1"/>
          <w:cs w:val="1"/>
          <w:lang w:bidi="fa-IR"/>
        </w:rPr>
        <w:lastRenderedPageBreak/>
        <w:t>۳-۱- طرح پژوهش</w:t>
      </w:r>
      <w:bookmarkEnd w:id="79"/>
    </w:p>
    <w:p>
      <w:pPr>
        <w:bidi w:val="1"/>
        <w:spacing w:after="0" w:line="276" w:lineRule="auto"/>
        <w:ind w:firstLine="397"/>
        <w:jc w:val="both"/>
        <w:rPr>
          <w:color w:val="auto"/>
          <w:lang w:bidi="fa-IR"/>
        </w:rPr>
      </w:pPr>
      <w:r>
        <w:rPr>
          <w:rFonts w:ascii="Times New Roman" w:hAnsi="Times New Roman" w:hint="cs"/>
          <w:lang w:bidi="fa-IR"/>
          <w:rtl/>
        </w:rPr>
        <w:t xml:space="preserve">پژوهش حاضر </w:t>
      </w:r>
      <w:r>
        <w:rPr>
          <w:rFonts w:ascii="Times New Roman" w:hAnsi="Times New Roman" w:hint="cs"/>
          <w:lang w:bidi="fa-IR"/>
          <w:rtl/>
        </w:rPr>
        <w:t>نظر به</w:t>
      </w:r>
      <w:r>
        <w:rPr>
          <w:rFonts w:ascii="Times New Roman" w:hAnsi="Times New Roman" w:hint="cs"/>
          <w:lang w:bidi="fa-IR"/>
          <w:rtl/>
        </w:rPr>
        <w:t xml:space="preserve">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14:paraId="70452F63"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0" w:name="_Toc238572061"/>
      <w:r>
        <w:rPr>
          <w:rFonts w:ascii="Times New Roman" w:hAnsi="Times New Roman" w:cs="B Titr" w:eastAsia="Times New Roman"/>
          <w:b/>
          <w:bCs/>
          <w:color w:val="000000"/>
          <w:sz w:val="30"/>
          <w:szCs w:val="30"/>
          <w:rtl w:val="1"/>
          <w:cs w:val="1"/>
          <w:lang w:bidi="fa-IR"/>
        </w:rPr>
        <w:t xml:space="preserve">۳-۲- جامعه، نمونه و روش نمونه‌گیری</w:t>
      </w:r>
      <w:bookmarkEnd w:id="80"/>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Fonts w:ascii="Times New Roman" w:eastAsia="Times New Roman" w:hAnsi="Times New Roman" w:hint="cs" w:cs="Times New Roman"/>
          <w:vertAlign w:val="superscript"/>
          <w:lang w:bidi="fa-IR" w:val="en-US"/>
          <w:sz w:val="20"/>
          <w:szCs w:val="20"/>
          <w:rtl w:val="0"/>
        </w:rPr>
        <w:footnoteReference w:id="81"/>
      </w:r>
      <w:r>
        <w:rPr>
          <w:rFonts w:ascii="Times New Roman" w:eastAsia="Times New Roman" w:hAnsi="Times New Roman" w:hint="cs"/>
          <w:lang w:bidi="fa-IR"/>
          <w:rtl/>
        </w:rPr>
        <w:t xml:space="preserve"> و مورگان ۱۹۷۰ استفاده شد. بر اساس این جدول و </w:t>
      </w:r>
      <w:r>
        <w:rPr>
          <w:rFonts w:ascii="Times New Roman" w:eastAsia="Times New Roman" w:hAnsi="Times New Roman" w:hint="cs"/>
          <w:lang w:bidi="fa-IR"/>
          <w:rtl/>
        </w:rPr>
        <w:t>نظر به</w:t>
      </w:r>
      <w:r>
        <w:rPr>
          <w:rFonts w:ascii="Times New Roman" w:eastAsia="Times New Roman" w:hAnsi="Times New Roman" w:hint="cs"/>
          <w:lang w:bidi="fa-IR"/>
          <w:rtl/>
        </w:rPr>
        <w:t xml:space="preserve"> حجم جامعه آماری ۱۰۰ نفر، حجم نمونه ۸۰ نفر به روش نمونه گیری در دسترس در نظر گرفته شد.</w:t>
      </w:r>
    </w:p>
    <w:p w14:paraId="607D4DDA"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1" w:name="_Toc238572062"/>
      <w:r>
        <w:rPr>
          <w:rFonts w:ascii="Times New Roman" w:hAnsi="Times New Roman" w:cs="B Titr" w:eastAsia="Times New Roman"/>
          <w:b/>
          <w:bCs/>
          <w:color w:val="000000"/>
          <w:sz w:val="30"/>
          <w:szCs w:val="30"/>
          <w:rtl w:val="1"/>
          <w:cs w:val="1"/>
          <w:lang w:bidi="fa-IR"/>
        </w:rPr>
        <w:t>۳-۳- ابزار پژوهش</w:t>
      </w:r>
      <w:bookmarkEnd w:id="81"/>
    </w:p>
    <w:p w14:paraId="42209556" w14:textId="77777777">
      <w:pPr>
        <w:bidi w:val="1"/>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2" w:name="_Toc238572063"/>
      <w:r>
        <w:rPr>
          <w:rFonts w:ascii="Times New Roman" w:hAnsi="Times New Roman" w:cs="B Titr" w:eastAsia="Times New Roman"/>
          <w:b/>
          <w:bCs/>
          <w:color w:val="000000"/>
          <w:sz w:val="30"/>
          <w:szCs w:val="30"/>
          <w:rtl w:val="1"/>
          <w:cs w:val="1"/>
          <w:lang w:bidi="fa-IR"/>
        </w:rPr>
        <w:t>۳-۳-۱- پرسشنامه هوش معنوی کینگ:</w:t>
      </w:r>
      <w:bookmarkEnd w:id="82"/>
    </w:p>
    <w:p>
      <w:pPr>
        <w:bidi w:val="1"/>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 </w:t>
      </w:r>
      <w:r>
        <w:rPr>
          <w:rFonts w:ascii="Times New Roman" w:hAnsi="Times New Roman" w:hint="cs"/>
          <w:lang w:bidi="fa-IR"/>
          <w:rtl/>
        </w:rPr>
        <w:t xml:space="preserve">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14:paraId="526728D6"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3" w:name="_Toc238572064"/>
      <w:r>
        <w:rPr>
          <w:rFonts w:ascii="Times New Roman" w:hAnsi="Times New Roman" w:cs="B Titr" w:eastAsia="Times New Roman"/>
          <w:b/>
          <w:bCs/>
          <w:color w:val="000000"/>
          <w:sz w:val="30"/>
          <w:szCs w:val="30"/>
          <w:rtl w:val="1"/>
          <w:cs w:val="1"/>
          <w:lang w:bidi="fa-IR"/>
        </w:rPr>
        <w:t xml:space="preserve">۳-۳-۲- پرسشنامه اضطراب مرگ (DAS)</w:t>
      </w:r>
      <w:r>
        <w:rPr>
          <w:rFonts w:ascii="Times New Roman" w:hAnsi="Times New Roman" w:cs="B Titr" w:eastAsia="Times New Roman"/>
          <w:b/>
          <w:bCs/>
          <w:color w:val="000000"/>
          <w:sz w:val="30"/>
          <w:szCs w:val="30"/>
          <w:rtl w:val="1"/>
          <w:cs w:val="1"/>
          <w:lang w:bidi="fa-IR" w:val="en-US"/>
        </w:rPr>
        <w:t xml:space="preserve"/>
      </w:r>
      <w:bookmarkEnd w:id="83"/>
    </w:p>
    <w:p w14:paraId="5A9676E0"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val="en-US"/>
          <w:sz w:val="20"/>
          <w:szCs w:val="20"/>
          <w:vertAlign w:val="superscript"/>
          <w:rtl w:val="0"/>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14:paraId="595B671C"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4" w:name="_Toc238572065"/>
      <w:r>
        <w:rPr>
          <w:rFonts w:ascii="Times New Roman" w:hAnsi="Times New Roman" w:cs="B Titr" w:eastAsia="Times New Roman"/>
          <w:b/>
          <w:bCs/>
          <w:color w:val="000000"/>
          <w:sz w:val="30"/>
          <w:szCs w:val="30"/>
          <w:rtl w:val="1"/>
          <w:cs w:val="1"/>
          <w:lang w:bidi="fa-IR"/>
        </w:rPr>
        <w:t xml:space="preserve">۳-۳-۳- پرسشنامه اضطراب سلامتی (HAI)</w:t>
      </w:r>
      <w:r>
        <w:rPr>
          <w:rFonts w:ascii="Times New Roman" w:hAnsi="Times New Roman" w:cs="B Titr" w:eastAsia="Times New Roman"/>
          <w:b/>
          <w:bCs/>
          <w:color w:val="000000"/>
          <w:sz w:val="30"/>
          <w:szCs w:val="30"/>
          <w:rtl w:val="1"/>
          <w:cs w:val="1"/>
          <w:lang w:bidi="fa-IR" w:val="en-US"/>
        </w:rPr>
        <w:t/>
      </w:r>
      <w:bookmarkEnd w:id="84"/>
    </w:p>
    <w:p w14:paraId="228F810E" w14:textId="77777777">
      <w:pPr>
        <w:bidi w:val="1"/>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val="en-US"/>
          <w:sz w:val="20"/>
          <w:szCs w:val="20"/>
          <w:vertAlign w:val="superscript"/>
          <w:rtl w:val="0"/>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5" w:name="_Toc107794912"/>
      <w:bookmarkStart w:id="86" w:name="_Toc238572066"/>
      <w:r>
        <w:rPr>
          <w:rFonts w:ascii="Times New Roman" w:hAnsi="Times New Roman" w:cs="B Titr" w:eastAsia="Times New Roman"/>
          <w:b/>
          <w:bCs/>
          <w:color w:val="000000"/>
          <w:sz w:val="30"/>
          <w:szCs w:val="30"/>
          <w:rtl w:val="1"/>
          <w:cs w:val="1"/>
          <w:lang w:bidi="fa-IR"/>
        </w:rPr>
        <w:t xml:space="preserve">۳-۴- روش اجرای پژوهش</w:t>
      </w:r>
      <w:bookmarkEnd w:id="85"/>
      <w:bookmarkEnd w:id="86"/>
    </w:p>
    <w:p>
      <w:pPr>
        <w:bidi w:val="1"/>
        <w:spacing w:after="0" w:line="276" w:lineRule="auto"/>
        <w:ind w:firstLine="397"/>
        <w:jc w:val="both"/>
        <w:rPr>
          <w:color w:val="auto"/>
          <w:lang w:bidi="fa-IR"/>
        </w:rPr>
      </w:pPr>
      <w:r>
        <w:rPr>
          <w:rFonts w:ascii="Times New Roman" w:hAnsi="Times New Roman" w:hint="cs"/>
          <w:lang w:bidi="fa-IR"/>
          <w:rtl/>
        </w:rPr>
        <w:t>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w:t>
      </w:r>
      <w:r>
        <w:rPr>
          <w:rFonts w:ascii="Times New Roman" w:hAnsi="Times New Roman" w:hint="cs"/>
          <w:lang w:bidi="fa-IR"/>
          <w:rtl/>
        </w:rPr>
        <w:t xml:space="preserve">رضایت برای شرکت در پژوهش، سلامت نسبی روانی و توانایی پاسخگویی به پرسشنامه ها) ۸۰ نفر </w:t>
      </w:r>
      <w:r>
        <w:rPr>
          <w:rFonts w:ascii="Times New Roman" w:hAnsi="Times New Roman" w:hint="cs"/>
          <w:lang w:bidi="fa-IR"/>
          <w:rtl/>
        </w:rPr>
        <w:t>نظر به</w:t>
      </w:r>
      <w:r>
        <w:rPr>
          <w:rFonts w:ascii="Times New Roman" w:hAnsi="Times New Roman" w:hint="cs"/>
          <w:lang w:bidi="fa-IR"/>
          <w:rtl/>
        </w:rPr>
        <w:t xml:space="preserve"> جدول کرجسی و مورگان به عنوان نمونه انتخاب شدند.</w:t>
      </w:r>
    </w:p>
    <w:p w14:paraId="0D5FE1E8"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8" w:name="_Toc238572067"/>
      <w:r>
        <w:rPr>
          <w:rFonts w:ascii="Times New Roman" w:hAnsi="Times New Roman" w:cs="B Titr" w:eastAsia="Times New Roman"/>
          <w:b/>
          <w:bCs/>
          <w:color w:val="000000"/>
          <w:sz w:val="30"/>
          <w:szCs w:val="30"/>
          <w:rtl w:val="1"/>
          <w:cs w:val="1"/>
          <w:lang w:bidi="fa-IR"/>
        </w:rPr>
        <w:t xml:space="preserve">۳-۵- روش تجزیه و تحلیل داده‌ها</w:t>
      </w:r>
      <w:bookmarkEnd w:id="87"/>
      <w:bookmarkEnd w:id="88"/>
    </w:p>
    <w:p>
      <w:pPr>
        <w:autoSpaceDE/>
        <w:autoSpaceDN/>
        <w:bidi w:val="1"/>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w:t>
      </w:r>
      <w:r>
        <w:rPr>
          <w:rFonts w:ascii="Times New Roman" w:hAnsi="Times New Roman" w:hint="cs"/>
          <w:lang w:bidi="fa-IR"/>
          <w:rtl/>
        </w:rPr>
        <w:t>با در نظر گرفتن</w:t>
      </w:r>
      <w:r>
        <w:rPr>
          <w:rFonts w:ascii="Times New Roman" w:hAnsi="Times New Roman" w:hint="cs"/>
          <w:lang w:bidi="fa-IR"/>
          <w:rtl/>
        </w:rPr>
        <w:t xml:space="preserve">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89" w:name="_Toc238572068"/>
      <w:r>
        <w:rPr>
          <w:rFonts w:ascii="Times New Roman" w:hAnsi="Times New Roman" w:cs="B Titr" w:eastAsia="Times New Roman"/>
          <w:b/>
          <w:bCs/>
          <w:color w:val="000000"/>
          <w:sz w:val="56"/>
          <w:szCs w:val="56"/>
          <w:rtl w:val="1"/>
          <w:cs w:val="1"/>
          <w:lang w:bidi="fa-IR"/>
        </w:rPr>
        <w:lastRenderedPageBreak/>
        <w:t>فصل چهارم: تجزیه و تحلیل داده ها</w:t>
      </w:r>
      <w:bookmarkEnd w:id="89"/>
    </w:p>
    <w:p w14:paraId="33866655" w14:textId="77777777">
      <w:pPr>
        <w:pageBreakBefore/>
        <w:bidi w:val="1"/>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14:paraId="461088EB"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90" w:name="_Toc238572069"/>
      <w:r>
        <w:rPr>
          <w:rFonts w:ascii="Times New Roman" w:hAnsi="Times New Roman" w:cs="B Titr" w:eastAsia="Times New Roman"/>
          <w:b/>
          <w:bCs/>
          <w:color w:val="000000"/>
          <w:sz w:val="30"/>
          <w:szCs w:val="30"/>
          <w:rtl w:val="1"/>
          <w:cs w:val="1"/>
          <w:lang w:bidi="fa-IR"/>
        </w:rPr>
        <w:t xml:space="preserve">۴-۱- یافته‌های توصیفی</w:t>
      </w:r>
      <w:bookmarkEnd w:id="90"/>
    </w:p>
    <w:p w14:paraId="03618880" w14:textId="77777777">
      <w:pPr>
        <w:bidi w:val="1"/>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1" w:name="_Toc106471882"/>
      <w:bookmarkStart w:id="92" w:name="_Toc238572104"/>
      <w:bookmarkEnd w:id="91"/>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t>۱</w:t>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132E64DC" w14:textId="77777777">
      <w:pPr>
        <w:autoSpaceDE/>
        <w:autoSpaceDN/>
        <w:bidi w:val="1"/>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3" w:name="_Toc106471883"/>
      <w:bookmarkStart w:id="94" w:name="_Toc238572105"/>
      <w:bookmarkEnd w:id="93"/>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۲</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bidi/>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1563" w:type="pct"/>
            <w:vAlign w:val="center"/>
          </w:tcPr>
          <w:p w14:paraId="7A21A8A7"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641" w:type="pct"/>
            <w:vAlign w:val="center"/>
          </w:tcPr>
          <w:p w14:paraId="784FFF82"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0CAED133"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5" w:name="_Toc238572106"/>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۳</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فراوانی و درصد شرکت </w:t>
      </w:r>
      <w:r>
        <w:rPr>
          <w:rFonts w:cs="B Lotus" w:ascii="Times New Roman" w:hAnsi="Times New Roman" w:eastAsia="Times New Roman"/>
          <w:b/>
          <w:bCs/>
          <w:color w:val="000000"/>
          <w:sz w:val="24"/>
          <w:szCs w:val="24"/>
          <w:rtl w:val="1"/>
          <w:cs w:val="1"/>
          <w:lang w:bidi="fa-IR"/>
        </w:rPr>
        <w:t>کنندگان</w:t>
      </w:r>
      <w:r>
        <w:rPr>
          <w:rFonts w:cs="B Lotus" w:ascii="Times New Roman" w:hAnsi="Times New Roman" w:eastAsia="Times New Roman"/>
          <w:b/>
          <w:bCs/>
          <w:color w:val="000000"/>
          <w:sz w:val="24"/>
          <w:szCs w:val="24"/>
          <w:rtl w:val="1"/>
          <w:cs w:val="1"/>
          <w:lang w:bidi="fa-IR"/>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26455BE8" w14:textId="77777777">
      <w:pPr>
        <w:keepNext/>
        <w:autoSpaceDE/>
        <w:autoSpaceDN/>
        <w:bidi w:val="1"/>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7" w:name="_Toc238572107"/>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۴</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سن شرکت </w:t>
      </w:r>
      <w:r>
        <w:rPr>
          <w:rFonts w:cs="B Lotus" w:ascii="Times New Roman" w:hAnsi="Times New Roman" w:eastAsia="Times New Roman"/>
          <w:b/>
          <w:bCs/>
          <w:color w:val="000000"/>
          <w:sz w:val="24"/>
          <w:szCs w:val="24"/>
          <w:rtl w:val="1"/>
          <w:cs w:val="1"/>
          <w:lang w:bidi="fa-IR"/>
        </w:rPr>
        <w:t>کنندگان</w:t>
      </w:r>
      <w:r>
        <w:rPr>
          <w:rFonts w:cs="B Lotus" w:ascii="Times New Roman" w:hAnsi="Times New Roman" w:eastAsia="Times New Roman"/>
          <w:b/>
          <w:bCs/>
          <w:color w:val="000000"/>
          <w:sz w:val="24"/>
          <w:szCs w:val="24"/>
          <w:rtl w:val="1"/>
          <w:cs w:val="1"/>
          <w:lang w:bidi="fa-IR"/>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۸۵</w:t>
            </w:r>
          </w:p>
        </w:tc>
      </w:tr>
    </w:tbl>
    <w:p w14:paraId="7159037D" w14:textId="77777777">
      <w:pPr>
        <w:bidi w:val="1"/>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13" w:name="_Toc238572108"/>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۵</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bidi/>
              <w:spacing w:after="0" w:line="240" w:lineRule="auto"/>
              <w:jc w:val="right"/>
              <w:rPr>
                <w:b/>
                <w:bCs/>
                <w:color w:val="auto"/>
                <w:lang w:bidi="fa-IR"/>
              </w:rPr>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bidi/>
              <w:spacing w:after="0" w:line="240" w:lineRule="auto"/>
              <w:jc w:val="right"/>
              <w:rPr>
                <w:b/>
                <w:bCs/>
                <w:color w:val="auto"/>
                <w:lang w:bidi="fa-IR"/>
              </w:rPr>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bidi/>
              <w:spacing w:after="0" w:line="240" w:lineRule="auto"/>
              <w:jc w:val="right"/>
              <w:rPr>
                <w:b/>
                <w:bCs/>
                <w:color w:val="auto"/>
                <w:lang w:bidi="fa-IR"/>
              </w:rPr>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bidi/>
              <w:spacing w:after="0" w:line="240" w:lineRule="auto"/>
              <w:jc w:val="right"/>
              <w:rPr>
                <w:b/>
                <w:bCs/>
                <w:color w:val="auto"/>
                <w:lang w:bidi="fa-IR"/>
              </w:rPr>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bidi/>
              <w:spacing w:after="0" w:line="240" w:lineRule="auto"/>
              <w:jc w:val="right"/>
              <w:rPr>
                <w:b/>
                <w:bCs/>
                <w:color w:val="auto"/>
                <w:lang w:bidi="fa-IR"/>
              </w:rPr>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bidi/>
              <w:spacing w:after="0" w:line="240" w:lineRule="auto"/>
              <w:jc w:val="right"/>
              <w:rPr>
                <w:b/>
                <w:bCs/>
                <w:color w:val="auto"/>
                <w:lang w:bidi="fa-IR"/>
              </w:rPr>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bidi/>
              <w:spacing w:after="0" w:line="240" w:lineRule="auto"/>
              <w:jc w:val="center"/>
              <w:rPr>
                <w:b/>
                <w:bCs/>
                <w:color w:val="auto"/>
                <w:lang w:bidi="fa-IR"/>
              </w:rPr>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bidi/>
              <w:spacing w:after="0" w:line="240" w:lineRule="auto"/>
              <w:jc w:val="center"/>
              <w:rPr>
                <w:b/>
                <w:bCs/>
                <w:color w:val="auto"/>
                <w:lang w:bidi="fa-IR"/>
              </w:rPr>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bidi/>
              <w:spacing w:after="0" w:line="240" w:lineRule="auto"/>
              <w:jc w:val="center"/>
              <w:rPr>
                <w:b/>
                <w:bCs/>
                <w:color w:val="auto"/>
                <w:lang w:bidi="fa-IR"/>
              </w:rPr>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bidi/>
              <w:spacing w:after="0" w:line="240" w:lineRule="auto"/>
              <w:jc w:val="center"/>
              <w:rPr>
                <w:b/>
                <w:bCs/>
                <w:color w:val="auto"/>
                <w:lang w:bidi="fa-IR"/>
              </w:rPr>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bidi/>
              <w:spacing w:after="0" w:line="240" w:lineRule="auto"/>
              <w:jc w:val="right"/>
              <w:rPr>
                <w:b/>
                <w:bCs/>
                <w:color w:val="auto"/>
                <w:lang w:bidi="fa-IR"/>
              </w:rPr>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bidi/>
              <w:spacing w:after="0" w:line="240" w:lineRule="auto"/>
              <w:jc w:val="center"/>
              <w:rPr>
                <w:b/>
                <w:bCs/>
                <w:color w:val="auto"/>
                <w:lang w:bidi="fa-IR"/>
              </w:rPr>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bidi/>
              <w:spacing w:after="0" w:line="240" w:lineRule="auto"/>
              <w:jc w:val="center"/>
              <w:rPr>
                <w:b/>
                <w:bCs/>
                <w:color w:val="auto"/>
                <w:lang w:bidi="fa-IR"/>
              </w:rPr>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bidi/>
              <w:spacing w:after="0" w:line="240" w:lineRule="auto"/>
              <w:jc w:val="center"/>
              <w:rPr>
                <w:b/>
                <w:bCs/>
                <w:color w:val="auto"/>
                <w:lang w:bidi="fa-IR"/>
              </w:rPr>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bidi/>
              <w:spacing w:after="0" w:line="240" w:lineRule="auto"/>
              <w:jc w:val="center"/>
              <w:rPr>
                <w:b/>
                <w:bCs/>
                <w:color w:val="auto"/>
                <w:lang w:bidi="fa-IR"/>
              </w:rPr>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bidi/>
              <w:spacing w:after="0" w:line="240" w:lineRule="auto"/>
              <w:jc w:val="right"/>
              <w:rPr>
                <w:b/>
                <w:bCs/>
                <w:color w:val="auto"/>
                <w:lang w:bidi="fa-IR"/>
              </w:rPr>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bidi/>
              <w:spacing w:after="0" w:line="240" w:lineRule="auto"/>
              <w:jc w:val="center"/>
              <w:rPr>
                <w:b/>
                <w:bCs/>
                <w:color w:val="auto"/>
                <w:lang w:bidi="fa-IR"/>
              </w:rPr>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bidi/>
              <w:spacing w:after="0" w:line="240" w:lineRule="auto"/>
              <w:jc w:val="center"/>
              <w:rPr>
                <w:b/>
                <w:bCs/>
                <w:color w:val="auto"/>
                <w:lang w:bidi="fa-IR"/>
              </w:rPr>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bidi/>
              <w:spacing w:after="0" w:line="240" w:lineRule="auto"/>
              <w:jc w:val="center"/>
              <w:rPr>
                <w:b/>
                <w:bCs/>
                <w:color w:val="auto"/>
                <w:lang w:bidi="fa-IR"/>
              </w:rPr>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bidi/>
              <w:spacing w:after="0" w:line="240" w:lineRule="auto"/>
              <w:jc w:val="center"/>
              <w:rPr>
                <w:b/>
                <w:bCs/>
                <w:color w:val="auto"/>
                <w:lang w:bidi="fa-IR"/>
              </w:rPr>
            </w:pPr>
            <w:bookmarkStart w:id="133" w:name="_Toc238572089"/>
            <w:r>
              <w:rPr>
                <w:rFonts w:ascii="Times New Roman" w:hAnsi="Times New Roman" w:hint="cs"/>
                <w:sz w:val="24"/>
                <w:szCs w:val="24"/>
                <w:lang w:bidi="fa-IR"/>
                <w:rtl/>
              </w:rPr>
              <w:t>۷۰</w:t>
            </w:r>
            <w:bookmarkEnd w:id="133"/>
          </w:p>
        </w:tc>
      </w:tr>
    </w:tbl>
    <w:p w14:paraId="55108278" w14:textId="77777777">
      <w:pPr>
        <w:bidi w:val="1"/>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14:paraId="756A126D" w14:textId="77777777">
      <w:pPr>
        <w:pStyle w:val="Heading2"/>
        <w:bidi w:val="1"/>
        <w:spacing w:before="240" w:after="100" w:line="276" w:lineRule="auto"/>
        <w:ind w:firstLine="397"/>
        <w:jc w:val="right"/>
        <w:rPr>
          <w:rFonts w:cs="B Titr" w:ascii="Times New Roman" w:hAnsi="Times New Roman" w:eastAsia="Times New Roman"/>
          <w:b/>
          <w:bCs/>
          <w:color w:val="000000"/>
          <w:sz w:val="30"/>
          <w:szCs w:val="30"/>
          <w:rtl w:val="1"/>
          <w:cs w:val="1"/>
          <w:lang w:bidi="fa-IR" w:val="en-US"/>
        </w:rPr>
      </w:pPr>
      <w:bookmarkStart w:id="135" w:name="_Toc238572091"/>
      <w:r>
        <w:rPr>
          <w:rFonts w:ascii="Times New Roman" w:hAnsi="Times New Roman" w:cs="B Titr" w:eastAsia="Times New Roman"/>
          <w:b/>
          <w:bCs/>
          <w:color w:val="000000"/>
          <w:sz w:val="30"/>
          <w:szCs w:val="30"/>
          <w:rtl w:val="1"/>
          <w:cs w:val="1"/>
          <w:lang w:bidi="fa-IR"/>
        </w:rPr>
        <w:t xml:space="preserve">۴-۲- یافته‌های استنباطی</w:t>
      </w:r>
      <w:r>
        <w:rPr>
          <w:rFonts w:ascii="Times New Roman" w:hAnsi="Times New Roman" w:cs="B Titr" w:eastAsia="Times New Roman"/>
          <w:b/>
          <w:bCs/>
          <w:color w:val="000000"/>
          <w:sz w:val="30"/>
          <w:szCs w:val="30"/>
          <w:rtl w:val="1"/>
          <w:cs w:val="1"/>
          <w:lang w:bidi="fa-IR"/>
        </w:rPr>
        <w:t/>
      </w:r>
      <w:bookmarkEnd w:id="135"/>
    </w:p>
    <w:p w14:paraId="0151E1D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138" w:name="_Toc238572092"/>
      <w:r>
        <w:rPr>
          <w:rFonts w:ascii="Times New Roman" w:hAnsi="Times New Roman" w:cs="B Titr" w:eastAsia="Times New Roman"/>
          <w:b/>
          <w:bCs/>
          <w:color w:val="000000"/>
          <w:sz w:val="30"/>
          <w:szCs w:val="30"/>
          <w:rtl w:val="1"/>
          <w:cs w:val="1"/>
          <w:lang w:bidi="fa-IR"/>
        </w:rPr>
        <w:t>۴-۲-۱- بررسی فرضیه فرعی اول پژوهش: بین هوش معنوی و اضطراب مرگ در سالمندان رابطه وجود دارد.</w:t>
      </w:r>
      <w:bookmarkEnd w:id="138"/>
    </w:p>
    <w:p w14:paraId="3D5129CE"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39" w:name="_Toc238572109"/>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۶</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ضرایب</w:t>
      </w:r>
      <w:r>
        <w:rPr>
          <w:rFonts w:cs="B Lotus" w:ascii="Times New Roman" w:hAnsi="Times New Roman" w:eastAsia="Times New Roman"/>
          <w:b/>
          <w:bCs/>
          <w:color w:val="000000"/>
          <w:sz w:val="24"/>
          <w:szCs w:val="24"/>
          <w:rtl w:val="1"/>
          <w:cs w:val="1"/>
          <w:lang w:bidi="fa-IR"/>
        </w:rPr>
        <w:t xml:space="preserve"> همبستگی </w:t>
      </w:r>
      <w:r>
        <w:rPr>
          <w:rFonts w:cs="B Lotus" w:ascii="Times New Roman" w:hAnsi="Times New Roman" w:eastAsia="Times New Roman"/>
          <w:b/>
          <w:bCs/>
          <w:color w:val="000000"/>
          <w:sz w:val="24"/>
          <w:szCs w:val="24"/>
          <w:rtl w:val="1"/>
          <w:cs w:val="1"/>
          <w:lang w:bidi="fa-IR"/>
        </w:rPr>
        <w:t>پیرسون</w:t>
      </w:r>
      <w:r>
        <w:rPr>
          <w:rFonts w:cs="B Lotus" w:ascii="Times New Roman" w:hAnsi="Times New Roman" w:eastAsia="Times New Roman"/>
          <w:b/>
          <w:bCs/>
          <w:color w:val="000000"/>
          <w:sz w:val="24"/>
          <w:szCs w:val="24"/>
          <w:rtl w:val="1"/>
          <w:cs w:val="1"/>
          <w:lang w:bidi="fa-IR"/>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bidi/>
              <w:spacing w:after="0" w:line="240" w:lineRule="auto"/>
              <w:jc w:val="right"/>
              <w:rPr>
                <w:color w:val="auto"/>
                <w:lang w:bidi="fa-IR"/>
              </w:rPr>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bidi/>
              <w:spacing w:after="0" w:line="240" w:lineRule="auto"/>
              <w:jc w:val="center"/>
              <w:rPr>
                <w:color w:val="auto"/>
                <w:lang w:bidi="fa-IR"/>
              </w:rPr>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bidi/>
              <w:spacing w:after="0" w:line="240" w:lineRule="auto"/>
              <w:jc w:val="center"/>
              <w:rPr>
                <w:color w:val="auto"/>
                <w:lang w:bidi="fa-IR"/>
              </w:rPr>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bidi/>
              <w:spacing w:after="0" w:line="240" w:lineRule="auto"/>
              <w:jc w:val="center"/>
              <w:rPr>
                <w:color w:val="auto"/>
                <w:lang w:bidi="fa-IR"/>
              </w:rPr>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bidi/>
              <w:spacing w:after="0" w:line="240" w:lineRule="auto"/>
              <w:jc w:val="center"/>
              <w:rPr>
                <w:color w:val="auto"/>
                <w:lang w:bidi="fa-IR"/>
              </w:rPr>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bidi/>
              <w:spacing w:after="0" w:line="240" w:lineRule="auto"/>
              <w:jc w:val="center"/>
              <w:rPr>
                <w:color w:val="auto"/>
                <w:lang w:bidi="fa-IR"/>
              </w:rPr>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bidi/>
              <w:spacing w:after="0" w:line="240" w:lineRule="auto"/>
              <w:jc w:val="center"/>
              <w:rPr>
                <w:color w:val="auto"/>
                <w:lang w:bidi="fa-IR"/>
              </w:rPr>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bidi/>
              <w:spacing w:after="0" w:line="240" w:lineRule="auto"/>
              <w:jc w:val="right"/>
              <w:rPr>
                <w:rFonts w:ascii="B Lotus" w:hAnsi="Times New Roman"/>
                <w:color w:val="auto"/>
                <w:lang w:bidi="fa-IR"/>
              </w:rPr>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7C6D0717" w14:textId="77777777">
            <w:pPr>
              <w:bidi/>
              <w:spacing w:after="0" w:line="240" w:lineRule="auto"/>
              <w:jc w:val="center"/>
              <w:rPr>
                <w:color w:val="auto"/>
                <w:lang w:bidi="fa-IR"/>
              </w:rPr>
            </w:pPr>
          </w:p>
        </w:tc>
        <w:tc>
          <w:tcPr>
            <w:tcW w:w="663" w:type="pct"/>
            <w:shd w:val="clear" w:color="auto" w:fill="E6EED5"/>
            <w:vAlign w:val="center"/>
          </w:tcPr>
          <w:p w14:paraId="7DB5F982" w14:textId="77777777">
            <w:pPr>
              <w:bidi/>
              <w:spacing w:after="0" w:line="240" w:lineRule="auto"/>
              <w:jc w:val="center"/>
              <w:rPr>
                <w:color w:val="auto"/>
                <w:lang w:bidi="fa-IR"/>
              </w:rPr>
            </w:pPr>
          </w:p>
        </w:tc>
        <w:tc>
          <w:tcPr>
            <w:tcW w:w="663" w:type="pct"/>
            <w:shd w:val="clear" w:color="auto" w:fill="E6EED5"/>
            <w:vAlign w:val="center"/>
          </w:tcPr>
          <w:p w14:paraId="4931EFAE" w14:textId="77777777">
            <w:pPr>
              <w:bidi/>
              <w:spacing w:after="0" w:line="240" w:lineRule="auto"/>
              <w:jc w:val="center"/>
              <w:rPr>
                <w:color w:val="auto"/>
                <w:lang w:bidi="fa-IR"/>
              </w:rPr>
            </w:pPr>
          </w:p>
        </w:tc>
        <w:tc>
          <w:tcPr>
            <w:tcW w:w="663" w:type="pct"/>
            <w:shd w:val="clear" w:color="auto" w:fill="E6EED5"/>
            <w:vAlign w:val="center"/>
          </w:tcPr>
          <w:p w14:paraId="1BC4BF01" w14:textId="77777777">
            <w:pPr>
              <w:bidi/>
              <w:spacing w:after="0" w:line="240" w:lineRule="auto"/>
              <w:jc w:val="center"/>
              <w:rPr>
                <w:color w:val="auto"/>
                <w:lang w:bidi="fa-IR"/>
              </w:rPr>
            </w:pPr>
          </w:p>
        </w:tc>
        <w:tc>
          <w:tcPr>
            <w:tcW w:w="410" w:type="pct"/>
            <w:shd w:val="clear" w:color="auto" w:fill="E6EED5"/>
            <w:vAlign w:val="center"/>
          </w:tcPr>
          <w:p w14:paraId="65E04634" w14:textId="77777777">
            <w:pPr>
              <w:bidi/>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bidi/>
              <w:spacing w:after="0" w:line="240" w:lineRule="auto"/>
              <w:jc w:val="right"/>
              <w:rPr>
                <w:color w:val="auto"/>
                <w:lang w:bidi="fa-IR"/>
              </w:rPr>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5B2D75B" w14:textId="77777777">
            <w:pPr>
              <w:bidi/>
              <w:spacing w:after="0" w:line="240" w:lineRule="auto"/>
              <w:jc w:val="center"/>
              <w:rPr>
                <w:color w:val="auto"/>
                <w:lang w:bidi="fa-IR"/>
              </w:rPr>
            </w:pPr>
          </w:p>
        </w:tc>
        <w:tc>
          <w:tcPr>
            <w:tcW w:w="663" w:type="pct"/>
            <w:vAlign w:val="center"/>
          </w:tcPr>
          <w:p w14:paraId="58FC7C9F" w14:textId="77777777">
            <w:pPr>
              <w:bidi/>
              <w:spacing w:after="0" w:line="240" w:lineRule="auto"/>
              <w:jc w:val="center"/>
              <w:rPr>
                <w:color w:val="auto"/>
                <w:lang w:bidi="fa-IR"/>
              </w:rPr>
            </w:pPr>
          </w:p>
        </w:tc>
        <w:tc>
          <w:tcPr>
            <w:tcW w:w="663" w:type="pct"/>
            <w:vAlign w:val="center"/>
          </w:tcPr>
          <w:p w14:paraId="6945D34D" w14:textId="77777777">
            <w:pPr>
              <w:bidi/>
              <w:spacing w:after="0" w:line="240" w:lineRule="auto"/>
              <w:jc w:val="center"/>
              <w:rPr>
                <w:color w:val="auto"/>
                <w:lang w:bidi="fa-IR"/>
              </w:rPr>
            </w:pPr>
          </w:p>
        </w:tc>
        <w:tc>
          <w:tcPr>
            <w:tcW w:w="410" w:type="pct"/>
            <w:vAlign w:val="center"/>
          </w:tcPr>
          <w:p w14:paraId="36C80E42" w14:textId="77777777">
            <w:pPr>
              <w:bidi/>
              <w:spacing w:after="0" w:line="240" w:lineRule="auto"/>
              <w:jc w:val="center"/>
              <w:rPr>
                <w:color w:val="auto"/>
                <w:lang w:bidi="fa-IR"/>
              </w:rPr>
            </w:pPr>
          </w:p>
        </w:tc>
      </w:tr>
      <w:tr w14:paraId="2013374B" w14:textId="77777777">
        <w:trPr>
          <w:cantSplit/>
          <w:jc w:val="center"/>
        </w:trPr>
        <w:tc>
          <w:tcPr>
            <w:tcW w:w="1276" w:type="pct"/>
            <w:shd w:val="clear" w:color="auto" w:fill="E6EED5"/>
            <w:vAlign w:val="center"/>
          </w:tcPr>
          <w:p w14:paraId="7AB7A127" w14:textId="77777777">
            <w:pPr>
              <w:bidi/>
              <w:spacing w:after="0" w:line="240" w:lineRule="auto"/>
              <w:jc w:val="right"/>
              <w:rPr>
                <w:color w:val="auto"/>
                <w:lang w:bidi="fa-IR"/>
              </w:rPr>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667F5150" w14:textId="77777777">
            <w:pPr>
              <w:bidi/>
              <w:spacing w:after="0" w:line="240" w:lineRule="auto"/>
              <w:jc w:val="center"/>
              <w:rPr>
                <w:color w:val="auto"/>
                <w:lang w:bidi="fa-IR"/>
              </w:rPr>
            </w:pPr>
          </w:p>
        </w:tc>
        <w:tc>
          <w:tcPr>
            <w:tcW w:w="663" w:type="pct"/>
            <w:shd w:val="clear" w:color="auto" w:fill="E6EED5"/>
            <w:vAlign w:val="center"/>
          </w:tcPr>
          <w:p w14:paraId="3D5F5D3A" w14:textId="77777777">
            <w:pPr>
              <w:bidi/>
              <w:spacing w:after="0" w:line="240" w:lineRule="auto"/>
              <w:jc w:val="center"/>
              <w:rPr>
                <w:color w:val="auto"/>
                <w:lang w:bidi="fa-IR"/>
              </w:rPr>
            </w:pPr>
          </w:p>
        </w:tc>
        <w:tc>
          <w:tcPr>
            <w:tcW w:w="410" w:type="pct"/>
            <w:shd w:val="clear" w:color="auto" w:fill="E6EED5"/>
            <w:vAlign w:val="center"/>
          </w:tcPr>
          <w:p w14:paraId="0E885AE2" w14:textId="77777777">
            <w:pPr>
              <w:bidi/>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bidi/>
              <w:spacing w:after="0" w:line="240" w:lineRule="auto"/>
              <w:jc w:val="right"/>
              <w:rPr>
                <w:color w:val="auto"/>
                <w:lang w:bidi="fa-IR"/>
              </w:rPr>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735C885" w14:textId="77777777">
            <w:pPr>
              <w:bidi/>
              <w:spacing w:after="0" w:line="240" w:lineRule="auto"/>
              <w:jc w:val="center"/>
              <w:rPr>
                <w:color w:val="auto"/>
                <w:lang w:bidi="fa-IR"/>
              </w:rPr>
            </w:pPr>
          </w:p>
        </w:tc>
        <w:tc>
          <w:tcPr>
            <w:tcW w:w="410" w:type="pct"/>
            <w:vAlign w:val="center"/>
          </w:tcPr>
          <w:p w14:paraId="555A5CE6" w14:textId="77777777">
            <w:pPr>
              <w:bidi/>
              <w:spacing w:after="0" w:line="240" w:lineRule="auto"/>
              <w:jc w:val="center"/>
              <w:rPr>
                <w:color w:val="auto"/>
                <w:lang w:bidi="fa-IR"/>
              </w:rPr>
            </w:pPr>
          </w:p>
        </w:tc>
      </w:tr>
      <w:tr w14:paraId="67A7CE23" w14:textId="77777777">
        <w:trPr>
          <w:cantSplit/>
          <w:jc w:val="center"/>
        </w:trPr>
        <w:tc>
          <w:tcPr>
            <w:tcW w:w="1276" w:type="pct"/>
            <w:shd w:val="clear" w:color="auto" w:fill="E6EED5"/>
            <w:vAlign w:val="center"/>
          </w:tcPr>
          <w:p w14:paraId="5FCBD661" w14:textId="77777777">
            <w:pPr>
              <w:bidi/>
              <w:spacing w:after="0" w:line="240" w:lineRule="auto"/>
              <w:jc w:val="right"/>
              <w:rPr>
                <w:color w:val="auto"/>
                <w:lang w:bidi="fa-IR"/>
              </w:rPr>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410" w:type="pct"/>
            <w:shd w:val="clear" w:color="auto" w:fill="E6EED5"/>
            <w:vAlign w:val="center"/>
          </w:tcPr>
          <w:p w14:paraId="4B32670A" w14:textId="77777777">
            <w:pPr>
              <w:bidi/>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bidi/>
              <w:spacing w:after="0" w:line="240" w:lineRule="auto"/>
              <w:jc w:val="right"/>
              <w:rPr>
                <w:color w:val="auto"/>
                <w:lang w:bidi="fa-IR"/>
              </w:rPr>
            </w:pPr>
            <w:r>
              <w:rPr>
                <w:rFonts w:ascii="Times New Roman" w:hAnsi="Times New Roman" w:hint="cs"/>
                <w:sz w:val="24"/>
                <w:szCs w:val="24"/>
                <w:lang w:bidi="fa-IR"/>
                <w:rtl/>
              </w:rPr>
              <w:t>۶. اضطراب مرگ</w:t>
            </w:r>
          </w:p>
        </w:tc>
        <w:tc>
          <w:tcPr>
            <w:tcW w:w="663" w:type="pct"/>
            <w:vAlign w:val="center"/>
          </w:tcPr>
          <w:p w14:paraId="195D80C7"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bidi/>
              <w:spacing w:after="0" w:line="240" w:lineRule="auto"/>
              <w:jc w:val="center"/>
              <w:rPr>
                <w:color w:val="auto"/>
                <w:vertAlign w:val="superscript"/>
                <w:lang w:bidi="fa-IR"/>
              </w:rPr>
            </w:pPr>
            <w:r>
              <w:rPr>
                <w:rFonts w:ascii="Times New Roman" w:hAnsi="Times New Roman" w:hint="cs"/>
                <w:sz w:val="24"/>
                <w:szCs w:val="24"/>
                <w:lang w:bidi="fa-IR"/>
                <w:rtl/>
              </w:rPr>
              <w:t>۱</w:t>
            </w:r>
          </w:p>
        </w:tc>
      </w:tr>
    </w:tbl>
    <w:p w14:paraId="36662516" w14:textId="77777777">
      <w:pPr>
        <w:bidi w:val="1"/>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bidi w:val="1"/>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r)</w:t>
      </w:r>
      <w:r>
        <w:rPr>
          <w:rFonts w:ascii="Times New Roman" w:hAnsi="Times New Roman" w:hint="cs"/>
          <w:lang w:bidi="fa-IR"/>
          <w:rtl/>
        </w:rPr>
        <w:t>، ایجاد معنای شخصی (۴۵/۰-=</w:t>
      </w:r>
      <w:r>
        <w:rPr>
          <w:rFonts w:ascii="Times New Roman" w:hAnsi="Times New Roman" w:hint="cs"/>
          <w:lang w:bidi="fa-IR" w:val="en-US"/>
          <w:rtl w:val="0"/>
        </w:rPr>
        <w:t>r)</w:t>
      </w:r>
      <w:r>
        <w:rPr>
          <w:rFonts w:ascii="Times New Roman" w:hAnsi="Times New Roman" w:hint="cs"/>
          <w:lang w:bidi="fa-IR"/>
          <w:rtl/>
        </w:rPr>
        <w:t>، آگاهی متعالی (۳۱/۰-=</w:t>
      </w:r>
      <w:r>
        <w:rPr>
          <w:rFonts w:ascii="Times New Roman" w:hAnsi="Times New Roman" w:hint="cs"/>
          <w:lang w:bidi="fa-IR" w:val="en-US"/>
          <w:rtl w:val="0"/>
        </w:rPr>
        <w:t>r)</w:t>
      </w:r>
      <w:r>
        <w:rPr>
          <w:rFonts w:ascii="Times New Roman" w:hAnsi="Times New Roman" w:hint="cs"/>
          <w:lang w:bidi="fa-IR"/>
          <w:rtl/>
        </w:rPr>
        <w:t>، و گسترش حالت هوشیاری (۲۹/۰-=</w:t>
      </w:r>
      <w:r>
        <w:rPr>
          <w:rFonts w:ascii="Times New Roman" w:hAnsi="Times New Roman" w:hint="cs"/>
          <w:lang w:bidi="fa-IR" w:val="en-US"/>
          <w:rtl w:val="0"/>
        </w:rPr>
        <w:t>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 </w:t>
      </w:r>
      <w:r>
        <w:rPr>
          <w:rFonts w:ascii="Times New Roman" w:hAnsi="Times New Roman" w:hint="cs"/>
          <w:lang w:bidi="fa-IR"/>
          <w:rtl/>
        </w:rPr>
        <w:t xml:space="preserve">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w:t>
      </w:r>
      <w:r>
        <w:rPr>
          <w:rFonts w:ascii="Times New Roman" w:hAnsi="Times New Roman" w:hint="cs"/>
          <w:lang w:bidi="fa-IR"/>
          <w:rtl/>
        </w:rPr>
        <w:t>بدین ترتیب</w:t>
      </w:r>
      <w:r>
        <w:rPr>
          <w:rFonts w:ascii="Times New Roman" w:hAnsi="Times New Roman" w:hint="cs"/>
          <w:lang w:bidi="fa-IR"/>
          <w:rtl/>
        </w:rPr>
        <w:t xml:space="preserve">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40" w:name="_Toc238572093"/>
      <w:r>
        <w:rPr>
          <w:rFonts w:ascii="Times New Roman" w:hAnsi="Times New Roman" w:cs="B Titr" w:eastAsia="Times New Roman"/>
          <w:b/>
          <w:bCs/>
          <w:color w:val="000000"/>
          <w:sz w:val="30"/>
          <w:szCs w:val="30"/>
          <w:rtl w:val="1"/>
          <w:cs w:val="1"/>
          <w:lang w:bidi="fa-IR"/>
        </w:rPr>
        <w:t>۴-۲-۲- بررسی فرضیه فرعی دوم پژوهش: بین اضطراب سلامتی و اضطراب مرگ در سالمندان رابطه وجود دارد.</w:t>
      </w:r>
      <w:bookmarkEnd w:id="140"/>
    </w:p>
    <w:p w14:paraId="347B8B69"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45" w:name="_Toc238572110"/>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۷</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bidi/>
              <w:spacing w:after="0" w:line="240" w:lineRule="auto"/>
              <w:jc w:val="center"/>
              <w:rPr>
                <w:rFonts w:ascii="Times New Roman" w:eastAsia="Times New Roman" w:hAnsi="Times New Roman"/>
                <w:color w:val="auto"/>
                <w:lang w:bidi="fa-IR"/>
              </w:rPr>
            </w:pPr>
          </w:p>
        </w:tc>
        <w:tc>
          <w:tcPr>
            <w:tcW w:w="1733" w:type="dxa"/>
            <w:shd w:val="clear" w:color="auto" w:fill="E6EED5"/>
            <w:vAlign w:val="center"/>
          </w:tcPr>
          <w:p w14:paraId="317D13FE" w14:textId="77777777">
            <w:pPr>
              <w:bidi/>
              <w:spacing w:after="0" w:line="240" w:lineRule="auto"/>
              <w:jc w:val="center"/>
              <w:rPr>
                <w:rFonts w:ascii="Times New Roman" w:eastAsia="Times New Roman" w:hAnsi="Times New Roman"/>
                <w:color w:val="auto"/>
                <w:lang w:bidi="fa-IR"/>
              </w:rPr>
            </w:pPr>
          </w:p>
        </w:tc>
        <w:tc>
          <w:tcPr>
            <w:tcW w:w="1734" w:type="dxa"/>
            <w:shd w:val="clear" w:color="auto" w:fill="E6EED5"/>
            <w:vAlign w:val="center"/>
          </w:tcPr>
          <w:p w14:paraId="2674CD38" w14:textId="77777777">
            <w:pPr>
              <w:bidi/>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bidi/>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vAlign w:val="center"/>
          </w:tcPr>
          <w:p w14:paraId="0B0341B9" w14:textId="77777777">
            <w:pPr>
              <w:bidi/>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bidi/>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shd w:val="clear" w:color="auto" w:fill="E6EED5"/>
            <w:vAlign w:val="center"/>
          </w:tcPr>
          <w:p w14:paraId="7129122C"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bidi/>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r>
    </w:tbl>
    <w:p w14:paraId="3448242C" w14:textId="77777777">
      <w:pPr>
        <w:bidi w:val="1"/>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bidi w:val="1"/>
        <w:spacing w:after="0" w:line="276" w:lineRule="auto"/>
        <w:ind w:firstLine="397"/>
        <w:jc w:val="both"/>
        <w:rPr>
          <w:color w:val="auto"/>
          <w:sz w:val="26"/>
          <w:szCs w:val="26"/>
          <w:lang w:bidi="fa-IR"/>
        </w:rPr>
      </w:pPr>
      <w:r>
        <w:rPr>
          <w:rFonts w:ascii="Times New Roman" w:hAnsi="Times New Roman" w:hint="cs"/>
          <w:lang w:bidi="fa-IR"/>
          <w:rtl/>
        </w:rPr>
        <w:t>بر اساس نتایج جدول ۴-۷ بین اضطراب مرگ سالمندان با احتمال ابتلا به بیماری (۴۹/۰=</w:t>
      </w:r>
      <w:r>
        <w:rPr>
          <w:rFonts w:ascii="Times New Roman" w:hAnsi="Times New Roman" w:hint="cs"/>
          <w:lang w:bidi="fa-IR" w:val="en-US"/>
          <w:rtl w:val="0"/>
        </w:rPr>
        <w:t>r)</w:t>
      </w:r>
      <w:r>
        <w:rPr>
          <w:rFonts w:ascii="Times New Roman" w:hAnsi="Times New Roman" w:hint="cs"/>
          <w:lang w:bidi="fa-IR"/>
          <w:rtl/>
        </w:rPr>
        <w:t>، پیامدهای منفی بیماری (۵۵/۰=</w:t>
      </w:r>
      <w:r>
        <w:rPr>
          <w:rFonts w:ascii="Times New Roman" w:hAnsi="Times New Roman" w:hint="cs"/>
          <w:lang w:bidi="fa-IR" w:val="en-US"/>
          <w:rtl w:val="0"/>
        </w:rPr>
        <w:t xml:space="preserve">r) </w:t>
      </w:r>
      <w:r>
        <w:rPr>
          <w:rFonts w:ascii="Times New Roman" w:hAnsi="Times New Roman" w:hint="cs"/>
          <w:lang w:bidi="fa-IR"/>
          <w:rtl/>
        </w:rPr>
        <w:t>و اضطراب سلامتی کل(۵۸/۰=</w:t>
      </w:r>
      <w:r>
        <w:rPr>
          <w:rFonts w:ascii="Times New Roman" w:hAnsi="Times New Roman" w:hint="cs"/>
          <w:lang w:bidi="fa-IR" w:val="en-US"/>
          <w:rtl w:val="0"/>
        </w:rPr>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 </w:t>
      </w:r>
      <w:r>
        <w:rPr>
          <w:rFonts w:ascii="Times New Roman" w:hAnsi="Times New Roman" w:hint="cs"/>
          <w:lang w:bidi="fa-IR"/>
          <w:rtl/>
        </w:rPr>
        <w:t xml:space="preserve">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w:t>
      </w:r>
      <w:r>
        <w:rPr>
          <w:rFonts w:ascii="Times New Roman" w:hAnsi="Times New Roman" w:hint="cs"/>
          <w:lang w:bidi="fa-IR"/>
          <w:rtl/>
        </w:rPr>
        <w:t xml:space="preserve">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46" w:name="_Toc238572094"/>
      <w:r>
        <w:rPr>
          <w:rFonts w:ascii="Times New Roman" w:hAnsi="Times New Roman" w:cs="B Titr" w:eastAsia="Times New Roman"/>
          <w:b/>
          <w:bCs/>
          <w:color w:val="000000"/>
          <w:sz w:val="30"/>
          <w:szCs w:val="30"/>
          <w:rtl w:val="1"/>
          <w:cs w:val="1"/>
          <w:lang w:bidi="fa-IR"/>
        </w:rPr>
        <w:t>۴-۲-۳- بررسی فرضیه اصلی پژوهش: بین هوش معنوی و اضطراب سلامتی با اضطراب مرگ در سالمندان رابطه وجود دارد.</w:t>
      </w:r>
      <w:bookmarkEnd w:id="146"/>
    </w:p>
    <w:p>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w:t>
      </w:r>
      <w:r>
        <w:rPr>
          <w:rFonts w:ascii="Times New Roman" w:hAnsi="Times New Roman" w:hint="cs"/>
          <w:lang w:bidi="fa-IR"/>
          <w:rtl/>
        </w:rPr>
        <w:t xml:space="preserve">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w:t>
      </w:r>
      <w:r>
        <w:rPr>
          <w:rFonts w:ascii="Times New Roman" w:hAnsi="Times New Roman" w:hint="cs"/>
          <w:lang w:bidi="fa-IR"/>
          <w:rtl/>
        </w:rPr>
        <w:t xml:space="preserve">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49" w:name="_Toc238572111"/>
      <w:r>
        <w:rPr>
          <w:rFonts w:cs="B Lotus" w:ascii="Times New Roman" w:hAnsi="Times New Roman" w:eastAsia="Times New Roman"/>
          <w:b/>
          <w:bCs/>
          <w:color w:val="000000"/>
          <w:sz w:val="24"/>
          <w:szCs w:val="24"/>
          <w:rtl w:val="1"/>
          <w:cs w:val="1"/>
          <w:lang w:bidi="fa-IR"/>
        </w:rPr>
        <w:lastRenderedPageBreak/>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۸</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bidi/>
              <w:spacing w:after="0" w:line="240" w:lineRule="auto"/>
              <w:jc w:val="right"/>
              <w:rPr>
                <w:color w:val="auto"/>
                <w:lang w:bidi="fa-IR"/>
              </w:rPr>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bidi/>
              <w:spacing w:after="0" w:line="240" w:lineRule="auto"/>
              <w:jc w:val="right"/>
              <w:rPr>
                <w:color w:val="auto"/>
                <w:lang w:bidi="fa-IR"/>
              </w:rPr>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1298" w:type="dxa"/>
            <w:vAlign w:val="center"/>
          </w:tcPr>
          <w:p w14:paraId="7512E0D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bidi/>
              <w:spacing w:after="0" w:line="240" w:lineRule="auto"/>
              <w:jc w:val="center"/>
              <w:rPr>
                <w:color w:val="auto"/>
                <w:lang w:bidi="fa-IR"/>
              </w:rPr>
            </w:pPr>
          </w:p>
        </w:tc>
        <w:tc>
          <w:tcPr>
            <w:tcW w:w="1298" w:type="dxa"/>
            <w:vAlign w:val="center"/>
          </w:tcPr>
          <w:p w14:paraId="096975BC"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bidi/>
              <w:spacing w:after="0" w:line="240" w:lineRule="auto"/>
              <w:jc w:val="center"/>
              <w:rPr>
                <w:color w:val="auto"/>
                <w:lang w:bidi="fa-IR"/>
              </w:rPr>
            </w:pPr>
            <w:r>
              <w:rPr>
                <w:rFonts w:ascii="Times New Roman" w:hAnsi="Times New Roman" w:hint="cs"/>
                <w:sz w:val="24"/>
                <w:szCs w:val="24"/>
                <w:lang w:bidi="fa-IR"/>
                <w:rtl/>
              </w:rPr>
              <w:t>۲</w:t>
            </w:r>
          </w:p>
        </w:tc>
        <w:tc>
          <w:tcPr>
            <w:tcW w:w="1298" w:type="dxa"/>
            <w:vAlign w:val="center"/>
          </w:tcPr>
          <w:p w14:paraId="5D71AA3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bidi/>
              <w:spacing w:after="0" w:line="240" w:lineRule="auto"/>
              <w:jc w:val="center"/>
              <w:rPr>
                <w:color w:val="auto"/>
                <w:lang w:bidi="fa-IR"/>
              </w:rPr>
            </w:pPr>
          </w:p>
        </w:tc>
        <w:tc>
          <w:tcPr>
            <w:tcW w:w="1298" w:type="dxa"/>
            <w:vAlign w:val="center"/>
          </w:tcPr>
          <w:p w14:paraId="6703FC15"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bidi/>
              <w:spacing w:after="0" w:line="240" w:lineRule="auto"/>
              <w:jc w:val="center"/>
              <w:rPr>
                <w:color w:val="auto"/>
                <w:lang w:bidi="fa-IR"/>
              </w:rPr>
            </w:pPr>
            <w:r>
              <w:rPr>
                <w:rFonts w:ascii="Times New Roman" w:hAnsi="Times New Roman" w:hint="cs"/>
                <w:sz w:val="24"/>
                <w:szCs w:val="24"/>
                <w:lang w:bidi="fa-IR"/>
                <w:rtl/>
              </w:rPr>
              <w:t>۳</w:t>
            </w:r>
          </w:p>
        </w:tc>
        <w:tc>
          <w:tcPr>
            <w:tcW w:w="1298" w:type="dxa"/>
            <w:vAlign w:val="center"/>
          </w:tcPr>
          <w:p w14:paraId="34255E55"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bidi/>
              <w:spacing w:after="0" w:line="240" w:lineRule="auto"/>
              <w:jc w:val="center"/>
              <w:rPr>
                <w:color w:val="auto"/>
                <w:lang w:bidi="fa-IR"/>
              </w:rPr>
            </w:pPr>
          </w:p>
        </w:tc>
        <w:tc>
          <w:tcPr>
            <w:tcW w:w="1298" w:type="dxa"/>
            <w:vAlign w:val="center"/>
          </w:tcPr>
          <w:p w14:paraId="4FAB5638"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bidi/>
              <w:spacing w:after="0" w:line="240" w:lineRule="auto"/>
              <w:jc w:val="center"/>
              <w:rPr>
                <w:color w:val="auto"/>
                <w:lang w:bidi="fa-IR"/>
              </w:rPr>
            </w:pPr>
            <w:r>
              <w:rPr>
                <w:rFonts w:ascii="Times New Roman" w:hAnsi="Times New Roman" w:hint="cs"/>
                <w:sz w:val="24"/>
                <w:szCs w:val="24"/>
                <w:lang w:bidi="fa-IR"/>
                <w:rtl/>
              </w:rPr>
              <w:t>۴</w:t>
            </w:r>
          </w:p>
        </w:tc>
        <w:tc>
          <w:tcPr>
            <w:tcW w:w="1298" w:type="dxa"/>
            <w:vAlign w:val="center"/>
          </w:tcPr>
          <w:p w14:paraId="66CD90AC"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bidi/>
              <w:spacing w:after="0" w:line="240" w:lineRule="auto"/>
              <w:jc w:val="center"/>
              <w:rPr>
                <w:color w:val="auto"/>
                <w:lang w:bidi="fa-IR"/>
              </w:rPr>
            </w:pPr>
          </w:p>
        </w:tc>
        <w:tc>
          <w:tcPr>
            <w:tcW w:w="1298" w:type="dxa"/>
            <w:vAlign w:val="center"/>
          </w:tcPr>
          <w:p w14:paraId="030257E2"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bidi w:val="1"/>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keepNext/>
        <w:autoSpaceDE/>
        <w:autoSpaceDN/>
        <w:bidi w:val="1"/>
        <w:adjustRightInd/>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50" w:name="_Toc238572112"/>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۹</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pPr>
        <w:bidi w:val="1"/>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با در نظر گرفتن</w:t>
      </w:r>
      <w:r>
        <w:rPr>
          <w:rFonts w:ascii="Times New Roman" w:hAnsi="Times New Roman" w:hint="cs"/>
          <w:lang w:bidi="fa-IR"/>
          <w:rtl/>
        </w:rPr>
        <w:t xml:space="preserve">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xml:space="preserve">. </w:t>
      </w:r>
      <w:r>
        <w:rPr>
          <w:rFonts w:ascii="Times New Roman" w:hAnsi="Times New Roman" w:hint="cs"/>
          <w:lang w:bidi="fa-IR"/>
          <w:rtl/>
        </w:rPr>
        <w:t>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در نظر گرفتن</w:t>
      </w:r>
      <w:r>
        <w:rPr>
          <w:rFonts w:ascii="Times New Roman" w:eastAsia="Times New Roman" w:hAnsi="Times New Roman" w:hint="cs"/>
          <w:lang w:bidi="fa-IR"/>
          <w:rtl/>
        </w:rPr>
        <w:t xml:space="preserve">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b/>
          <w:bCs/>
          <w:color w:val="000000"/>
          <w:sz w:val="56"/>
          <w:szCs w:val="56"/>
          <w:rtl w:val="1"/>
          <w:cs w:val="1"/>
          <w:lang w:bidi="fa-IR"/>
        </w:rPr>
        <w:lastRenderedPageBreak/>
        <w:t>فصل پنجم: بحث و نتیجه‌گیری</w:t>
      </w:r>
      <w:bookmarkEnd w:id="154"/>
    </w:p>
    <w:p w14:paraId="6C2E88EF"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color w:val="000000"/>
          <w:sz w:val="30"/>
          <w:szCs w:val="30"/>
          <w:rtl w:val="1"/>
          <w:cs w:val="1"/>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pPr>
        <w:bidi w:val="1"/>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Style w:val="FootnoteReference"/>
          <w:rFonts w:ascii="Times New Roman" w:eastAsia="Times New Roman" w:hAnsi="Times New Roman" w:hint="cs" w:cs="Times New Roman"/>
          <w:vertAlign w:val="superscript"/>
          <w:lang w:bidi="fa-IR" w:val="en-US"/>
          <w:sz w:val="20"/>
          <w:szCs w:val="20"/>
          <w:rtl w:val="0"/>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w:t>
      </w:r>
      <w:r>
        <w:rPr>
          <w:rFonts w:ascii="Times New Roman" w:hAnsi="Times New Roman" w:hint="cs"/>
          <w:lang w:bidi="fa-IR"/>
          <w:rtl/>
        </w:rPr>
        <w:t xml:space="preserve">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w:t>
      </w:r>
      <w:r>
        <w:rPr>
          <w:rFonts w:ascii="Times New Roman" w:hAnsi="Times New Roman" w:hint="cs"/>
          <w:lang w:bidi="fa-IR"/>
          <w:rtl/>
        </w:rPr>
        <w:t xml:space="preserve">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bidi w:val="1"/>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pPr>
        <w:bidi w:val="1"/>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Style w:val="FootnoteReference"/>
          <w:rFonts w:ascii="Times New Roman" w:hAnsi="Times New Roman" w:hint="cs" w:eastAsia="Times New Roman" w:cs="Times New Roman"/>
          <w:vertAlign w:val="superscript"/>
          <w:lang w:bidi="fa-IR" w:val="en-US"/>
          <w:sz w:val="20"/>
          <w:szCs w:val="20"/>
          <w:rtl w:val="0"/>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Style w:val="FootnoteReference"/>
          <w:rFonts w:ascii="Times New Roman" w:hAnsi="Times New Roman" w:hint="cs" w:eastAsia="Times New Roman" w:cs="Times New Roman"/>
          <w:vertAlign w:val="superscript"/>
          <w:lang w:bidi="fa-IR" w:val="en-US"/>
          <w:sz w:val="20"/>
          <w:szCs w:val="20"/>
          <w:rtl w:val="0"/>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xml:space="preserve">، لرزش، لرزیدن، تحریک پذیری، تعریق، حالت تهوع و... است. </w:t>
      </w:r>
      <w:r>
        <w:rPr>
          <w:rFonts w:ascii="Times New Roman" w:hAnsi="Times New Roman" w:hint="cs"/>
          <w:lang w:bidi="fa-IR"/>
          <w:rtl/>
        </w:rPr>
        <w:t xml:space="preserve">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w:t>
      </w:r>
      <w:r>
        <w:rPr>
          <w:rFonts w:ascii="Times New Roman" w:eastAsia="Times New Roman" w:hAnsi="Times New Roman" w:hint="cs"/>
          <w:lang w:bidi="fa-IR"/>
          <w:rtl/>
        </w:rPr>
        <w:t xml:space="preserve">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از منظر نظری و </w:t>
      </w:r>
      <w:r>
        <w:rPr>
          <w:rFonts w:ascii="Times New Roman" w:eastAsia="Times New Roman" w:hAnsi="Times New Roman" w:hint="cs"/>
          <w:lang w:bidi="fa-IR"/>
          <w:rtl/>
        </w:rPr>
        <w:t>با عنایت به</w:t>
      </w:r>
      <w:r>
        <w:rPr>
          <w:rFonts w:ascii="Times New Roman" w:eastAsia="Times New Roman" w:hAnsi="Times New Roman" w:hint="cs"/>
          <w:lang w:bidi="fa-IR"/>
          <w:rtl/>
        </w:rPr>
        <w:t xml:space="preserve"> 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color w:val="000000"/>
          <w:sz w:val="30"/>
          <w:szCs w:val="30"/>
          <w:rtl w:val="1"/>
          <w:cs w:val="1"/>
          <w:lang w:bidi="fa-IR"/>
        </w:rPr>
        <w:t xml:space="preserve">۵-۲- محدودیت‌های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p>
    <w:p w14:paraId="0BE4ABA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w:t>
      </w:r>
      <w:r>
        <w:rPr>
          <w:rFonts w:ascii="Times New Roman" w:eastAsia="Times New Roman" w:hAnsi="Times New Roman" w:hint="cs"/>
          <w:lang w:bidi="fa-IR"/>
          <w:rtl/>
        </w:rPr>
        <w:t xml:space="preserve">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color w:val="000000"/>
          <w:sz w:val="30"/>
          <w:szCs w:val="30"/>
          <w:rtl w:val="1"/>
          <w:cs w:val="1"/>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color w:val="000000"/>
          <w:sz w:val="30"/>
          <w:szCs w:val="30"/>
          <w:rtl w:val="1"/>
          <w:cs w:val="1"/>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color w:val="000000"/>
          <w:sz w:val="30"/>
          <w:szCs w:val="30"/>
          <w:rtl w:val="1"/>
          <w:cs w:val="1"/>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pPr>
        <w:bidi w:val="1"/>
        <w:spacing w:after="0" w:line="276" w:lineRule="auto"/>
        <w:ind w:firstLine="397"/>
        <w:jc w:val="both"/>
        <w:rPr>
          <w:lang w:bidi="fa-IR"/>
        </w:rPr>
      </w:pPr>
      <w:r>
        <w:rPr>
          <w:rFonts w:ascii="Times New Roman" w:hAnsi="Times New Roman" w:hint="cs"/>
          <w:lang w:bidi="fa-IR"/>
          <w:rtl/>
        </w:rPr>
        <w:t xml:space="preserve">_ </w:t>
      </w:r>
      <w:r>
        <w:rPr>
          <w:rFonts w:ascii="Times New Roman" w:hAnsi="Times New Roman" w:hint="cs"/>
          <w:lang w:bidi="fa-IR"/>
          <w:rtl/>
        </w:rPr>
        <w:t>با عنایت به</w:t>
      </w:r>
      <w:r>
        <w:rPr>
          <w:rFonts w:ascii="Times New Roman" w:hAnsi="Times New Roman" w:hint="cs"/>
          <w:lang w:bidi="fa-IR"/>
          <w:rtl/>
        </w:rPr>
        <w:t xml:space="preserve"> 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bidi w:val="1"/>
        <w:spacing w:after="100" w:line="276" w:lineRule="auto" w:before="0"/>
        <w:jc w:val="right"/>
        <w:rPr>
          <w:rFonts w:ascii="Times New Roman" w:hAnsi="Times New Roman" w:eastAsia="Times New Roman" w:cs="B Titr"/>
          <w:b/>
          <w:bCs/>
          <w:color w:val="000000"/>
          <w:sz w:val="56"/>
          <w:szCs w:val="56"/>
          <w:rtl w:val="1"/>
          <w:cs w:val="1"/>
          <w:lang w:bidi="fa-IR" w:val="en-US"/>
        </w:rPr>
      </w:pPr>
      <w:bookmarkStart w:id="235" w:name="_Toc238572101"/>
      <w:r>
        <w:rPr>
          <w:rFonts w:ascii="Times New Roman" w:hAnsi="Times New Roman" w:cs="B Titr" w:eastAsia="Times New Roman"/>
          <w:b/>
          <w:bCs/>
          <w:color w:val="000000"/>
          <w:sz w:val="56"/>
          <w:szCs w:val="56"/>
          <w:rtl w:val="1"/>
          <w:cs w:val="1"/>
          <w:lang w:bidi="fa-IR"/>
        </w:rPr>
        <w:lastRenderedPageBreak/>
        <w:t>منابع فارسی</w:t>
      </w:r>
      <w:bookmarkEnd w:id="235"/>
    </w:p>
    <w:p w14:paraId="6655392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pageBreakBefore/>
        <w:autoSpaceDE/>
        <w:autoSpaceDN/>
        <w:bidi w:val="1"/>
        <w:adjustRightInd/>
        <w:spacing w:after="0" w:line="276" w:lineRule="auto" w:before="0"/>
        <w:ind w:firstLine="397"/>
        <w:jc w:val="right"/>
        <w:rPr>
          <w:rFonts w:ascii="Times New Roman" w:hAnsi="Times New Roman" w:eastAsia="Times New Roman" w:cs="B Titr"/>
          <w:b/>
          <w:bCs/>
          <w:color w:val="000000"/>
          <w:sz w:val="56"/>
          <w:szCs w:val="56"/>
          <w:rtl w:val="1"/>
          <w:cs w:val="1"/>
          <w:lang w:bidi="fa-IR" w:val="en-US"/>
        </w:rPr>
      </w:pPr>
      <w:bookmarkStart w:id="236" w:name="_Toc238572102"/>
      <w:r>
        <w:rPr>
          <w:rFonts w:ascii="Times New Roman" w:hAnsi="Times New Roman" w:cs="B Titr" w:eastAsia="Times New Roman"/>
          <w:b/>
          <w:bCs/>
          <w:color w:val="000000"/>
          <w:sz w:val="56"/>
          <w:szCs w:val="56"/>
          <w:rtl w:val="1"/>
          <w:cs w:val="1"/>
          <w:lang w:bidi="fa-IR"/>
        </w:rPr>
        <w:t>منابع لاتین</w:t>
      </w:r>
      <w:bookmarkEnd w:id="236"/>
    </w:p>
    <w:p w14:paraId="0D7FF25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Abramowitz, J. S., &amp; Braddock, A. E. (2023). Psychological Treatment of Health Anxiety and Illness Anxiety Disorder. Guilford Press.</w:t>
      </w:r>
    </w:p>
    <w:p w14:paraId="0080DE3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Psychiatric Association (2022). Diagnostic and Statistical Manual of Mental Disorders (5th ed., Text Revision; DSM-5-TR). Washington, DC: American Psychiatric Association.</w:t>
      </w:r>
    </w:p>
    <w:p w14:paraId="6ADA431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Psychological Association. (2023). Clinical Practice Guideline for the Treatment of Depression and Anxiety in Older Adults.</w:t>
      </w:r>
    </w:p>
    <w:p w14:paraId="524DACE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Amiri, S., </w:t>
      </w:r>
      <w:r>
        <w:rPr>
          <w:rFonts w:ascii="Times New Roman" w:eastAsia="Times New Roman" w:hAnsi="Times New Roman" w:cs="Times New Roman"/>
          <w:sz w:val="24"/>
          <w:szCs w:val="24"/>
          <w:rtl w:val="0"/>
          <w:cs w:val="0"/>
          <w:lang w:val="en-US"/>
        </w:rPr>
        <w:t>Ghaffari</w:t>
      </w:r>
      <w:r>
        <w:rPr>
          <w:rFonts w:ascii="Times New Roman" w:eastAsia="Times New Roman" w:hAnsi="Times New Roman" w:cs="Times New Roman"/>
          <w:sz w:val="24"/>
          <w:szCs w:val="24"/>
          <w:rtl w:val="0"/>
          <w:cs w:val="0"/>
          <w:lang w:val="en-US"/>
        </w:rPr>
        <w:t xml:space="preserve">, M., &amp; </w:t>
      </w:r>
      <w:r>
        <w:rPr>
          <w:rFonts w:ascii="Times New Roman" w:eastAsia="Times New Roman" w:hAnsi="Times New Roman" w:cs="Times New Roman"/>
          <w:sz w:val="24"/>
          <w:szCs w:val="24"/>
          <w:rtl w:val="0"/>
          <w:cs w:val="0"/>
          <w:lang w:val="en-US"/>
        </w:rPr>
        <w:t>Shafiei</w:t>
      </w:r>
      <w:r>
        <w:rPr>
          <w:rFonts w:ascii="Times New Roman" w:eastAsia="Times New Roman" w:hAnsi="Times New Roman" w:cs="Times New Roman"/>
          <w:sz w:val="24"/>
          <w:szCs w:val="24"/>
          <w:rtl w:val="0"/>
          <w:cs w:val="0"/>
          <w:lang w:val="en-US"/>
        </w:rPr>
        <w:t>, M. (2016). The effect of spiritual intelligence on psychological health among elderly people. Aging &amp; Mental Health, 20(6), 610-617.</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Atchison, K., et al. (2024). Detection of anxiety symptoms and disorders in older adults: A diagnostic accuracy systematic review. Age and Ageing. https://doi.org/10.1093/ageing/afae122</w:t>
      </w:r>
    </w:p>
    <w:p w14:paraId="41DEE56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Atchley, R. C. (1989). A Continuity Theory of Normal Aging. The Gerontologist, 29(2), 183–190.</w:t>
      </w:r>
      <w:r>
        <w:rPr>
          <w:rFonts w:ascii="Times New Roman" w:hAnsi="Times New Roman" w:eastAsia="Times New Roman" w:cs="Times New Roman"/>
          <w:rtl w:val="0"/>
          <w:cs w:val="0"/>
          <w:lang w:val="en-US"/>
        </w:rPr>
        <w:t xml:space="preserve"> </w:t>
      </w:r>
      <w:hyperlink r:id="rIdDoiAtchley89" w:history="1">
        <w:r>
          <w:rPr>
            <w:rFonts w:ascii="Times New Roman" w:hAnsi="Times New Roman" w:eastAsia="Times New Roman" w:cs="B Lotus"/>
            <w:rStyle w:val="Hyperlink"/>
            <w:sz w:val="28"/>
            <w:szCs w:val="28"/>
            <w:rtl w:val="0"/>
            <w:cs w:val="0"/>
            <w:lang w:val="en-US"/>
          </w:rPr>
          <w:t>https://doi.org/10.1093/geront/29.2.183</w:t>
        </w:r>
      </w:hyperlink>
    </w:p>
    <w:p w14:paraId="1F1287A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Atchley, R. C. (2016). Social Forces and Aging: An Introduction to Social Gerontology (14 </w:t>
      </w:r>
      <w:r>
        <w:rPr>
          <w:rFonts w:ascii="Times New Roman" w:eastAsia="Times New Roman" w:hAnsi="Times New Roman" w:cs="Times New Roman"/>
          <w:sz w:val="24"/>
          <w:szCs w:val="24"/>
          <w:rtl w:val="0"/>
          <w:cs w:val="0"/>
          <w:lang w:val="en-US"/>
        </w:rPr>
        <w:t>thed</w:t>
      </w:r>
      <w:r>
        <w:rPr>
          <w:rFonts w:ascii="Times New Roman" w:eastAsia="Times New Roman" w:hAnsi="Times New Roman" w:cs="Times New Roman"/>
          <w:sz w:val="24"/>
          <w:szCs w:val="24"/>
          <w:rtl w:val="0"/>
          <w:cs w:val="0"/>
          <w:lang w:val="en-US"/>
        </w:rPr>
        <w:t>). Cengage Learning.</w:t>
      </w:r>
    </w:p>
    <w:p w14:paraId="24EA6A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Beck, J. S., &amp; Haigh, E. A. P. (2014). Advances in Cognitive Theory and Therapy: The Generic Cognitive Model. Annual Review of Clinical Psychology, 10, 1–24.</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Bolton, D., &amp; Gillett, G. (2019). The biopsychosocial model of health and disease: New philosophical and scientific developments. Palgrave Macmillan. https://doi.org/10.1007/978-3-030-11899-0</w:t>
      </w:r>
    </w:p>
    <w:p w14:paraId="4E39BE5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Campisi</w:t>
      </w:r>
      <w:r>
        <w:rPr>
          <w:rFonts w:ascii="Times New Roman" w:eastAsia="Times New Roman" w:hAnsi="Times New Roman" w:cs="Times New Roman"/>
          <w:sz w:val="24"/>
          <w:szCs w:val="24"/>
          <w:rtl w:val="0"/>
          <w:cs w:val="0"/>
          <w:lang w:val="en-US"/>
        </w:rPr>
        <w:t>, J. (2024). Cellular Senescence and Organismal Aging. Nature Reviews Molecular Cell Biology.</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sz w:val="28"/>
            <w:szCs w:val="28"/>
            <w:rtl w:val="0"/>
            <w:cs w:val="0"/>
            <w:lang w:val="en-US"/>
          </w:rPr>
          <w:t xml:space="preserve">https://doi.org/10.1126/science.1127488</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sz w:val="28"/>
            <w:szCs w:val="28"/>
            <w:rtl w:val="0"/>
            <w:cs w:val="0"/>
            <w:lang w:val="en-US"/>
          </w:rPr>
          <w:t xml:space="preserve">https://doi.org/10.1093/geront/gnab116</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sz w:val="28"/>
            <w:szCs w:val="28"/>
            <w:rtl w:val="0"/>
            <w:cs w:val="0"/>
            <w:lang w:val="en-US"/>
          </w:rPr>
          <w:t xml:space="preserve">https://doi.org/10.1037/0003-066X.54.3.165</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Chen, Y., et al. (2023). Effects of Progressive Muscle Relaxation on anxiety, sleep quality, and quality of life in older adults: A systematic review and meta-analysis. Complementary Therapies in Medicine.</w:t>
      </w:r>
    </w:p>
    <w:p w14:paraId="0D96590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Chlan</w:t>
      </w:r>
      <w:r>
        <w:rPr>
          <w:rFonts w:ascii="Times New Roman" w:eastAsia="Times New Roman" w:hAnsi="Times New Roman" w:cs="Times New Roman"/>
          <w:sz w:val="24"/>
          <w:szCs w:val="24"/>
          <w:rtl w:val="0"/>
          <w:cs w:val="0"/>
          <w:lang w:val="en-US"/>
        </w:rPr>
        <w:t xml:space="preserve">, K.M. </w:t>
      </w:r>
      <w:r>
        <w:rPr>
          <w:rFonts w:ascii="Times New Roman" w:eastAsia="Times New Roman" w:hAnsi="Times New Roman" w:cs="Times New Roman"/>
          <w:sz w:val="24"/>
          <w:szCs w:val="24"/>
          <w:rtl w:val="0"/>
          <w:cs w:val="0"/>
          <w:lang w:val="en-US"/>
        </w:rPr>
        <w:t>Zebracki</w:t>
      </w:r>
      <w:r>
        <w:rPr>
          <w:rFonts w:ascii="Times New Roman" w:eastAsia="Times New Roman" w:hAnsi="Times New Roman" w:cs="Times New Roman"/>
          <w:sz w:val="24"/>
          <w:szCs w:val="24"/>
          <w:rtl w:val="0"/>
          <w:cs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cs w:val="0"/>
          <w:lang w:val="en-US"/>
        </w:rPr>
        <w:t>injory</w:t>
      </w:r>
      <w:r>
        <w:rPr>
          <w:rFonts w:ascii="Times New Roman" w:eastAsia="Times New Roman" w:hAnsi="Times New Roman" w:cs="Times New Roman"/>
          <w:sz w:val="24"/>
          <w:szCs w:val="24"/>
          <w:rtl w:val="0"/>
          <w:cs w:val="0"/>
          <w:lang w:val="en-US"/>
        </w:rPr>
        <w:t>. Retrieved from</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Cumming, E., &amp; Henry, W. E. (1961). Growing Old: The Process of Disengagement. New York: Basic Books.</w:t>
      </w:r>
    </w:p>
    <w:p w14:paraId="33FE5DD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Diener, E., Oishi, S., &amp; Tay, L. (2018). Advances in subjective well-being research. Nature Human </w:t>
      </w:r>
      <w:r>
        <w:rPr>
          <w:rFonts w:ascii="Times New Roman" w:eastAsia="Times New Roman" w:hAnsi="Times New Roman" w:cs="Times New Roman"/>
          <w:sz w:val="24"/>
          <w:szCs w:val="24"/>
          <w:rtl w:val="0"/>
          <w:cs w:val="0"/>
          <w:lang w:val="en-US"/>
        </w:rPr>
        <w:t>Behaviour</w:t>
      </w:r>
      <w:r>
        <w:rPr>
          <w:rFonts w:ascii="Times New Roman" w:eastAsia="Times New Roman" w:hAnsi="Times New Roman" w:cs="Times New Roman"/>
          <w:sz w:val="24"/>
          <w:szCs w:val="24"/>
          <w:rtl w:val="0"/>
          <w:cs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://doi.org/10.1038/s41562-018-0307-6</w:t>
      </w:r>
    </w:p>
    <w:p w14:paraId="4061C29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Dowd, J. J. (1975). Aging as Exchange: A Preface to Theory. Journal of Gerontology, 30(5), 584–594.</w:t>
      </w:r>
    </w:p>
    <w:p w14:paraId="0171EB8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(1982). The Life Cycle Completed. New York: W. W. Norton.</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Erikson, J. M., &amp; Kivnick, H. Q. (1986). Vital Involvement in Old Age. New York: W. W. Norton.</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Fergus, T. A., &amp; Valentiner, D. P. (2022). Health anxiety and illness anxiety disorder: Contemporary perspectives and clinical implications.</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c18" w:history="1">
        <w:r>
          <w:rPr>
            <w:rFonts w:ascii="Times New Roman" w:hAnsi="Times New Roman" w:eastAsia="Times New Roman" w:cs="B Lotus"/>
            <w:rStyle w:val="Hyperlink"/>
            <w:sz w:val="28"/>
            <w:szCs w:val="28"/>
            <w:rtl w:val="0"/>
            <w:cs w:val="0"/>
            <w:lang w:val="en-US"/>
          </w:rPr>
          <w:t xml:space="preserve">https://doi.org/10.1038/s41574-018-0059-4</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Fulop, T., Larbi, A., Dupuis, G., et al. (2023). Immunosenescence and Inflammaging as Two Sides of the Same Coin: Friends or Foes? Frontiers in Immunology.</w:t>
      </w:r>
    </w:p>
    <w:p w14:paraId="0F199F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Gladyshev</w:t>
      </w:r>
      <w:r>
        <w:rPr>
          <w:rFonts w:ascii="Times New Roman" w:eastAsia="Times New Roman" w:hAnsi="Times New Roman" w:cs="Times New Roman"/>
          <w:sz w:val="24"/>
          <w:szCs w:val="24"/>
          <w:rtl w:val="0"/>
          <w:cs w:val="0"/>
          <w:lang w:val="en-US"/>
        </w:rPr>
        <w:t>, V. N. (2024). The Biology of Aging. Nature Reviews Molecular Cell Biology.</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Goodarzi, F., Khoshravesh, S., Ayubi, E., Bashirian, S., &amp; Barati, M. (2024). Psychosocial determinants of functional independence among older adults: A systematic review and meta-analysis. Health Promotion Perspectives, 14(1), 32–43. https://doi.org/10.34172/hpp.42354https://doi.org/10.1007/s11920-024-01507-2</w:t>
      </w:r>
    </w:p>
    <w:p w14:paraId="0F26E0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Gould, R. L., et al. (2022).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therapy for depression and anxiety in older people: A systematic review and meta-analysis. Age and Ageing.</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Halldórsson, B., &amp; Salkovskis, P. M. (2023). Reassurance and its alternatives: Overview and cognitive behavioural conceptualisation. Journal of Obsessive-Compulsive and Related Disorders, 36, 100783. https://doi.org/10.1016/j.jocrd.2023.100783</w:t>
      </w:r>
    </w:p>
    <w:p w14:paraId="1CB4730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cs w:val="0"/>
          <w:lang w:val="en-US"/>
        </w:rPr>
        <w:t>centre</w:t>
      </w:r>
      <w:r>
        <w:rPr>
          <w:rFonts w:ascii="Times New Roman" w:eastAsia="Times New Roman" w:hAnsi="Times New Roman" w:cs="Times New Roman"/>
          <w:sz w:val="24"/>
          <w:szCs w:val="24"/>
          <w:rtl w:val="0"/>
          <w:cs w:val="0"/>
          <w:lang w:val="en-US"/>
        </w:rPr>
        <w:t>. Palliative Medicine, 19(6), 556–562.</w:t>
      </w:r>
    </w:p>
    <w:p w14:paraId="51AE652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(1961). Successful Aging. In The </w:t>
      </w:r>
      <w:r>
        <w:rPr>
          <w:rFonts w:ascii="Times New Roman" w:eastAsia="Times New Roman" w:hAnsi="Times New Roman" w:cs="Times New Roman"/>
          <w:sz w:val="24"/>
          <w:szCs w:val="24"/>
          <w:rtl w:val="0"/>
          <w:cs w:val="0"/>
          <w:lang w:val="en-US"/>
        </w:rPr>
        <w:t>Gerontologist.</w:t>
      </w:r>
      <w:hyperlink r:id="rId13" w:history="1">
        <w:r>
          <w:rPr>
            <w:rFonts w:ascii="Times New Roman" w:eastAsia="Times New Roman" w:hAnsi="Times New Roman"/>
            <w:rtl w:val="0"/>
            <w:lang w:val="en-US"/>
          </w:rPr>
          <w:t>https</w:t>
        </w:r>
        <w:r>
          <w:rPr>
            <w:rFonts w:ascii="Times New Roman" w:eastAsia="Times New Roman" w:hAnsi="Times New Roman"/>
            <w:rtl w:val="0"/>
            <w:lang w:val="en-US"/>
          </w:rPr>
          <w:t>://doi.org/10.1097/MS9.0000000000002100</w:t>
        </w:r>
      </w:hyperlink>
    </w:p>
    <w:p w14:paraId="2A6C7D0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w:t>
      </w:r>
      <w:r>
        <w:rPr>
          <w:rFonts w:ascii="Times New Roman" w:eastAsia="Times New Roman" w:hAnsi="Times New Roman" w:cs="Times New Roman"/>
          <w:sz w:val="24"/>
          <w:szCs w:val="24"/>
          <w:rtl w:val="0"/>
          <w:cs w:val="0"/>
          <w:lang w:val="en-US"/>
        </w:rPr>
        <w:t>Neugarten</w:t>
      </w:r>
      <w:r>
        <w:rPr>
          <w:rFonts w:ascii="Times New Roman" w:eastAsia="Times New Roman" w:hAnsi="Times New Roman" w:cs="Times New Roman"/>
          <w:sz w:val="24"/>
          <w:szCs w:val="24"/>
          <w:rtl w:val="0"/>
          <w:cs w:val="0"/>
          <w:lang w:val="en-US"/>
        </w:rPr>
        <w:t>, B. L., &amp; Tobin, S. S. (1968). Disengagement and Patterns of Aging. In Middle Age and Aging.</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Hill, S., &amp; Watts, D. (2024). Googling and health anxiety in older age—A case study of CBT incorporating a single case experimental design. Clinical Case Reports, 12(8), e9316. https://doi.org/10.1002/ccr3.9316https://doi.org/10.1002/ccr3.9316</w:t>
      </w:r>
    </w:p>
    <w:p w14:paraId="3808AFE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Hooyman</w:t>
      </w:r>
      <w:r>
        <w:rPr>
          <w:rFonts w:ascii="Times New Roman" w:eastAsia="Times New Roman" w:hAnsi="Times New Roman" w:cs="Times New Roman"/>
          <w:sz w:val="24"/>
          <w:szCs w:val="24"/>
          <w:rtl w:val="0"/>
          <w:cs w:val="0"/>
          <w:lang w:val="en-US"/>
        </w:rPr>
        <w:t xml:space="preserve">, N. R., &amp; </w:t>
      </w:r>
      <w:r>
        <w:rPr>
          <w:rFonts w:ascii="Times New Roman" w:eastAsia="Times New Roman" w:hAnsi="Times New Roman" w:cs="Times New Roman"/>
          <w:sz w:val="24"/>
          <w:szCs w:val="24"/>
          <w:rtl w:val="0"/>
          <w:cs w:val="0"/>
          <w:lang w:val="en-US"/>
        </w:rPr>
        <w:t>Kiyak</w:t>
      </w:r>
      <w:r>
        <w:rPr>
          <w:rFonts w:ascii="Times New Roman" w:eastAsia="Times New Roman" w:hAnsi="Times New Roman" w:cs="Times New Roman"/>
          <w:sz w:val="24"/>
          <w:szCs w:val="24"/>
          <w:rtl w:val="0"/>
          <w:cs w:val="0"/>
          <w:lang w:val="en-US"/>
        </w:rPr>
        <w:t>, H. A. (2015). Social Gerontology: A Multidisciplinary Perspective (10th ed.).</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Huang, Y., et al. (2023). Meaning in life, spirituality, and death anxiety among older adults: The mediating role of psychological adjustment.</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14" w:history="1">
        <w:r>
          <w:rPr>
            <w:rFonts w:ascii="Times New Roman" w:hAnsi="Times New Roman" w:eastAsia="Times New Roman" w:cs="B Lotus"/>
            <w:rStyle w:val="Hyperlink"/>
            <w:sz w:val="28"/>
            <w:szCs w:val="28"/>
            <w:rtl w:val="0"/>
            <w:cs w:val="0"/>
            <w:lang w:val="en-US"/>
          </w:rPr>
          <w:t xml:space="preserve">https://doi.org/10.1016/j.cpr.2014.09.002</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Jafari-Koulaee, A., Mohammadi, E., Fox, M. T., Rasekhi, A., &amp; Akha, O. (2024). Predictors of basic and instrumental activities of daily living among older adults with multiple chronic conditions. BMC Geriatrics, 24, 383. https://doi.org/10.1186/s12877-024-04947-whttps://doi.org/10.1186/s12877-024-04947-w</w:t>
      </w:r>
    </w:p>
    <w:p w14:paraId="4C67D1B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Jain, M., &amp; Purohit, </w:t>
      </w:r>
      <w:r>
        <w:rPr>
          <w:rFonts w:ascii="Times New Roman" w:eastAsia="Times New Roman" w:hAnsi="Times New Roman" w:cs="Times New Roman"/>
          <w:sz w:val="24"/>
          <w:szCs w:val="24"/>
          <w:rtl w:val="0"/>
          <w:cs w:val="0"/>
          <w:lang w:val="en-US"/>
        </w:rPr>
        <w:t>P.(</w:t>
      </w:r>
      <w:r>
        <w:rPr>
          <w:rFonts w:ascii="Times New Roman" w:eastAsia="Times New Roman" w:hAnsi="Times New Roman" w:cs="Times New Roman"/>
          <w:sz w:val="24"/>
          <w:szCs w:val="24"/>
          <w:rtl w:val="0"/>
          <w:cs w:val="0"/>
          <w:lang w:val="en-US"/>
        </w:rPr>
        <w:t>2006). Spiritual intelligence: A contemporary concern about the living conditions of the elderly. Indian journal of psychology, 81(1-2), 60-65.</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Johnco, C. J., Matovic, D., &amp; Wuthrich, V. M. (2024). Anxiety disorders in later life. Psychiatric Clinics of North America, 47(4), 741–752. https://doi.org/10.1016/j.psc.2024.04.015https://doi.org/10.1016/j.psc.2024.04.015https://doi.org/10.1016/j.jamda.2024.105334</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Kaplan, S., et al. (2024). Non-pharmacological interventions for anxiety in older adults: An updated systematic review. Age and Ageing.</w:t>
      </w:r>
    </w:p>
    <w:p w14:paraId="733F4B7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cs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Kikas, K., Werner-Seidler, A., Upton, E., &amp; Newby, J. M. (2024). Illness anxiety disorder: A review of the current research and future directions. Current Psychiatry Reports, 26(7), 331–339. https://doi.org/10.1007/s11920-024-01507-2 \t "_new"https://doi.org/10.1007/s11920-024-01507-2</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Killingsworth, B., et al. (2023). Intolerance for uncertainty mediates death anxiety and hypochondriasis in older adults. Innovation in Aging, 7(Supplement_1).</w:t>
      </w:r>
    </w:p>
    <w:p w14:paraId="6F5F9669"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(2021). Rethinking spiritual intelligence: A cognitive approach to spiritual abilities.</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&amp; DeCicco, T. L. (2009). A viable model and self-report measure of spiritual intelligence. International Journal of Transpersonal Studies, 28, 68–85.</w:t>
      </w:r>
    </w:p>
    <w:p w14:paraId="235D5B3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cs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Krejcie</w:t>
      </w:r>
      <w:r>
        <w:rPr>
          <w:rFonts w:ascii="Times New Roman" w:eastAsia="Times New Roman" w:hAnsi="Times New Roman" w:cs="Times New Roman"/>
          <w:sz w:val="24"/>
          <w:szCs w:val="24"/>
          <w:rtl w:val="0"/>
          <w:cs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Levin, J., Chatters, L. M., &amp; Taylor, R. J. (2011). Theory in religion, aging, and health: An overview. Journal of Religion and Health, 50(2), 389–406.</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Liu, Y., Zhang, X., Fu, X., Li, W., Wang, Y., &amp; Lu, W. (2025). Successful aging rates of global older adults: A systematic review and meta-analysis. Journal of the American Medical Directors Association, 26(6), 105334. https://doi.org/10.1016/j.jamda.2024.105334https://doi.org/10.1016/j.jamda.2024.105334.</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Lou, Y., Yang, &amp; Ma. (2025). A network meta-analysis of different psychological therapies for death anxiety in older adults. OMEGA—Journal of Death and Dying. https://pubmed.ncbi.nlm.nih.gov/39900466/ \t "_new"https://pubmed.ncbi.nlm.nih.gov/39900466/</w:t>
      </w:r>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López-Otín, C., Blasco, M. A., Partridge, L., Serrano, M., &amp; Kroemer, G. (2023). Hallmarks of Aging: An Expanding Universe. Cell. https://doi.org/10.1016/j.cell.2022.11.001</w:t>
      </w:r>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Martin, L. L., et al. (2023). Death anxiety, meaning in life, and psychological adjustment: Contemporary perspectives.</w:t>
      </w:r>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Mayer, J. D., &amp; Salovey, P. (2020). The Intelligence of Emotional Intelligence.World Health Organization – Ageing and health</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Menzies, R. E., &amp; Menzies, R. G. (2020). Death anxiety in the time of COVID-19: Theoretical explanations and clinical implications. The Cognitive Behaviour Therapist, 13, e19. </w:t>
      </w:r>
      <w:hyperlink r:id="rIdDoiMenz20" w:history="1">
        <w:r>
          <w:rPr>
            <w:rFonts w:ascii="Times New Roman" w:hAnsi="Times New Roman" w:eastAsia="Times New Roman" w:cs="B Lotus"/>
            <w:rStyle w:val="Hyperlink"/>
            <w:sz w:val="28"/>
            <w:szCs w:val="28"/>
            <w:rtl w:val="0"/>
            <w:cs w:val="0"/>
            <w:lang w:val="en-US"/>
          </w:rPr>
          <w:t xml:space="preserve">https://doi.org/10.1017/S1754470X20000215</w:t>
        </w:r>
      </w:hyperlink>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Miri, S., Farhadi, B., Takasi, P., Ghorbani Vajargah, P., &amp; Karkhah, S. (2024). Physical independence and related factors among older adults: A systematic review and meta-analysis. Annals of Medicine &amp; Surgery, 86(6), 3400–3408. https://doi.org/10.1097/MS9.0000000000002100https://doi.org/10.1097/MS9.0000000000002100World Health Organization – Mental health of older adults</w:t>
      </w:r>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Mohamadzadeh, M., Zanjari, N., Delbari, A., Foroughan, M., &amp; Tabesh, H. (2024). Factors associated with subjective successful aging among Iranian older adults: A cross-sectional analysis. Iranian Journal of Nursing and Midwifery Research, 29(5), 583–589. https://doi.org/10.4103/ijnmr.ijnmr_260_23https://doi.org/10.4103/ijnmr.ijnmr_260_23https://doi.org/10.1186/s12877-025-06040-2</w:t>
      </w:r>
    </w:p>
    <w:p w14:paraId="087B34E0"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Mohammadi, M., </w:t>
      </w:r>
      <w:r>
        <w:rPr>
          <w:rFonts w:ascii="Times New Roman" w:hAnsi="Times New Roman" w:cs="Times New Roman" w:eastAsia="Times New Roman"/>
          <w:sz w:val="24"/>
          <w:szCs w:val="24"/>
          <w:rtl w:val="0"/>
          <w:cs w:val="0"/>
          <w:lang w:val="en-US"/>
        </w:rPr>
        <w:t>Bahrami</w:t>
      </w:r>
      <w:r>
        <w:rPr>
          <w:rFonts w:ascii="Times New Roman" w:hAnsi="Times New Roman" w:cs="Times New Roman" w:eastAsia="Times New Roman"/>
          <w:sz w:val="24"/>
          <w:szCs w:val="24"/>
          <w:rtl w:val="0"/>
          <w:cs w:val="0"/>
          <w:lang w:val="en-US"/>
        </w:rPr>
        <w:t>, F., &amp; Abedi, M. R. (2019). The role of spirituality, mental health and quality of life in predicting death anxiety in the elderly. Iranian Journal of Psychiatry and Behavioral Sciences, 13(2), e82350.</w:t>
      </w:r>
    </w:p>
    <w:p w14:paraId="79A81ECF"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eastAsia="Times New Roman" w:hAnsi="Times New Roman" w:cs="Times New Roman"/>
          <w:sz w:val="24"/>
          <w:szCs w:val="24"/>
          <w:rtl w:val="0"/>
          <w:cs w:val="0"/>
          <w:lang w:val="en-US"/>
        </w:rPr>
        <w:t>Moreira-</w:t>
      </w:r>
      <w:r>
        <w:rPr>
          <w:rFonts w:ascii="Times New Roman" w:eastAsia="Times New Roman" w:hAnsi="Times New Roman" w:cs="Times New Roman"/>
          <w:sz w:val="24"/>
          <w:szCs w:val="24"/>
          <w:rtl w:val="0"/>
          <w:cs w:val="0"/>
          <w:lang w:val="en-US"/>
        </w:rPr>
        <w:t>almaida</w:t>
      </w:r>
      <w:r>
        <w:rPr>
          <w:rFonts w:ascii="Times New Roman" w:eastAsia="Times New Roman" w:hAnsi="Times New Roman" w:cs="Times New Roman"/>
          <w:sz w:val="24"/>
          <w:szCs w:val="24"/>
          <w:rtl w:val="0"/>
          <w:cs w:val="0"/>
          <w:lang w:val="en-US"/>
        </w:rPr>
        <w:t xml:space="preserve">, A. Koenig, H. D.(2006). Retaining the meaning of the words religiousness and </w:t>
      </w:r>
      <w:r>
        <w:rPr>
          <w:rFonts w:ascii="Times New Roman" w:eastAsia="Times New Roman" w:hAnsi="Times New Roman" w:cs="Times New Roman"/>
          <w:sz w:val="24"/>
          <w:szCs w:val="24"/>
          <w:rtl w:val="0"/>
          <w:cs w:val="0"/>
          <w:lang w:val="en-US"/>
        </w:rPr>
        <w:t>spirituality:Acommentary</w:t>
      </w:r>
      <w:r>
        <w:rPr>
          <w:rFonts w:ascii="Times New Roman" w:eastAsia="Times New Roman" w:hAnsi="Times New Roman" w:cs="Times New Roman"/>
          <w:sz w:val="24"/>
          <w:szCs w:val="24"/>
          <w:rtl w:val="0"/>
          <w:cs w:val="0"/>
          <w:lang w:val="en-US"/>
        </w:rPr>
        <w:t xml:space="preserve"> on the WHOQOL SRPB groups:a cross </w:t>
      </w:r>
      <w:r>
        <w:rPr>
          <w:rFonts w:ascii="Times New Roman" w:eastAsia="Times New Roman" w:hAnsi="Times New Roman" w:cs="Times New Roman"/>
          <w:sz w:val="24"/>
          <w:szCs w:val="24"/>
          <w:rtl w:val="0"/>
          <w:cs w:val="0"/>
          <w:lang w:val="en-US"/>
        </w:rPr>
        <w:lastRenderedPageBreak/>
        <w:t xml:space="preserve">culture study of </w:t>
      </w:r>
      <w:r>
        <w:rPr>
          <w:rFonts w:ascii="Times New Roman" w:eastAsia="Times New Roman" w:hAnsi="Times New Roman" w:cs="Times New Roman"/>
          <w:sz w:val="24"/>
          <w:szCs w:val="24"/>
          <w:rtl w:val="0"/>
          <w:cs w:val="0"/>
          <w:lang w:val="en-US"/>
        </w:rPr>
        <w:t>spirituality,religion</w:t>
      </w:r>
      <w:r>
        <w:rPr>
          <w:rFonts w:ascii="Times New Roman" w:eastAsia="Times New Roman" w:hAnsi="Times New Roman" w:cs="Times New Roman"/>
          <w:sz w:val="24"/>
          <w:szCs w:val="24"/>
          <w:rtl w:val="0"/>
          <w:cs w:val="0"/>
          <w:lang w:val="en-US"/>
        </w:rPr>
        <w:t xml:space="preserve">, and personal beliefs as components of quality of </w:t>
      </w:r>
      <w:r>
        <w:rPr>
          <w:rFonts w:ascii="Times New Roman" w:eastAsia="Times New Roman" w:hAnsi="Times New Roman" w:cs="Times New Roman"/>
          <w:sz w:val="24"/>
          <w:szCs w:val="24"/>
          <w:rtl w:val="0"/>
          <w:cs w:val="0"/>
          <w:lang w:val="en-US"/>
        </w:rPr>
        <w:t>lifes</w:t>
      </w:r>
      <w:r>
        <w:rPr>
          <w:rFonts w:ascii="Times New Roman" w:eastAsia="Times New Roman" w:hAnsi="Times New Roman" w:cs="Times New Roman"/>
          <w:sz w:val="24"/>
          <w:szCs w:val="24"/>
          <w:rtl w:val="0"/>
          <w:cs w:val="0"/>
          <w:lang w:val="en-US"/>
        </w:rPr>
        <w:t>. Social science and medicine,63,843-845.</w:t>
      </w:r>
    </w:p>
    <w:p w14:paraId="41B2D632"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hAnsi="Times New Roman" w:cs="Times New Roman" w:eastAsia="Times New Roman"/>
          <w:sz w:val="24"/>
          <w:szCs w:val="24"/>
          <w:rtl w:val="0"/>
          <w:cs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eastAsia="Times New Roman"/>
          <w:sz w:val="24"/>
          <w:szCs w:val="24"/>
          <w:rtl w:val="0"/>
          <w:cs w:val="0"/>
          <w:lang w:val="en-US"/>
        </w:rPr>
        <w:t>https://doi.org/10.1016/j.ssaho.2024.100879</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Pyszczynski, T., Lockett, M., Greenberg, J., &amp; Solomon, S. (2021). Terror management theory and the COVID-19 pandemic. Journal of Humanistic Psychology, 61(2), 173–189. </w:t>
      </w:r>
      <w:hyperlink r:id="rIdDoiPysz21" w:history="1">
        <w:r>
          <w:rPr>
            <w:rFonts w:ascii="Times New Roman" w:hAnsi="Times New Roman" w:eastAsia="Times New Roman" w:cs="B Lotus"/>
            <w:rStyle w:val="Hyperlink"/>
            <w:sz w:val="28"/>
            <w:szCs w:val="28"/>
            <w:rtl w:val="0"/>
            <w:cs w:val="0"/>
            <w:lang w:val="en-US"/>
          </w:rPr>
          <w:t xml:space="preserve">https://doi.org/10.1177/0022167820959488</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14" w:history="1">
        <w:r>
          <w:rPr>
            <w:rFonts w:ascii="Times New Roman" w:hAnsi="Times New Roman" w:eastAsia="Times New Roman" w:cs="B Lotus"/>
            <w:rStyle w:val="Hyperlink"/>
            <w:sz w:val="28"/>
            <w:szCs w:val="28"/>
            <w:rtl w:val="0"/>
            <w:cs w:val="0"/>
            <w:lang w:val="en-US"/>
          </w:rPr>
          <w:t xml:space="preserve">https://doi.org/10.1037/a0035194</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Rowe, J. W., &amp; Kahn, R. L. (2015). Successful aging 2.0: Conceptual expansions for the 21st century. The Journals of Gerontology, Series B, 70(4), 593–596. </w:t>
      </w:r>
      <w:hyperlink r:id="rIdDoiRowe15" w:history="1">
        <w:r>
          <w:rPr>
            <w:rFonts w:ascii="Times New Roman" w:hAnsi="Times New Roman" w:eastAsia="Times New Roman" w:cs="B Lotus"/>
            <w:rStyle w:val="Hyperlink"/>
            <w:sz w:val="28"/>
            <w:szCs w:val="28"/>
            <w:rtl w:val="0"/>
            <w:cs w:val="0"/>
            <w:lang w:val="en-US"/>
          </w:rPr>
          <w:t xml:space="preserve">https://doi.org/10.1093/geronb/gbv025</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Stuart, S., &amp; Noyes, R., Jr. (1999). Attachment and interpersonal communication in somatization. Psychosomatics, 40(1), 34–43. </w:t>
      </w:r>
      <w:hyperlink r:id="rIdDoiStuart99" w:history="1">
        <w:r>
          <w:rPr>
            <w:rFonts w:ascii="Times New Roman" w:hAnsi="Times New Roman" w:eastAsia="Times New Roman" w:cs="B Lotus"/>
            <w:rStyle w:val="Hyperlink"/>
            <w:sz w:val="28"/>
            <w:szCs w:val="28"/>
            <w:rtl w:val="0"/>
            <w:cs w:val="0"/>
            <w:lang w:val="en-US"/>
          </w:rPr>
          <w:t xml:space="preserve">https://doi.org/10.1016/S0033-3182(99)71269-7</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Warwick, H. M. C., &amp; Salkovskis, P. M. (1990). Hypochondriasis. Behaviour Research and Therapy, 28(2), 105–117. </w:t>
      </w:r>
      <w:hyperlink r:id="rIdDoiWarwick90" w:history="1">
        <w:r>
          <w:rPr>
            <w:rFonts w:ascii="Times New Roman" w:hAnsi="Times New Roman" w:eastAsia="Times New Roman" w:cs="B Lotus"/>
            <w:rStyle w:val="Hyperlink"/>
            <w:sz w:val="28"/>
            <w:szCs w:val="28"/>
            <w:rtl w:val="0"/>
            <w:cs w:val="0"/>
            <w:lang w:val="en-US"/>
          </w:rPr>
          <w:t xml:space="preserve">https://doi.org/10.1016/0005-7967(90)90023-c</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17" w:history="1">
        <w:r>
          <w:rPr>
            <w:rFonts w:ascii="Times New Roman" w:hAnsi="Times New Roman" w:eastAsia="Times New Roman" w:cs="B Lotus"/>
            <w:rStyle w:val="Hyperlink"/>
            <w:sz w:val="28"/>
            <w:szCs w:val="28"/>
            <w:rtl w:val="0"/>
            <w:cs w:val="0"/>
            <w:lang w:val="en-US"/>
          </w:rPr>
          <w:t xml:space="preserve">https://doi.org/10.1093/geronb/gbv062</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Wong, P. T. P. (2008). Meaning management theory and death acceptance. In A. Tomer, G. T. Eliason, &amp; P. T. P. Wong (Eds.), Existential and spiritual issues in death attitudes (pp. 65–87). Erlbaum.</w:t>
      </w:r>
    </w:p>
    <w:p>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eastAsia="Times New Roman" w:hAnsi="Times New Roman" w:cs="Times New Roman"/>
          <w:color w:val="auto"/>
          <w:rtl w:val="0"/>
          <w:cs w:val="0"/>
          <w:lang w:val="en-US"/>
        </w:rPr>
        <w:t>Çarıkçı-Özgül, D. N., &amp; Işık, Ü. (2024). Exploring adult attachment and anxiety: The role of intolerance of uncertainty and social support. Current Psychology, 43, 18612–18620. https://doi.org/10.1007/s12144-024-05659-5 \t "_new"https://doi.org/10.1007/s12144-024-05659-5</w:t>
      </w:r>
    </w:p>
    <w:p w14:paraId="46B915CB" w14:textId="77777777">
      <w:pPr>
        <w:autoSpaceDE/>
        <w:autoSpaceDN/>
        <w:bidi w:val="0"/>
        <w:adjustRightInd/>
        <w:jc w:val="right"/>
        <w:rPr>
          <w:rFonts w:ascii="Times New Roman" w:hAnsi="Times New Roman" w:cs="Times New Roman"/>
          <w:sz w:val="24"/>
          <w:szCs w:val="24"/>
          <w:rtl w:val="0"/>
        </w:rPr>
      </w:pPr>
    </w:p>
    <w:p w14:paraId="04D024B1" w14:textId="39387A50">
      <w:pPr>
        <w:pStyle w:val="Bibliography"/>
        <w:autoSpaceDE/>
        <w:autoSpaceDN/>
        <w:bidi w:val="0"/>
        <w:adjustRightInd/>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National Institute on Aging. (2023). Mental Health and Older Adults.</w:t>
      </w:r>
    </w:p>
    <w:p>
      <w:pPr>
        <w:pStyle w:val="Bibliography"/>
        <w:bidi w:val="0"/>
        <w:spacing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Nikolich-Žugich, J., et al. (2023). The twilight of immunity: emerging concepts in aging of the immune system. Nature Immunology.</w:t>
      </w:r>
    </w:p>
    <w:p w14:paraId="1B1CA33B" w14:textId="77777777">
      <w:pPr>
        <w:bidi w:val="0"/>
        <w:spacing w:line="276" w:lineRule="auto"/>
        <w:jc w:val="both"/>
      </w:pPr>
    </w:p>
    <w:p>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Nordgren, L. F., van Harreveld, F., &amp; van der Pligt, J. (2022). The psychology of death anxiety and mortality salience.Noyes, R., Jr., Stuart, S., Longley, S. L., Langbehn, D. R., &amp; Happel, R. L. (2002). Hypochondriasis and fear of death. Journal of Nervous and Mental Disease, 190(8), 503–509. https://doi.org/10.1097/00005053-200208000-00002</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Pinto, C. T., Guedes, L., Pinto, S., &amp; Nunes, R. (2024). Spiritual intelligence: A scoping review on the gateway to mental health. Global Health Action, 17(1), 2362310. https://doi.org/10.1080/16549716.2024.2362310 \t "_new"https://doi.org/10.1080/16549716.2024.2362310</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Rule, A., Abbey, C., Wang, H., Rozelle, S., &amp; Singh, M. K. (2024). Measurement of flourishing: A scoping review. Frontiers in Psychology, 15, 1293943. https://doi.org/10.3389/fpsyg.2024.1293943</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Ryan, R. M., &amp; Deci, E. L. (2017). Self-determination theory: Basic psychological needs in motivation, development, and wellness. Guilford Press.</w:t>
      </w:r>
    </w:p>
    <w:p w14:paraId="34DD3858"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lastRenderedPageBreak/>
        <w:t>Ryff</w:t>
      </w:r>
      <w:r>
        <w:rPr>
          <w:rFonts w:ascii="Times New Roman" w:hAnsi="Times New Roman" w:cs="Times New Roman" w:eastAsia="Times New Roman"/>
          <w:sz w:val="24"/>
          <w:szCs w:val="24"/>
          <w:rtl w:val="0"/>
          <w:cs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://doi.org/10.1177/09637214241266818</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Shafiee, A., Mohammadi, I., Rajai, S., Jafarabady, K., &amp; Abdollahi, A. (2025). Global prevalence of anxiety symptoms and its associated factors in older adults: A systematic review and meta-analysis. Journal of General and Family Medicine, 26(2), 116–127. https://doi.org/10.1002/jgf2.750https://doi.org/10.1002/jgf2.750</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Soto, C., et al. (2024). Meaning in life, hope, and mental health in older adults: A systematic review. BMC Geriatrics.</w:t>
      </w:r>
    </w:p>
    <w:p w14:paraId="03A23009"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Stavrova</w:t>
      </w:r>
      <w:r>
        <w:rPr>
          <w:rFonts w:ascii="Times New Roman" w:hAnsi="Times New Roman" w:cs="Times New Roman" w:eastAsia="Times New Roman"/>
          <w:sz w:val="24"/>
          <w:szCs w:val="24"/>
          <w:rtl w:val="0"/>
          <w:cs w:val="0"/>
          <w:lang w:val="en-US"/>
        </w:rPr>
        <w:t xml:space="preserve">, O. </w:t>
      </w:r>
      <w:r>
        <w:rPr>
          <w:rFonts w:ascii="Times New Roman" w:hAnsi="Times New Roman" w:cs="Times New Roman" w:eastAsia="Times New Roman"/>
          <w:sz w:val="24"/>
          <w:szCs w:val="24"/>
          <w:rtl w:val="0"/>
          <w:cs w:val="0"/>
          <w:lang w:val="en-US"/>
        </w:rPr>
        <w:t>Fetchenhauer</w:t>
      </w:r>
      <w:r>
        <w:rPr>
          <w:rFonts w:ascii="Times New Roman" w:hAnsi="Times New Roman" w:cs="Times New Roman" w:eastAsia="Times New Roman"/>
          <w:sz w:val="24"/>
          <w:szCs w:val="24"/>
          <w:rtl w:val="0"/>
          <w:cs w:val="0"/>
          <w:lang w:val="en-US"/>
        </w:rPr>
        <w:t>, D. Schlosser, T. (2012). Why are religious people happy? The effect of the social norm of religiosity across countries. Social Science Research, 3.</w:t>
      </w:r>
    </w:p>
    <w:p w14:paraId="001971CF"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Sternberg, R. J. (2021). Adaptive Intelligence: Surviving and Thriving in Times of Uncertainty. Cambridge University Press.</w:t>
      </w:r>
    </w:p>
    <w:p w14:paraId="6B2FCFF0"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Suad</w:t>
      </w:r>
      <w:r>
        <w:rPr>
          <w:rFonts w:ascii="Times New Roman" w:hAnsi="Times New Roman" w:cs="Times New Roman" w:eastAsia="Times New Roman"/>
          <w:sz w:val="24"/>
          <w:szCs w:val="24"/>
          <w:rtl w:val="0"/>
          <w:cs w:val="0"/>
          <w:lang w:val="en-US"/>
        </w:rPr>
        <w:t xml:space="preserve">, Zarina Mat, </w:t>
      </w:r>
      <w:r>
        <w:rPr>
          <w:rFonts w:ascii="Times New Roman" w:hAnsi="Times New Roman" w:cs="Times New Roman" w:eastAsia="Times New Roman"/>
          <w:sz w:val="24"/>
          <w:szCs w:val="24"/>
          <w:rtl w:val="0"/>
          <w:cs w:val="0"/>
          <w:lang w:val="en-US"/>
        </w:rPr>
        <w:t>Zulkarnin</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A,Hatta</w:t>
      </w:r>
      <w:r>
        <w:rPr>
          <w:rFonts w:ascii="Times New Roman" w:hAnsi="Times New Roman" w:cs="Times New Roman" w:eastAsia="Times New Roman"/>
          <w:sz w:val="24"/>
          <w:szCs w:val="24"/>
          <w:rtl w:val="0"/>
          <w:cs w:val="0"/>
          <w:lang w:val="en-US"/>
        </w:rPr>
        <w:t xml:space="preserve"> and Nuria Muhammad. (2010). " The Impact of Spiritual intelligence on the Health of Older Adults in Malaysia. " Asian Social Work and Policy Review, 4(2), 84-97.</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Taylor, S., &amp; Asmundson, G. J. G. (2021). Treating Health Anxiety: A Cognitive-Behavioral Approach. Guilford Press.</w:t>
      </w:r>
    </w:p>
    <w:p w14:paraId="24093371"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Templer</w:t>
      </w:r>
      <w:r>
        <w:rPr>
          <w:rFonts w:ascii="Times New Roman" w:hAnsi="Times New Roman" w:cs="Times New Roman" w:eastAsia="Times New Roman"/>
          <w:sz w:val="24"/>
          <w:szCs w:val="24"/>
          <w:rtl w:val="0"/>
          <w:cs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Tomer, A., &amp; Eliason, G. (2000). Attitudes toward death: A developmental perspective. Springer Publishing Company.</w:t>
      </w:r>
    </w:p>
    <w:p w14:paraId="7F663F7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Department of Economic and Social Affairs, Population Division. (2024). World population prospects 2024: Summary of results. United Nations.</w:t>
      </w:r>
    </w:p>
    <w:p w14:paraId="109E257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cs w:val="0"/>
          <w:lang w:val="en-US"/>
        </w:rPr>
        <w:t xml:space="preserve"> UNFPA Iran – Population ageing and disabilities</w:t>
      </w:r>
    </w:p>
    <w:p w14:paraId="1E0FAFFB"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(2023). World Social Report 2023: Leaving No One Behind in an Ageing World.</w:t>
      </w:r>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Valsala, P., &amp; Menon, P. (2023). Psychospiritual basis of altruism: A review. Journal of Humanistic Psychology, 63(3), 344–363. https://doi.org/10.1177/0022167819830517</w:t>
      </w:r>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van Bruggen, V., Vos, J., Bohlmeijer, E. T., et al. (2021). Systematic review of existential and spiritual factors related to death anxiety.</w:t>
      </w:r>
    </w:p>
    <w:p w14:paraId="066D3C9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Wagenseller</w:t>
      </w:r>
      <w:r>
        <w:rPr>
          <w:rFonts w:ascii="Times New Roman" w:eastAsia="Times New Roman" w:hAnsi="Times New Roman" w:cs="Times New Roman" w:hint="cs"/>
          <w:sz w:val="24"/>
          <w:szCs w:val="24"/>
          <w:rtl w:val="0"/>
          <w:cs w:val="0"/>
          <w:lang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C., et al. (2023). Effectiveness of meaning-centered interventions on psychological well-being among older adults: A systematic review and meta-analysis. Aging &amp; Mental Health.</w:t>
      </w:r>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S., Lin, J., Kuang, L., Yang, X., Yu, B., &amp; Cui, Y. (2024). Risk factors for social isolation in older adults: A systematic review and meta-analysis. Public Health Nursing, 41(2), 200–208. https://doi.org/10.1111/phn.13266</w:t>
      </w:r>
    </w:p>
    <w:p w14:paraId="758BE2EF"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(2020). Healthy ageing and functional ability.</w:t>
      </w:r>
    </w:p>
    <w:p w14:paraId="128DD7EC"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(2024). Ageing and Health.</w:t>
      </w:r>
    </w:p>
    <w:p w14:paraId="66A13E3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blank"World</w:t>
      </w:r>
      <w:r>
        <w:rPr>
          <w:rFonts w:ascii="Times New Roman" w:eastAsia="Times New Roman" w:hAnsi="Times New Roman" w:cs="Times New Roman" w:hint="cs"/>
          <w:sz w:val="24"/>
          <w:szCs w:val="24"/>
          <w:rtl w:val="0"/>
          <w:cs w:val="0"/>
          <w:lang w:val="en-US"/>
        </w:rPr>
        <w:t xml:space="preserve"> Health Organization – Ageing and health</w:t>
      </w:r>
    </w:p>
    <w:p w14:paraId="52DBC640"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Organization.(2022). World mental health report: Transforming mental health for all. World Health Organization.</w:t>
      </w:r>
    </w:p>
    <w:p w14:paraId="5451670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Organization.(2023). Healthy ageing: A priority for delivering universal health coverage. Geneva: World Health Organization.</w:t>
      </w:r>
    </w:p>
    <w:p w14:paraId="51EA795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cs w:val="0"/>
          <w:lang w:val="en-US"/>
        </w:rPr>
        <w:t xml:space="preserve"> World Health Organization – Mental health of older adults</w:t>
      </w:r>
    </w:p>
    <w:p w14:paraId="2B3D095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Yalom, I. D. (1980). Existential Psychotherapy. New York: Basic Books</w:t>
      </w:r>
    </w:p>
    <w:p w14:paraId="5F9C448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Yonker</w:t>
      </w:r>
      <w:r>
        <w:rPr>
          <w:rFonts w:ascii="Times New Roman" w:eastAsia="Times New Roman" w:hAnsi="Times New Roman" w:cs="Times New Roman" w:hint="cs"/>
          <w:sz w:val="24"/>
          <w:szCs w:val="24"/>
          <w:rtl w:val="0"/>
          <w:cs w:val="0"/>
          <w:lang w:val="en-US"/>
        </w:rPr>
        <w:t xml:space="preserve">, J.E. </w:t>
      </w:r>
      <w:r>
        <w:rPr>
          <w:rFonts w:ascii="Times New Roman" w:eastAsia="Times New Roman" w:hAnsi="Times New Roman" w:cs="Times New Roman" w:hint="cs"/>
          <w:sz w:val="24"/>
          <w:szCs w:val="24"/>
          <w:rtl w:val="0"/>
          <w:cs w:val="0"/>
          <w:lang w:val="en-US"/>
        </w:rPr>
        <w:t>Schnabelrauch</w:t>
      </w:r>
      <w:r>
        <w:rPr>
          <w:rFonts w:ascii="Times New Roman" w:eastAsia="Times New Roman" w:hAnsi="Times New Roman" w:cs="Times New Roman" w:hint="cs"/>
          <w:sz w:val="24"/>
          <w:szCs w:val="24"/>
          <w:rtl w:val="0"/>
          <w:cs w:val="0"/>
          <w:lang w:val="en-US"/>
        </w:rPr>
        <w:t xml:space="preserve">, C.A. </w:t>
      </w:r>
      <w:r>
        <w:rPr>
          <w:rFonts w:ascii="Times New Roman" w:eastAsia="Times New Roman" w:hAnsi="Times New Roman" w:cs="Times New Roman" w:hint="cs"/>
          <w:sz w:val="24"/>
          <w:szCs w:val="24"/>
          <w:rtl w:val="0"/>
          <w:cs w:val="0"/>
          <w:lang w:val="en-US"/>
        </w:rPr>
        <w:t>Dehaan</w:t>
      </w:r>
      <w:r>
        <w:rPr>
          <w:rFonts w:ascii="Times New Roman" w:eastAsia="Times New Roman" w:hAnsi="Times New Roman" w:cs="Times New Roman" w:hint="cs"/>
          <w:sz w:val="24"/>
          <w:szCs w:val="24"/>
          <w:rtl w:val="0"/>
          <w:cs w:val="0"/>
          <w:lang w:val="en-US"/>
        </w:rPr>
        <w:t>, L.G. (2012). The relationship between spirituality and religiosity on psychological outcomes in adolescents and emerging adults: A meta-analytic review. Journal of Adolescence, 35: 299-314.</w:t>
      </w:r>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Younes, R. S., Rahme, E., Rajha, F., &amp; Mzawak, M. A. (2024). Exploring death anxiety among older adults: An integrative review of associated factors and interventions. OMEGA—Journal of Death and Dying. Advance online publication. https://doi.org/10.1177/00302228241272578</w:t>
      </w:r>
    </w:p>
    <w:p w14:paraId="217F956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Yousefi</w:t>
      </w:r>
      <w:r>
        <w:rPr>
          <w:rFonts w:ascii="Times New Roman" w:eastAsia="Times New Roman" w:hAnsi="Times New Roman" w:cs="Times New Roman" w:hint="cs"/>
          <w:sz w:val="24"/>
          <w:szCs w:val="24"/>
          <w:rtl w:val="0"/>
          <w:cs w:val="0"/>
          <w:lang w:val="en-US"/>
        </w:rPr>
        <w:t xml:space="preserve"> </w:t>
      </w:r>
      <w:r>
        <w:rPr>
          <w:rFonts w:ascii="Times New Roman" w:eastAsia="Times New Roman" w:hAnsi="Times New Roman" w:cs="Times New Roman" w:hint="cs"/>
          <w:sz w:val="24"/>
          <w:szCs w:val="24"/>
          <w:rtl w:val="0"/>
          <w:cs w:val="0"/>
          <w:lang w:val="en-US"/>
        </w:rPr>
        <w:t>Afrashteh</w:t>
      </w:r>
      <w:r>
        <w:rPr>
          <w:rFonts w:ascii="Times New Roman" w:eastAsia="Times New Roman" w:hAnsi="Times New Roman" w:cs="Times New Roman" w:hint="cs"/>
          <w:sz w:val="24"/>
          <w:szCs w:val="24"/>
          <w:rtl w:val="0"/>
          <w:cs w:val="0"/>
          <w:lang w:val="en-US"/>
        </w:rPr>
        <w:t xml:space="preserve">, M., </w:t>
      </w:r>
      <w:r>
        <w:rPr>
          <w:rFonts w:ascii="Times New Roman" w:eastAsia="Times New Roman" w:hAnsi="Times New Roman" w:cs="Times New Roman" w:hint="cs"/>
          <w:sz w:val="24"/>
          <w:szCs w:val="24"/>
          <w:rtl w:val="0"/>
          <w:cs w:val="0"/>
          <w:lang w:val="en-US"/>
        </w:rPr>
        <w:t>Fartash</w:t>
      </w:r>
      <w:r>
        <w:rPr>
          <w:rFonts w:ascii="Times New Roman" w:eastAsia="Times New Roman" w:hAnsi="Times New Roman" w:cs="Times New Roman" w:hint="cs"/>
          <w:sz w:val="24"/>
          <w:szCs w:val="24"/>
          <w:rtl w:val="0"/>
          <w:cs w:val="0"/>
          <w:lang w:val="en-US"/>
        </w:rPr>
        <w:t xml:space="preserve">, A., &amp; </w:t>
      </w:r>
      <w:r>
        <w:rPr>
          <w:rFonts w:ascii="Times New Roman" w:eastAsia="Times New Roman" w:hAnsi="Times New Roman" w:cs="Times New Roman" w:hint="cs"/>
          <w:sz w:val="24"/>
          <w:szCs w:val="24"/>
          <w:rtl w:val="0"/>
          <w:cs w:val="0"/>
          <w:lang w:val="en-US"/>
        </w:rPr>
        <w:t>Aboutorabi</w:t>
      </w:r>
      <w:r>
        <w:rPr>
          <w:rFonts w:ascii="Times New Roman" w:eastAsia="Times New Roman" w:hAnsi="Times New Roman" w:cs="Times New Roman" w:hint="cs"/>
          <w:sz w:val="24"/>
          <w:szCs w:val="24"/>
          <w:rtl w:val="0"/>
          <w:cs w:val="0"/>
          <w:lang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new"https</w:t>
      </w:r>
      <w:r>
        <w:rPr>
          <w:rFonts w:ascii="Times New Roman" w:eastAsia="Times New Roman" w:hAnsi="Times New Roman" w:cs="Times New Roman" w:hint="cs"/>
          <w:sz w:val="24"/>
          <w:szCs w:val="24"/>
          <w:rtl w:val="0"/>
          <w:cs w:val="0"/>
          <w:lang w:val="en-US"/>
        </w:rPr>
        <w:t>://doi.org/10.1186/s12877-025-06040-2</w:t>
      </w:r>
    </w:p>
    <w:p w14:paraId="369291DD"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Zohar, D., &amp; Marshall, I. (2000). SQ: Spiritual Intelligence—The Ultimate Intelligence. London: Bloomsbury.</w:t>
      </w:r>
    </w:p>
    <w:p w14:paraId="0BE92076" w14:textId="77777777">
      <w:pPr>
        <w:pStyle w:val="Heading1"/>
        <w:pageBreakBefore/>
        <w:autoSpaceDE/>
        <w:autoSpaceDN/>
        <w:bidi w:val="0"/>
        <w:adjustRightInd/>
        <w:spacing w:before="0" w:after="240"/>
        <w:ind w:firstLine="397"/>
        <w:jc w:val="left"/>
        <w:rPr>
          <w:rFonts w:ascii="Times New Roman" w:hAnsi="Times New Roman" w:eastAsia="Times New Roman" w:cs="Times New Roman"/>
          <w:b/>
          <w:bCs/>
          <w:color w:val="000000"/>
          <w:sz w:val="56"/>
          <w:szCs w:val="56"/>
          <w:rtl w:val="0"/>
          <w:cs w:val="0"/>
          <w:lang w:val="en-US"/>
        </w:rPr>
      </w:pPr>
      <w:bookmarkStart w:id="237" w:name="_Toc238572103"/>
      <w:r>
        <w:rPr>
          <w:rFonts w:ascii="Times New Roman" w:hAnsi="Times New Roman" w:cs="Times New Roman" w:eastAsia="Times New Roman"/>
          <w:b/>
          <w:bCs/>
          <w:color w:val="000000"/>
          <w:sz w:val="56"/>
          <w:szCs w:val="56"/>
          <w:rtl w:val="0"/>
          <w:cs w:val="0"/>
          <w:lang w:val="en-US"/>
        </w:rPr>
        <w:lastRenderedPageBreak/>
        <w:t>ABSTRACT</w:t>
      </w:r>
      <w:bookmarkEnd w:id="237"/>
    </w:p>
    <w:p w14:paraId="098F154E" w14:textId="77777777">
      <w:pPr>
        <w:pStyle w:val="EnglishText"/>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cs w:val="0"/>
          <w:lang w:val="en-US"/>
        </w:rPr>
        <w:t>Fereshteghan</w:t>
      </w:r>
      <w:r>
        <w:rPr>
          <w:rFonts w:ascii="Times New Roman" w:eastAsia="Times New Roman" w:hAnsi="Times New Roman" w:cs="Times New Roman" w:hint="cs"/>
          <w:sz w:val="24"/>
          <w:szCs w:val="24"/>
          <w:rtl w:val="0"/>
          <w:cs w:val="0"/>
          <w:lang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cs w:val="0"/>
          <w:lang w:val="en-US"/>
        </w:rPr>
        <w:t>Salkoskis</w:t>
      </w:r>
      <w:r>
        <w:rPr>
          <w:rFonts w:ascii="Times New Roman" w:eastAsia="Times New Roman" w:hAnsi="Times New Roman" w:cs="Times New Roman" w:hint="cs"/>
          <w:sz w:val="24"/>
          <w:szCs w:val="24"/>
          <w:rtl w:val="0"/>
          <w:cs w:val="0"/>
          <w:lang w:val="en-US"/>
        </w:rPr>
        <w:t xml:space="preserve"> and Warwick's Health Anxiety Questionnaire (2002), and </w:t>
      </w:r>
      <w:r>
        <w:rPr>
          <w:rFonts w:ascii="Times New Roman" w:eastAsia="Times New Roman" w:hAnsi="Times New Roman" w:cs="Times New Roman" w:hint="cs"/>
          <w:sz w:val="24"/>
          <w:szCs w:val="24"/>
          <w:rtl w:val="0"/>
          <w:cs w:val="0"/>
          <w:lang w:val="en-US"/>
        </w:rPr>
        <w:t>Templer's</w:t>
      </w:r>
      <w:r>
        <w:rPr>
          <w:rFonts w:ascii="Times New Roman" w:eastAsia="Times New Roman" w:hAnsi="Times New Roman" w:cs="Times New Roman" w:hint="cs"/>
          <w:sz w:val="24"/>
          <w:szCs w:val="24"/>
          <w:rtl w:val="0"/>
          <w:cs w:val="0"/>
          <w:lang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pStyle w:val="EnglishText"/>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Keywords: Spiritual intelligence, health anxiety, death anxiety, elderly.</w:t>
      </w:r>
    </w:p>
    <w:p>
      <w:pPr>
        <w:pStyle w:val="EnglishText"/>
        <w:pageBreakBefore/>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b/>
          <w:bCs/>
          <w:noProof/>
          <w:sz w:val="36"/>
          <w:szCs w:val="36"/>
          <w:rtl w:val="0"/>
          <w:cs w:val="0"/>
          <w:lang w:val="en-US"/>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eastAsia="Times New Roman"/>
          <w:sz w:val="32"/>
          <w:szCs w:val="32"/>
          <w:rtl w:val="0"/>
          <w:cs w:val="0"/>
          <w:lang w:val="en-US"/>
        </w:rPr>
        <w:t xml:space="preserve">Payame Noor University</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Sari Center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Master's Thesis</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 xml:space="preserve">Psychology Major, Islamic Psychology Major, Positive Psychology Major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Title</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36"/>
          <w:szCs w:val="36"/>
          <w:rtl w:val="0"/>
          <w:cs w:val="0"/>
          <w:lang w:val="en-US"/>
        </w:rPr>
        <w:t xml:space="preserve">Relationship between Spiritual Intelligence and Health Anxiety with Death Anxiety in the Elderly</w:t>
      </w:r>
    </w:p>
    <w:p>
      <w:pPr>
        <w:pStyle w:val="EnglishText"/>
        <w:bidi w:val="0"/>
        <w:spacing w:before="0" w:after="48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 xml:space="preserve">Fereshtegan Nursing Home, Eslamshahr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Supervisor</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Babollah Bakhshipour Joibari</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Author</w:t>
      </w:r>
    </w:p>
    <w:p>
      <w:pPr>
        <w:pStyle w:val="EnglishText"/>
        <w:bidi w:val="0"/>
        <w:spacing w:before="0" w:after="48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Fatemeh Bayat</w:t>
      </w:r>
    </w:p>
    <w:p>
      <w:pPr>
        <w:pStyle w:val="EnglishText"/>
        <w:bidi w:val="0"/>
        <w:spacing w:before="0" w:after="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pBdr>
          <w:bottom w:val="single" w:sz="4" w:space="1" w:color="000000"/>
        </w:pBdr>
        <w:bidi w:val="0"/>
        <w:spacing w:after="0" w:line="240" w:lineRule="auto"/>
        <w:ind w:right="5000"/>
        <w:jc w:val="left"/>
        <w:rPr>
          <w:rtl w:val="0"/>
          <w:cs w:val="0"/>
        </w:rPr>
      </w:pPr>
    </w:p>
  </w:footnote>
  <w:footnote w:type="continuationSeparator" w:id="0">
    <w:p>
      <w:pPr>
        <w:bidi w:val="0"/>
        <w:spacing w:after="0" w:line="240" w:lineRule="auto"/>
        <w:jc w:val="left"/>
        <w:rPr>
          <w:rtl w:val="0"/>
          <w:cs w:val="0"/>
        </w:rPr>
      </w:pPr>
      <w:r>
        <w:continuationSeparator/>
      </w:r>
    </w:p>
  </w:footnote>
  <w:footnote w:id="4">
    <w:p w14:paraId="2774A631"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Liu</w:t>
      </w:r>
    </w:p>
  </w:footnote>
  <w:footnote w:id="5">
    <w:p w14:paraId="411865CA"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Kikas</w:t>
      </w:r>
    </w:p>
  </w:footnote>
  <w:footnote w:id="6">
    <w:p w14:paraId="6005D4DE"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Wang</w:t>
      </w:r>
    </w:p>
  </w:footnote>
  <w:footnote w:id="7">
    <w:p w14:paraId="5AC4245C"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Atchison</w:t>
      </w:r>
    </w:p>
  </w:footnote>
  <w:footnote w:id="8">
    <w:p w14:paraId="31B3C3DA"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sz w:val="18"/>
          <w:szCs w:val="18"/>
          <w:rtl w:val="0"/>
          <w:cs w:val="0"/>
          <w:lang w:val="en-US"/>
        </w:rPr>
        <w:t>Gerontology</w:t>
      </w:r>
    </w:p>
  </w:footnote>
  <w:footnote w:id="9">
    <w:p w14:paraId="586D4149"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WHO</w:t>
      </w:r>
      <w:r>
        <w:rPr>
          <w:rFonts w:ascii="Times New Roman" w:hAnsi="Times New Roman" w:eastAsia="Times New Roman" w:cs="Times New Roman"/>
          <w:sz w:val="18"/>
          <w:szCs w:val="18"/>
          <w:rtl w:val="0"/>
          <w:cs w:val="0"/>
          <w:lang w:val="en-US"/>
        </w:rPr>
        <w:t/>
      </w:r>
    </w:p>
  </w:footnote>
  <w:footnote w:id="10">
    <w:p w14:paraId="726E651C"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Immunological Theory</w:t>
      </w:r>
      <w:r>
        <w:rPr>
          <w:rFonts w:ascii="Times New Roman" w:hAnsi="Times New Roman" w:eastAsia="Times New Roman" w:cs="Times New Roman"/>
          <w:sz w:val="18"/>
          <w:szCs w:val="18"/>
          <w:rtl w:val="0"/>
          <w:cs w:val="0"/>
          <w:lang w:val="en-US"/>
        </w:rPr>
        <w:t/>
      </w:r>
    </w:p>
  </w:footnote>
  <w:footnote w:id="11">
    <w:p w14:paraId="1029C9FA"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Nikolich-Žugich</w:t>
      </w:r>
    </w:p>
  </w:footnote>
  <w:footnote w:id="12">
    <w:p w14:paraId="2E363764"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Fülöp</w:t>
      </w:r>
    </w:p>
  </w:footnote>
  <w:footnote w:id="13">
    <w:p w14:paraId="70F7BA50"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López-Otín</w:t>
      </w:r>
    </w:p>
  </w:footnote>
  <w:footnote w:id="14">
    <w:p w14:paraId="6AB377BC"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Campisi</w:t>
      </w:r>
    </w:p>
  </w:footnote>
  <w:footnote w:id="15">
    <w:p w14:paraId="02055E10"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Gladyshev</w:t>
      </w:r>
    </w:p>
  </w:footnote>
  <w:footnote w:id="16">
    <w:p w14:paraId="22F63B78"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Gould</w:t>
      </w:r>
    </w:p>
  </w:footnote>
  <w:footnote w:id="17">
    <w:p w14:paraId="5B543227"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sz w:val="18"/>
          <w:szCs w:val="18"/>
          <w:rtl w:val="0"/>
          <w:cs w:val="0"/>
          <w:lang w:val="en-US"/>
        </w:rPr>
        <w:t>Levinson</w:t>
      </w:r>
    </w:p>
  </w:footnote>
  <w:footnote w:id="18">
    <w:p w14:paraId="4814DE8E"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sz w:val="18"/>
          <w:szCs w:val="18"/>
          <w:rtl w:val="0"/>
          <w:cs w:val="0"/>
          <w:lang w:val="en-US"/>
        </w:rPr>
        <w:t>Schaie</w:t>
      </w:r>
    </w:p>
  </w:footnote>
  <w:footnote w:id="19">
    <w:p w14:paraId="63AAC600"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sz w:val="18"/>
          <w:szCs w:val="18"/>
          <w:rtl w:val="0"/>
          <w:cs w:val="0"/>
          <w:lang w:bidi="fa-IR" w:val="en-US"/>
        </w:rPr>
        <w:t>Erikson</w:t>
      </w:r>
    </w:p>
  </w:footnote>
  <w:footnote w:id="20">
    <w:p w14:paraId="297AD4BA"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Kivnick</w:t>
      </w:r>
    </w:p>
  </w:footnote>
  <w:footnote w:id="21">
    <w:p w14:paraId="683FBE88"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Disengagement Theory</w:t>
      </w:r>
    </w:p>
  </w:footnote>
  <w:footnote w:id="22">
    <w:p w14:paraId="707D54E0"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Cumming &amp; Henry</w:t>
      </w:r>
    </w:p>
  </w:footnote>
  <w:footnote w:id="23">
    <w:p w14:paraId="132DFDAE"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Atchley</w:t>
      </w:r>
    </w:p>
  </w:footnote>
  <w:footnote w:id="24">
    <w:p w14:paraId="6669A9B1"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Activity Theory</w:t>
      </w:r>
    </w:p>
  </w:footnote>
  <w:footnote w:id="25">
    <w:p w14:paraId="7E9FCEF4"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Havighurst</w:t>
      </w:r>
    </w:p>
  </w:footnote>
  <w:footnote w:id="26">
    <w:p w14:paraId="53D356CF"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Neugarten &amp; Tobin</w:t>
      </w:r>
    </w:p>
  </w:footnote>
  <w:footnote w:id="27">
    <w:p w14:paraId="6DB619E4"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Dowd</w:t>
      </w:r>
    </w:p>
  </w:footnote>
  <w:footnote w:id="28">
    <w:p w14:paraId="7E0C1FBC"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Continuity Theory</w:t>
      </w:r>
    </w:p>
  </w:footnote>
  <w:footnote w:id="29">
    <w:p w14:paraId="322A5C52"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Nordgren</w:t>
      </w:r>
    </w:p>
  </w:footnote>
  <w:footnote w:id="30">
    <w:p w14:paraId="1E24745B"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Martin</w:t>
      </w:r>
    </w:p>
  </w:footnote>
  <w:footnote w:id="31">
    <w:p w14:paraId="7790943B"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Freud</w:t>
      </w:r>
      <w:r>
        <w:rPr>
          <w:rFonts w:ascii="Times New Roman" w:hAnsi="Times New Roman" w:eastAsia="Times New Roman" w:cs="Times New Roman"/>
          <w:sz w:val="18"/>
          <w:szCs w:val="18"/>
          <w:rtl w:val="0"/>
          <w:cs w:val="0"/>
          <w:lang w:val="en-US"/>
        </w:rPr>
        <w:t xml:space="preserve"> </w:t>
      </w:r>
    </w:p>
  </w:footnote>
  <w:footnote w:id="32">
    <w:p w14:paraId="00939F16"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Yalom</w:t>
      </w:r>
    </w:p>
  </w:footnote>
  <w:footnote w:id="33">
    <w:p w14:paraId="3A4AC803"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Greenberg et al.</w:t>
      </w:r>
    </w:p>
  </w:footnote>
  <w:footnote w:id="34">
    <w:p w14:paraId="61E7FDB2"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Mikulincer &amp; Florian</w:t>
      </w:r>
      <w:r>
        <w:rPr>
          <w:rFonts w:ascii="Times New Roman" w:hAnsi="Times New Roman" w:eastAsia="Times New Roman" w:cs="Times New Roman"/>
          <w:sz w:val="18"/>
          <w:szCs w:val="18"/>
          <w:rtl w:val="0"/>
          <w:cs w:val="0"/>
          <w:lang w:val="en-US"/>
        </w:rPr>
        <w:t xml:space="preserve"> </w:t>
      </w:r>
    </w:p>
  </w:footnote>
  <w:footnote w:id="35">
    <w:p w14:paraId="1BFC7C78"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Neimeyer</w:t>
      </w:r>
    </w:p>
  </w:footnote>
  <w:footnote w:id="36">
    <w:p w14:paraId="403FC329"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 xml:space="preserve">van Bruggen </w:t>
      </w:r>
    </w:p>
  </w:footnote>
  <w:footnote w:id="37">
    <w:p w14:paraId="692EE53E"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Huang</w:t>
      </w:r>
    </w:p>
  </w:footnote>
  <w:footnote w:id="38">
    <w:p w14:paraId="471D6433"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Sternberg</w:t>
      </w:r>
    </w:p>
  </w:footnote>
  <w:footnote w:id="39">
    <w:p w14:paraId="4D99C8DA"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Mayer &amp; Salovey</w:t>
      </w:r>
    </w:p>
  </w:footnote>
  <w:footnote w:id="40">
    <w:p w14:paraId="1FBB223F"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Pinto</w:t>
      </w:r>
    </w:p>
  </w:footnote>
  <w:footnote w:id="41">
    <w:p w14:paraId="691D9690"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Pinto</w:t>
      </w:r>
    </w:p>
  </w:footnote>
  <w:footnote w:id="42">
    <w:p w14:paraId="2F25FDB0"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King &amp; DeCicco</w:t>
      </w:r>
    </w:p>
  </w:footnote>
  <w:footnote w:id="43">
    <w:p w14:paraId="5F820793"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Zohar &amp; Marshall</w:t>
      </w:r>
    </w:p>
  </w:footnote>
  <w:footnote w:id="44">
    <w:p w14:paraId="1A698CEA"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Abramowitz</w:t>
      </w:r>
    </w:p>
  </w:footnote>
  <w:footnote w:id="45">
    <w:p w14:paraId="5E4F9FCF"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 xml:space="preserve">Papalia &amp; Martorell </w:t>
      </w:r>
    </w:p>
  </w:footnote>
  <w:footnote w:id="46">
    <w:p w14:paraId="2FB2A7E2"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 xml:space="preserve">Salkovskis &amp; Warwick </w:t>
      </w:r>
    </w:p>
  </w:footnote>
  <w:footnote w:id="47">
    <w:p w14:paraId="73DF6137"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Abramowitz</w:t>
      </w:r>
    </w:p>
  </w:footnote>
  <w:footnote w:id="48">
    <w:p w14:paraId="5BA16C32"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Engel </w:t>
      </w:r>
    </w:p>
  </w:footnote>
  <w:footnote w:id="49">
    <w:p w14:paraId="5AC0A5AF"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Asmundson</w:t>
      </w:r>
    </w:p>
  </w:footnote>
  <w:footnote w:id="50">
    <w:p w14:paraId="2BA11D84"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Maunder &amp; Hunter</w:t>
      </w:r>
      <w:r>
        <w:rPr>
          <w:rFonts w:ascii="Times New Roman" w:hAnsi="Times New Roman" w:eastAsia="Times New Roman" w:cs="Times New Roman"/>
          <w:sz w:val="18"/>
          <w:szCs w:val="18"/>
          <w:rtl w:val="0"/>
          <w:cs w:val="0"/>
          <w:lang w:val="en-US"/>
        </w:rPr>
        <w:t xml:space="preserve"> </w:t>
      </w:r>
    </w:p>
  </w:footnote>
  <w:footnote w:id="51">
    <w:p w14:paraId="5EF61CDB"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APA</w:t>
      </w:r>
    </w:p>
  </w:footnote>
  <w:footnote w:id="52">
    <w:p w14:paraId="22BDD77A"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 xml:space="preserve">Fergus &amp; Valentiner </w:t>
      </w:r>
    </w:p>
  </w:footnote>
  <w:footnote w:id="53">
    <w:p w14:paraId="68001598"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Abramowitz &amp; Braddock</w:t>
      </w:r>
    </w:p>
  </w:footnote>
  <w:footnote w:id="54">
    <w:p w14:paraId="664963D9"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Taylor &amp; Asmundson</w:t>
      </w:r>
    </w:p>
  </w:footnote>
  <w:footnote w:id="55">
    <w:p w14:paraId="288870CC"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WHO</w:t>
      </w:r>
    </w:p>
  </w:footnote>
  <w:footnote w:id="56">
    <w:p w14:paraId="155C0A58"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APA</w:t>
      </w:r>
      <w:r>
        <w:rPr>
          <w:rFonts w:ascii="Times New Roman" w:hAnsi="Times New Roman" w:eastAsia="Times New Roman" w:cs="Times New Roman"/>
          <w:sz w:val="18"/>
          <w:szCs w:val="18"/>
          <w:rtl w:val="0"/>
          <w:cs w:val="0"/>
          <w:lang w:val="en-US"/>
        </w:rPr>
        <w:t xml:space="preserve"/>
      </w:r>
    </w:p>
  </w:footnote>
  <w:footnote w:id="57">
    <w:p w14:paraId="07058958"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NIA</w:t>
      </w:r>
      <w:r>
        <w:rPr>
          <w:rFonts w:ascii="Times New Roman" w:hAnsi="Times New Roman" w:eastAsia="Times New Roman" w:cs="Times New Roman"/>
          <w:sz w:val="18"/>
          <w:szCs w:val="18"/>
          <w:rtl w:val="0"/>
          <w:cs w:val="0"/>
          <w:lang w:val="en-US"/>
        </w:rPr>
        <w:t/>
      </w:r>
    </w:p>
  </w:footnote>
  <w:footnote w:id="58">
    <w:p w14:paraId="7A72B15C"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Koenig</w:t>
      </w:r>
    </w:p>
  </w:footnote>
  <w:footnote w:id="59">
    <w:p w14:paraId="1D0AFFB3"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Wang</w:t>
      </w:r>
    </w:p>
  </w:footnote>
  <w:footnote w:id="60">
    <w:p w14:paraId="4A003172"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 xml:space="preserve"> Soto</w:t>
      </w:r>
    </w:p>
  </w:footnote>
  <w:footnote w:id="61">
    <w:p w14:paraId="0475BDD5"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Chen</w:t>
      </w:r>
    </w:p>
  </w:footnote>
  <w:footnote w:id="62">
    <w:p w14:paraId="34003892"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 xml:space="preserve">Kaplan </w:t>
      </w:r>
    </w:p>
  </w:footnote>
  <w:footnote w:id="63">
    <w:p w14:paraId="0787089E"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val="en-US"/>
        </w:rPr>
        <w:t>Beck &amp; Haigh</w:t>
      </w:r>
    </w:p>
  </w:footnote>
  <w:footnote w:id="64">
    <w:p w14:paraId="62624520"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Gould</w:t>
      </w:r>
    </w:p>
  </w:footnote>
  <w:footnote w:id="65">
    <w:p w14:paraId="6F02D183"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18"/>
          <w:rtl w:val="0"/>
          <w:cs w:val="0"/>
          <w:lang w:val="en-US"/>
        </w:rPr>
        <w:t>Wang &amp; Zhao</w:t>
      </w:r>
    </w:p>
  </w:footnote>
  <w:footnote w:id="66">
    <w:p w14:paraId="5A2C7637"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bidi="fa-IR" w:val="en-US"/>
        </w:rPr>
        <w:t>Stavrova</w:t>
      </w:r>
    </w:p>
  </w:footnote>
  <w:footnote w:id="67">
    <w:p w14:paraId="76BFFDE9"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Yonker et al.</w:t>
      </w:r>
    </w:p>
  </w:footnote>
  <w:footnote w:id="68">
    <w:p w14:paraId="3E7CBCFF"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bidi="fa-IR" w:val="en-US"/>
        </w:rPr>
        <w:t>Zeng</w:t>
      </w:r>
    </w:p>
  </w:footnote>
  <w:footnote w:id="69">
    <w:p w14:paraId="526B4519"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Levin</w:t>
      </w:r>
    </w:p>
  </w:footnote>
  <w:footnote w:id="70">
    <w:p w14:paraId="7846AE57"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Mat Saad et al.</w:t>
      </w:r>
    </w:p>
  </w:footnote>
  <w:footnote w:id="71">
    <w:p w14:paraId="4A9B2CC7"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Chlan et al.</w:t>
      </w:r>
      <w:r>
        <w:rPr>
          <w:rFonts w:ascii="Times New Roman" w:hAnsi="Times New Roman" w:eastAsia="Times New Roman" w:cs="Times New Roman"/>
          <w:sz w:val="18"/>
          <w:szCs w:val="18"/>
          <w:rtl w:val="0"/>
          <w:cs w:val="0"/>
          <w:lang w:bidi="fa-IR" w:val="en-US"/>
        </w:rPr>
        <w:t/>
      </w:r>
    </w:p>
  </w:footnote>
  <w:footnote w:id="72">
    <w:p w14:paraId="3E119ACC"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King &amp; DeCicco</w:t>
      </w:r>
    </w:p>
  </w:footnote>
  <w:footnote w:id="73">
    <w:p w14:paraId="446C490B"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Jain &amp; Purohit</w:t>
      </w:r>
    </w:p>
  </w:footnote>
  <w:footnote w:id="74">
    <w:p w14:paraId="093B0909"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Harding</w:t>
      </w:r>
    </w:p>
  </w:footnote>
  <w:footnote w:id="75">
    <w:p w14:paraId="38D6502C"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Thorson &amp; Powell</w:t>
      </w:r>
    </w:p>
  </w:footnote>
  <w:footnote w:id="76">
    <w:p w14:paraId="10CE80C7"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Moreira-Almeida &amp; Koenig</w:t>
      </w:r>
    </w:p>
  </w:footnote>
  <w:footnote w:id="77">
    <w:p w14:paraId="5D2F0F22"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bidi="fa-IR" w:val="en-US"/>
        </w:rPr>
        <w:t>Jain &amp; Purohit</w:t>
      </w:r>
    </w:p>
  </w:footnote>
  <w:footnote w:id="78">
    <w:p w14:paraId="71647812"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Noyes </w:t>
      </w:r>
    </w:p>
  </w:footnote>
  <w:footnote w:id="79">
    <w:p w14:paraId="365F39E2"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bidi="fa-IR" w:val="en-US"/>
        </w:rPr>
        <w:t>Tomer &amp; Eliason</w:t>
      </w:r>
    </w:p>
  </w:footnote>
  <w:footnote w:id="80">
    <w:p w14:paraId="7E3C69F1"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bidi="fa-IR" w:val="en-US"/>
        </w:rPr>
        <w:t>Yalom</w:t>
      </w:r>
    </w:p>
  </w:footnote>
  <w:footnote w:id="81">
    <w:p w14:paraId="6EB93065"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w:t>
      </w:r>
      <w:r>
        <w:rPr>
          <w:rFonts w:ascii="Times New Roman" w:hAnsi="Times New Roman" w:eastAsia="Times New Roman" w:cs="Times New Roman"/>
          <w:sz w:val="18"/>
          <w:szCs w:val="18"/>
          <w:rtl w:val="0"/>
          <w:cs w:val="0"/>
          <w:lang w:bidi="fa-IR" w:val="en-US"/>
        </w:rPr>
        <w:t>Krejcie &amp; Morgan</w:t>
      </w:r>
    </w:p>
  </w:footnote>
  <w:footnote w:id="82">
    <w:p w14:paraId="5182779E"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Levin</w:t>
      </w:r>
    </w:p>
  </w:footnote>
  <w:footnote w:id="83">
    <w:p w14:paraId="1533DC04"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King &amp; DeCicco</w:t>
      </w:r>
    </w:p>
  </w:footnote>
  <w:footnote w:id="84">
    <w:p w14:paraId="018C4359"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Harding</w:t>
      </w:r>
    </w:p>
  </w:footnote>
  <w:footnote w:id="85">
    <w:p w14:paraId="7D006227" w14:textId="77777777">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Noyes </w:t>
      </w:r>
    </w:p>
  </w:footnote>
  <w:footnote w:id="86">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Templer</w:t>
      </w:r>
    </w:p>
  </w:footnote>
  <w:footnote w:id="87">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Salkovskis</w:t>
      </w:r>
    </w:p>
  </w:footnote>
  <w:footnote w:id="88">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Jung</w:t>
      </w:r>
    </w:p>
  </w:footnote>
  <w:footnote w:id="89">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Franz</w:t>
      </w:r>
    </w:p>
  </w:footnote>
  <w:footnote w:id="90">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Frankl</w:t>
      </w:r>
    </w:p>
  </w:footnote>
  <w:footnote w:id="91">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Adler</w:t>
      </w:r>
    </w:p>
  </w:footnote>
  <w:footnote w:id="92">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William James</w:t>
      </w:r>
    </w:p>
  </w:footnote>
  <w:footnote w:id="93">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Ryan</w:t>
      </w:r>
    </w:p>
  </w:footnote>
  <w:footnote w:id="94">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Deci</w:t>
      </w:r>
    </w:p>
  </w:footnote>
  <w:footnote w:id="95">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Ryff</w:t>
      </w:r>
    </w:p>
  </w:footnote>
  <w:footnote w:id="96">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Keyes</w:t>
      </w:r>
    </w:p>
  </w:footnote>
  <w:footnote w:id="97">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Diener</w:t>
      </w:r>
    </w:p>
  </w:footnote>
  <w:footnote w:id="98">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Bowlby</w:t>
      </w:r>
    </w:p>
  </w:footnote>
  <w:footnote w:id="99">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Maslow</w:t>
      </w:r>
    </w:p>
  </w:footnote>
  <w:footnote w:id="100">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UN</w:t>
      </w:r>
    </w:p>
  </w:footnote>
  <w:footnote w:id="101">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APA</w:t>
      </w:r>
    </w:p>
  </w:footnote>
  <w:footnote w:id="102">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Terror Management Theory</w:t>
      </w:r>
    </w:p>
  </w:footnote>
  <w:footnote w:id="103">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Death Anxiety Scale</w:t>
      </w:r>
    </w:p>
  </w:footnote>
  <w:footnote w:id="104">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Health Anxiety Inventory</w:t>
      </w:r>
    </w:p>
  </w:footnote>
  <w:footnote w:id="105">
    <w:p w14:paraId="7E615CBD" w14:textId="77777777">
      <w:pPr>
        <w:pStyle w:val="FootnoteText"/>
        <w:bidi w:val="0"/>
        <w:jc w:val="both"/>
        <w:rPr>
          <w:rFonts w:ascii="Times New Roman" w:hAnsi="Times New Roman" w:eastAsia="Times New Roman" w:cs="Times New Roman"/>
          <w:sz w:val="18"/>
          <w:szCs w:val="18"/>
          <w:rtl w:val="0"/>
          <w:cs w:val="0"/>
          <w:lang w:val="en-US"/>
        </w:rPr>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Inflammaging</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Franceschi</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Carstensen</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Westerhof</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Bohlmeijer</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McAdams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Socioemotional Selectivity Theory</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positivity effect</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Isaacowitz</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Charles</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Reed</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Chan</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Mikels</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Rowe</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Kahn</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Pyszczynski et al.</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Iverach</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Menzies</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Meaning Management Theory</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Wong</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DeCicco</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Warwick</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Halldórsson</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Braddock</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Haigh</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Çarıkçı-Özgül</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Işık</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18"/>
          <w:rtl w:val="0"/>
          <w:cs w:val="0"/>
          <w:lang w:val="en-US"/>
        </w:rPr>
        <w:t xml:space="preserve"> Stuart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rtl w:val="1"/>
        <w:cs w:val="1"/>
        <w:lang w:val="en-US" w:eastAsia="en-US" w:bidi="fa-IR"/>
      </w:rPr>
    </w:rPrDefault>
    <w:pPrDefault>
      <w:pPr>
        <w:bidi w:val="1"/>
        <w:jc w:val="right"/>
      </w:pPr>
    </w:pPrDefault>
  </w:docDefaults>
  <w:latentStyles w:defLockedState="0" w:defUIPriority="99" w:defSemiHidden="0" w:defUnhideWhenUsed="0" w:defQFormat="0" w:count="377">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English Text" w:qFormat="1" w:uiPriority="99"/>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val="1"/>
      <w:cs w:val="1"/>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EnglishText">
    <w:name w:val="English Text"/>
    <w:basedOn w:val="Normal"/>
    <w:next w:val="EnglishText"/>
    <w:qFormat/>
    <w:pPr>
      <w:bidi w:val="0"/>
      <w:jc w:val="left"/>
    </w:pPr>
    <w:rPr>
      <w:rFonts w:ascii="Times New Roman" w:hAnsi="Times New Roman" w:eastAsia="Times New Roman" w:cs="Times New Roman"/>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val="1"/>
      <w:cs w:val="1"/>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val="1"/>
      <w:cs w:val="1"/>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val="1"/>
      <w:cs w:val="1"/>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val="1"/>
      <w:cs w:val="1"/>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val="1"/>
      <w:cs w:val="1"/>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val="1"/>
      <w:cs w:val="1"/>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bidi w:val="0"/>
      <w:spacing w:after="0" w:line="240" w:lineRule="auto"/>
      <w:jc w:val="both"/>
    </w:pPr>
    <w:rPr>
      <w:rFonts w:cs="Times New Roman" w:ascii="Times New Roman" w:hAnsi="Times New Roman" w:eastAsia="Times New Roman"/>
      <w:color w:val="000000"/>
      <w:sz w:val="18"/>
      <w:szCs w:val="18"/>
      <w:rtl w:val="0"/>
      <w:cs w:val="0"/>
      <w:lang w:val="en-US"/>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bidi w:val="1"/>
      <w:spacing w:after="0" w:line="240" w:lineRule="auto"/>
      <w:jc w:val="right"/>
    </w:pPr>
    <w:rPr>
      <w:rFonts w:ascii="Times New Roman" w:hAnsi="Times New Roman" w:eastAsia="Times New Roman" w:cs="B Lotus"/>
      <w:rtl w:val="1"/>
      <w:cs w:val="1"/>
      <w:lang w:bidi="fa-IR" w:val="en-US"/>
    </w:r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bidi w:val="1"/>
      <w:spacing w:after="100"/>
      <w:jc w:val="right"/>
    </w:pPr>
    <w:rPr>
      <w:rFonts w:ascii="Times New Roman" w:hAnsi="Times New Roman" w:cs="B Lotus" w:eastAsia="Times New Roman"/>
      <w:b/>
      <w:bCs/>
      <w:noProof/>
      <w:color w:val="000000"/>
      <w:sz w:val="24"/>
      <w:szCs w:val="24"/>
      <w:rtl w:val="1"/>
      <w:cs w:val="1"/>
      <w:lang w:bidi="fa-IR" w:val="en-US"/>
    </w:rPr>
  </w:style>
  <w:style w:type="paragraph" w:styleId="TOC2">
    <w:name w:val="toc 2"/>
    <w:basedOn w:val="Normal"/>
    <w:next w:val="Normal"/>
    <w:autoRedefine/>
    <w:uiPriority w:val="39"/>
    <w:unhideWhenUsed/>
    <w:qFormat/>
    <w:pPr>
      <w:bidi w:val="1"/>
      <w:spacing w:after="100"/>
      <w:ind w:left="200"/>
      <w:jc w:val="right"/>
    </w:pPr>
    <w:rPr>
      <w:rFonts w:ascii="Times New Roman" w:hAnsi="Times New Roman" w:cs="B Lotus" w:eastAsia="Times New Roman"/>
      <w:color w:val="000000"/>
      <w:sz w:val="24"/>
      <w:szCs w:val="24"/>
      <w:rtl w:val="1"/>
      <w:cs w:val="1"/>
      <w:lang w:bidi="fa-IR" w:val="en-US"/>
    </w:rPr>
  </w:style>
  <w:style w:type="paragraph" w:styleId="TOC3">
    <w:name w:val="toc 3"/>
    <w:basedOn w:val="Normal"/>
    <w:next w:val="Normal"/>
    <w:autoRedefine/>
    <w:uiPriority w:val="39"/>
    <w:unhideWhenUsed/>
    <w:qFormat/>
    <w:pPr>
      <w:tabs>
        <w:tab w:val="right" w:leader="dot" w:pos="8494"/>
      </w:tabs>
      <w:bidi w:val="1"/>
      <w:spacing w:after="100"/>
      <w:ind w:left="400" w:right="400"/>
      <w:jc w:val="right"/>
    </w:pPr>
    <w:rPr>
      <w:rFonts w:ascii="Times New Roman" w:hAnsi="Times New Roman" w:cs="B Lotus" w:eastAsia="Times New Roman"/>
      <w:noProof/>
      <w:color w:val="000000"/>
      <w:sz w:val="24"/>
      <w:szCs w:val="24"/>
      <w:rtl w:val="1"/>
      <w:cs w:val="1"/>
      <w:lang w:bidi="fa-IR" w:val="en-US"/>
    </w:rPr>
  </w:style>
  <w:style w:type="paragraph" w:styleId="TOC4">
    <w:name w:val="toc 4"/>
    <w:basedOn w:val="Normal"/>
    <w:next w:val="Normal"/>
    <w:autoRedefine/>
    <w:uiPriority w:val="39"/>
    <w:unhideWhenUsed/>
    <w:pPr>
      <w:bidi w:val="1"/>
      <w:spacing w:after="100"/>
      <w:ind w:left="660"/>
      <w:jc w:val="right"/>
    </w:pPr>
    <w:rPr>
      <w:rFonts w:ascii="Times New Roman" w:eastAsia="Times New Roman" w:hAnsi="Times New Roman" w:cs="B Lotus"/>
      <w:color w:val="000000"/>
      <w:sz w:val="24"/>
      <w:szCs w:val="24"/>
      <w:rtl w:val="1"/>
      <w:cs w:val="1"/>
      <w:lang w:bidi="fa-IR" w:val="en-US"/>
    </w:rPr>
  </w:style>
  <w:style w:type="paragraph" w:styleId="TOC5">
    <w:name w:val="toc 5"/>
    <w:basedOn w:val="Normal"/>
    <w:next w:val="Normal"/>
    <w:autoRedefine/>
    <w:uiPriority w:val="39"/>
    <w:unhideWhenUsed/>
    <w:pPr>
      <w:bidi w:val="1"/>
      <w:spacing w:after="100"/>
      <w:ind w:left="880"/>
      <w:jc w:val="right"/>
    </w:pPr>
    <w:rPr>
      <w:rFonts w:ascii="Times New Roman" w:eastAsia="Times New Roman" w:hAnsi="Times New Roman" w:cs="B Lotus"/>
      <w:color w:val="000000"/>
      <w:sz w:val="24"/>
      <w:szCs w:val="24"/>
      <w:rtl w:val="1"/>
      <w:cs w:val="1"/>
      <w:lang w:bidi="fa-IR" w:val="en-US"/>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val="1"/>
      <w:cs w:val="1"/>
      <w:lang w:bidi="fa-IR" w:val="en-US"/>
    </w:rPr>
  </w:style>
  <w:style w:type="paragraph" w:styleId="TableofFigures">
    <w:name w:val="table of figures"/>
    <w:basedOn w:val="Normal"/>
    <w:next w:val="Normal"/>
    <w:uiPriority w:val="99"/>
    <w:qFormat/>
    <w:pPr>
      <w:tabs>
        <w:tab w:val="right" w:leader="dot" w:pos="8778"/>
      </w:tabs>
      <w:bidi w:val="1"/>
      <w:spacing w:before="0" w:after="40"/>
      <w:jc w:val="right"/>
    </w:pPr>
    <w:rPr>
      <w:rFonts w:ascii="Times New Roman" w:eastAsia="Times New Roman" w:hAnsi="Times New Roman" w:cs="B Lotus"/>
      <w:color w:val="000000"/>
      <w:sz w:val="24"/>
      <w:szCs w:val="24"/>
      <w:rtl w:val="1"/>
      <w:cs w:val="1"/>
      <w:lang w:eastAsia="en-US" w:bidi="fa-IR"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DoiFranc18" Type="http://schemas.openxmlformats.org/officeDocument/2006/relationships/hyperlink" Target="https://doi.org/10.1038/s41574-018-0059-4" TargetMode="External"/><Relationship Id="rIdDoiRowe15" Type="http://schemas.openxmlformats.org/officeDocument/2006/relationships/hyperlink" Target="https://doi.org/10.1093/geronb/gbv025" TargetMode="External"/><Relationship Id="rIdDoiWest17" Type="http://schemas.openxmlformats.org/officeDocument/2006/relationships/hyperlink" Target="https://doi.org/10.1093/geronb/gbv062" TargetMode="External"/><Relationship Id="rIdDoiIver14" Type="http://schemas.openxmlformats.org/officeDocument/2006/relationships/hyperlink" Target="https://doi.org/10.1016/j.cpr.2014.09.002" TargetMode="External"/><Relationship Id="rIdDoiMenz20" Type="http://schemas.openxmlformats.org/officeDocument/2006/relationships/hyperlink" Target="https://doi.org/10.1017/S1754470X20000215" TargetMode="External"/><Relationship Id="rIdDoiPysz21" Type="http://schemas.openxmlformats.org/officeDocument/2006/relationships/hyperlink" Target="https://doi.org/10.1177/0022167820959488"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SST99" Type="http://schemas.openxmlformats.org/officeDocument/2006/relationships/hyperlink" Target="https://doi.org/10.1037/0003-066X.54.3.165" TargetMode="External"/><Relationship Id="rIdDoiReed14" Type="http://schemas.openxmlformats.org/officeDocument/2006/relationships/hyperlink" Target="https://doi.org/10.1037/a0035194" TargetMode="External"/><Relationship Id="rIdDoiWarwick90" Type="http://schemas.openxmlformats.org/officeDocument/2006/relationships/hyperlink" Target="https://doi.org/10.1016/0005-7967(90)90023-c" TargetMode="External"/><Relationship Id="rIdDoiStuart99" Type="http://schemas.openxmlformats.org/officeDocument/2006/relationships/hyperlink" Target="https://doi.org/10.1016/S0033-3182(99)71269-7" TargetMode="External"/><Relationship Id="rIdDoiNoyes03" Type="http://schemas.openxmlformats.org/officeDocument/2006/relationships/hyperlink" Target="https://doi.org/10.1097/01.PSY.0000058377.50240.64" TargetMode="External"/><Relationship Id="rIdDoiHav61" Type="http://schemas.openxmlformats.org/officeDocument/2006/relationships/hyperlink" Target="https://doi.org/10.1093/geront/1.1.8" TargetMode="External"/><Relationship Id="rIdDoiAtchley89" Type="http://schemas.openxmlformats.org/officeDocument/2006/relationships/hyperlink" Target="https://doi.org/10.1093/geront/29.2.183" TargetMode="External"/><Relationship Id="rIdDoiLopez23" Type="http://schemas.openxmlformats.org/officeDocument/2006/relationships/hyperlink" Target="https://doi.org/10.1016/j.cell.2022.1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