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bidi w:val="0"/>
        <w:spacing w:after="120" w:line="276" w:lineRule="auto"/>
        <w:jc w:val="center"/>
      </w:pPr>
      <w:r>
        <w:rPr>
          <w:rFonts w:ascii="Times New Roman" w:hAnsi="Times New Roman" w:eastAsia="Times New Roman" w:cs="B Lotus"/>
          <w:sz w:val="28"/>
          <w:szCs w:val="28"/>
          <w:rtl w:val="0"/>
          <w:cs w:val="0"/>
          <w:lang w:val="en-US"/>
        </w:rPr>
        <w:drawing xmlns:a="http://schemas.openxmlformats.org/drawingml/2006/main" xmlns:pic="http://schemas.openxmlformats.org/drawingml/2006/picture">
          <wp:inline distT="0" distB="0" distL="0" distR="0">
            <wp:extent cx="5486400" cy="3411900"/>
            <wp:effectExtent l="0" t="0" r="0" b="0"/>
            <wp:docPr id="10" name="tree" descr="درختواره نظریه‌های سالمندی"/>
            <wp:cNvGraphicFramePr>
              <a:graphicFrameLocks noChangeAspect="1"/>
            </wp:cNvGraphicFramePr>
            <a:graphic>
              <a:graphicData uri="http://schemas.openxmlformats.org/drawingml/2006/picture">
                <pic:pic>
                  <pic:nvPicPr>
                    <pic:cNvPr id="0" name="tree.png"/>
                    <pic:cNvPicPr>
                      <a:picLocks noChangeAspect="1" noChangeArrowheads="1"/>
                    </pic:cNvPicPr>
                  </pic:nvPicPr>
                  <pic:blipFill>
                    <a:blip r:embed="rIdTree"/>
                    <a:stretch>
                      <a:fillRect/>
                    </a:stretch>
                  </pic:blipFill>
                  <pic:spPr bwMode="auto">
                    <a:xfrm>
                      <a:off x="0" y="0"/>
                      <a:ext cx="5486400" cy="3411900"/>
                    </a:xfrm>
                    <a:prstGeom prst="rect">
                      <a:avLst/>
                    </a:prstGeom>
                  </pic:spPr>
                </pic:pic>
              </a:graphicData>
            </a:graphic>
          </wp:inline>
        </w:drawing>
      </w:r>
    </w:p>
    <w:p>
      <w:pPr>
        <w:pStyle w:val="Caption"/>
        <w:bidi w:val="1"/>
        <w:spacing w:after="120" w:line="276" w:lineRule="auto"/>
        <w:jc w:val="right"/>
        <w:keepNext/>
      </w:pPr>
      <w:r>
        <w:rPr>
          <w:rFonts w:ascii="Times New Roman" w:hAnsi="Times New Roman" w:eastAsia="Times New Roman" w:cs="B Lotus"/>
          <w:b/>
          <w:bCs/>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120" w:line="276" w:lineRule="auto"/>
        <w:jc w:val="right"/>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 ۲۰۲۰).</w:t>
      </w:r>
    </w:p>
    <w:p>
      <w:pPr>
        <w:pStyle w:val="Normal"/>
        <w:bidi w:val="1"/>
        <w:spacing w:after="120" w:line="276" w:lineRule="auto"/>
        <w:jc w:val="right"/>
      </w:pPr>
      <w:r>
        <w:rPr>
          <w:rFonts w:ascii="Times New Roman" w:hAnsi="Times New Roman" w:eastAsia="Times New Roman" w:cs="B Lotus"/>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۲۰۲۳؛ فولپ و همکاران</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۲۰۲۳).</w:t>
      </w:r>
    </w:p>
    <w:p>
      <w:pPr>
        <w:pStyle w:val="Normal"/>
        <w:bidi w:val="1"/>
        <w:spacing w:after="120" w:line="276" w:lineRule="auto"/>
        <w:jc w:val="right"/>
      </w:pPr>
      <w:r>
        <w:rPr>
          <w:rFonts w:ascii="Times New Roman" w:hAnsi="Times New Roman" w:eastAsia="Times New Roman" w:cs="B Lotus"/>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sz w:val="20"/>
          <w:szCs w:val="20"/>
          <w:vertAlign w:val="superscript"/>
          <w:rtl w:val="0"/>
          <w:cs w:val="0"/>
          <w:lang w:val="en-US"/>
        </w:rPr>
        <w:footnoteReference w:id="6"/>
      </w:r>
      <w:r>
        <w:rPr>
          <w:rFonts w:ascii="Times New Roman" w:hAnsi="Times New Roman" w:eastAsia="Times New Roman" w:cs="B Lotus"/>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 و همکاران</w:t>
      </w:r>
      <w:r>
        <w:rPr>
          <w:rFonts w:ascii="Times New Roman" w:hAnsi="Times New Roman" w:eastAsia="Times New Roman" w:cs="Times New Roman"/>
          <w:rStyle w:val="FootnoteReference"/>
          <w:sz w:val="20"/>
          <w:szCs w:val="20"/>
          <w:vertAlign w:val="superscript"/>
          <w:rtl w:val="0"/>
          <w:cs w:val="0"/>
          <w:lang w:val="en-US"/>
        </w:rPr>
        <w:footnoteReference w:id="7"/>
      </w:r>
      <w:r>
        <w:rPr>
          <w:rFonts w:ascii="Times New Roman" w:hAnsi="Times New Roman" w:eastAsia="Times New Roman" w:cs="B Lotus"/>
          <w:sz w:val="28"/>
          <w:szCs w:val="28"/>
          <w:rtl/>
          <w:cs/>
          <w:lang w:bidi="fa-IR" w:val="en-US"/>
        </w:rPr>
        <w:t>، ۲۰۱۸؛ فولپ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w:t>
      </w:r>
      <w:r>
        <w:rPr>
          <w:rFonts w:ascii="Times New Roman" w:hAnsi="Times New Roman" w:eastAsia="Times New Roman" w:cs="B Lotus"/>
          <w:sz w:val="28"/>
          <w:szCs w:val="28"/>
          <w:rtl/>
          <w:cs/>
          <w:lang w:bidi="fa-IR" w:val="en-US"/>
        </w:rPr>
        <w:t>۲۰۲۳؛ گلادیشف،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 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sz w:val="20"/>
          <w:szCs w:val="20"/>
          <w:vertAlign w:val="superscript"/>
          <w:rtl w:val="0"/>
          <w:cs w:val="0"/>
          <w:lang w:val="en-US"/>
        </w:rPr>
        <w:footnoteReference w:id="18"/>
      </w:r>
      <w:r>
        <w:rPr>
          <w:rFonts w:ascii="Times New Roman" w:hAnsi="Times New Roman" w:eastAsia="Times New Roman" w:cs="B Lotus"/>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120" w:line="276" w:lineRule="auto"/>
        <w:jc w:val="right"/>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اگرچه صورت‌بندی گولد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 </w:t>
      </w:r>
      <w:r>
        <w:rPr>
          <w:rFonts w:ascii="Times New Roman" w:hAnsi="Times New Roman" w:eastAsia="Times New Roman" w:cs="B Lotus"/>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120" w:line="276" w:lineRule="auto"/>
        <w:jc w:val="right"/>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صورت‌بندی مرحله‌ای لوینسون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 </w:t>
      </w:r>
      <w:r>
        <w:rPr>
          <w:rFonts w:ascii="Times New Roman" w:hAnsi="Times New Roman" w:eastAsia="Times New Roman" w:cs="B Lotus"/>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120" w:line="276" w:lineRule="auto"/>
        <w:jc w:val="right"/>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w:t>
      </w:r>
      <w:r>
        <w:rPr>
          <w:rFonts w:ascii="Times New Roman" w:hAnsi="Times New Roman" w:eastAsia="Times New Roman" w:cs="B Lotus"/>
          <w:sz w:val="28"/>
          <w:szCs w:val="28"/>
          <w:rtl/>
          <w:cs/>
          <w:lang w:bidi="fa-IR" w:val="en-US"/>
        </w:rPr>
        <w:t>۱۹۸۲؛ اریکسون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120" w:line="276" w:lineRule="auto"/>
        <w:jc w:val="right"/>
      </w:pPr>
      <w:r>
        <w:rPr>
          <w:rFonts w:ascii="Times New Roman" w:hAnsi="Times New Roman" w:eastAsia="Times New Roman" w:cs="B Lotus"/>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 بولمایر و مک‌آدامز</w:t>
      </w:r>
      <w:r>
        <w:rPr>
          <w:rFonts w:ascii="Times New Roman" w:hAnsi="Times New Roman" w:eastAsia="Times New Roman" w:cs="Times New Roman"/>
          <w:rStyle w:val="FootnoteReference"/>
          <w:sz w:val="20"/>
          <w:szCs w:val="20"/>
          <w:vertAlign w:val="superscript"/>
          <w:rtl w:val="0"/>
          <w:cs w:val="0"/>
          <w:lang w:val="en-US"/>
        </w:rPr>
        <w:footnoteReference w:id="16"/>
      </w:r>
      <w:r>
        <w:rPr>
          <w:rFonts w:ascii="Times New Roman" w:hAnsi="Times New Roman" w:eastAsia="Times New Roman" w:cs="B Lotus"/>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۲-۱-۲-۲-۴- نظریه انتخاب اجتماعی-هیجانی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انتخاب اجتماعی-هیجانی</w:t>
      </w:r>
      <w:r>
        <w:rPr>
          <w:rFonts w:ascii="Times New Roman" w:hAnsi="Times New Roman" w:eastAsia="Times New Roman" w:cs="Times New Roman"/>
          <w:rStyle w:val="FootnoteReference"/>
          <w:sz w:val="20"/>
          <w:szCs w:val="20"/>
          <w:vertAlign w:val="superscript"/>
          <w:rtl w:val="0"/>
          <w:cs w:val="0"/>
          <w:lang w:val="en-US"/>
        </w:rPr>
        <w:footnoteReference w:id="17"/>
      </w:r>
      <w:r>
        <w:rPr>
          <w:rFonts w:ascii="Times New Roman" w:hAnsi="Times New Roman" w:eastAsia="Times New Roman" w:cs="B Lotus"/>
          <w:sz w:val="28"/>
          <w:szCs w:val="28"/>
          <w:rtl/>
          <w:cs/>
          <w:lang w:bidi="fa-IR" w:val="en-US"/>
        </w:rPr>
        <w:t xml:space="preserve"> که توسط لورا کارستنسن</w:t>
      </w:r>
      <w:r>
        <w:rPr>
          <w:rFonts w:ascii="Times New Roman" w:hAnsi="Times New Roman" w:eastAsia="Times New Roman" w:cs="Times New Roman"/>
          <w:rStyle w:val="FootnoteReference"/>
          <w:sz w:val="20"/>
          <w:szCs w:val="20"/>
          <w:vertAlign w:val="superscript"/>
          <w:rtl w:val="0"/>
          <w:cs w:val="0"/>
          <w:lang w:val="en-US"/>
        </w:rPr>
        <w:footnoteReference w:id="18"/>
      </w:r>
      <w:r>
        <w:rPr>
          <w:rFonts w:ascii="Times New Roman" w:hAnsi="Times New Roman" w:eastAsia="Times New Roman" w:cs="B Lotus"/>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sz w:val="20"/>
          <w:szCs w:val="20"/>
          <w:vertAlign w:val="superscript"/>
          <w:rtl w:val="0"/>
          <w:cs w:val="0"/>
          <w:lang w:val="en-US"/>
        </w:rPr>
        <w:footnoteReference w:id="21"/>
      </w:r>
      <w:r>
        <w:rPr>
          <w:rFonts w:ascii="Times New Roman" w:hAnsi="Times New Roman" w:eastAsia="Times New Roman" w:cs="B Lotus"/>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 آیزاکوویتز</w:t>
      </w:r>
      <w:r>
        <w:rPr>
          <w:rFonts w:ascii="Times New Roman" w:hAnsi="Times New Roman" w:eastAsia="Times New Roman" w:cs="Times New Roman"/>
          <w:rStyle w:val="FootnoteReference"/>
          <w:sz w:val="20"/>
          <w:szCs w:val="20"/>
          <w:vertAlign w:val="superscript"/>
          <w:rtl w:val="0"/>
          <w:cs w:val="0"/>
          <w:lang w:val="en-US"/>
        </w:rPr>
        <w:footnoteReference w:id="19"/>
      </w:r>
      <w:r>
        <w:rPr>
          <w:rFonts w:ascii="Times New Roman" w:hAnsi="Times New Roman" w:eastAsia="Times New Roman" w:cs="B Lotus"/>
          <w:sz w:val="28"/>
          <w:szCs w:val="28"/>
          <w:rtl/>
          <w:cs/>
          <w:lang w:bidi="fa-IR" w:val="en-US"/>
        </w:rPr>
        <w:t xml:space="preserve"> و چارلز</w:t>
      </w:r>
      <w:r>
        <w:rPr>
          <w:rFonts w:ascii="Times New Roman" w:hAnsi="Times New Roman" w:eastAsia="Times New Roman" w:cs="Times New Roman"/>
          <w:rStyle w:val="FootnoteReference"/>
          <w:sz w:val="20"/>
          <w:szCs w:val="20"/>
          <w:vertAlign w:val="superscript"/>
          <w:rtl w:val="0"/>
          <w:cs w:val="0"/>
          <w:lang w:val="en-US"/>
        </w:rPr>
        <w:footnoteReference w:id="20"/>
      </w:r>
      <w:r>
        <w:rPr>
          <w:rFonts w:ascii="Times New Roman" w:hAnsi="Times New Roman" w:eastAsia="Times New Roman" w:cs="B Lotus"/>
          <w:sz w:val="28"/>
          <w:szCs w:val="28"/>
          <w:rtl/>
          <w:cs/>
          <w:lang w:bidi="fa-IR" w:val="en-US"/>
        </w:rPr>
        <w:t>، ۱۹۹۹؛ کارستنسن، ۲۰۰۶؛ رید، چان و مایکلز</w:t>
      </w:r>
      <w:r>
        <w:rPr>
          <w:rFonts w:ascii="Times New Roman" w:hAnsi="Times New Roman" w:eastAsia="Times New Roman" w:cs="Times New Roman"/>
          <w:rStyle w:val="FootnoteReference"/>
          <w:sz w:val="20"/>
          <w:szCs w:val="20"/>
          <w:vertAlign w:val="superscript"/>
          <w:rtl w:val="0"/>
          <w:cs w:val="0"/>
          <w:lang w:val="en-US"/>
        </w:rPr>
        <w:footnoteReference w:id="22"/>
      </w:r>
      <w:r>
        <w:rPr>
          <w:rFonts w:ascii="Times New Roman" w:hAnsi="Times New Roman" w:eastAsia="Times New Roman" w:cs="B Lotus"/>
          <w:sz w:val="28"/>
          <w:szCs w:val="28"/>
          <w:rtl/>
          <w:cs/>
          <w:lang w:bidi="fa-IR" w:val="en-US"/>
        </w:rPr>
        <w:t>، ۲۰۱۴؛ کارستنسن،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 </w:t>
      </w:r>
      <w:r>
        <w:rPr>
          <w:rFonts w:ascii="Times New Roman" w:hAnsi="Times New Roman" w:eastAsia="Times New Roman" w:cs="B Lotus"/>
          <w:sz w:val="28"/>
          <w:szCs w:val="28"/>
          <w:rtl/>
          <w:cs/>
          <w:lang w:bidi="fa-IR" w:val="en-US"/>
        </w:rPr>
        <w:t>۲۰۲۰؛ سازمان جهانی بهداشت،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w:t>
      </w:r>
      <w:r>
        <w:rPr>
          <w:rFonts w:ascii="Times New Roman" w:hAnsi="Times New Roman" w:eastAsia="Times New Roman" w:cs="B Lotus"/>
          <w:sz w:val="28"/>
          <w:szCs w:val="28"/>
          <w:rtl/>
          <w:cs/>
          <w:lang w:bidi="fa-IR" w:val="en-US"/>
        </w:rPr>
        <w:t>۱۹۶۱؛ هاویگهرست، نیوگارتن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120" w:line="276" w:lineRule="auto"/>
        <w:jc w:val="right"/>
      </w:pPr>
      <w:r>
        <w:rPr>
          <w:rFonts w:ascii="Times New Roman" w:hAnsi="Times New Roman" w:eastAsia="Times New Roman" w:cs="B Lotus"/>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 و کان</w:t>
      </w:r>
      <w:r>
        <w:rPr>
          <w:rFonts w:ascii="Times New Roman" w:hAnsi="Times New Roman" w:eastAsia="Times New Roman" w:cs="Times New Roman"/>
          <w:rStyle w:val="FootnoteReference"/>
          <w:sz w:val="20"/>
          <w:szCs w:val="20"/>
          <w:vertAlign w:val="superscript"/>
          <w:rtl w:val="0"/>
          <w:cs w:val="0"/>
          <w:lang w:val="en-US"/>
        </w:rPr>
        <w:footnoteReference w:id="29"/>
      </w:r>
      <w:r>
        <w:rPr>
          <w:rFonts w:ascii="Times New Roman" w:hAnsi="Times New Roman" w:eastAsia="Times New Roman" w:cs="B Lotus"/>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w:t>
      </w:r>
      <w:r>
        <w:rPr>
          <w:rFonts w:ascii="Times New Roman" w:hAnsi="Times New Roman" w:eastAsia="Times New Roman" w:cs="B Lotus"/>
          <w:sz w:val="28"/>
          <w:szCs w:val="28"/>
          <w:rtl/>
          <w:cs/>
          <w:lang w:bidi="fa-IR" w:val="en-US"/>
        </w:rPr>
        <w:t>۱۹۸۹؛ آچلی، ۲۰۱۶).</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w:t>
      </w:r>
      <w:r>
        <w:rPr>
          <w:rFonts w:ascii="Times New Roman" w:hAnsi="Times New Roman" w:eastAsia="Times New Roman" w:cs="B Lotus"/>
          <w:sz w:val="28"/>
          <w:szCs w:val="28"/>
          <w:rtl/>
          <w:cs/>
          <w:lang w:bidi="fa-IR" w:val="en-US"/>
        </w:rPr>
        <w:t>۲۰۱۶).</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120" w:line="276" w:lineRule="auto"/>
        <w:jc w:val="right"/>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 Bohlmeijer &amp;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 Chan &amp;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 &amp;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 &amp;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 &amp;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