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/>
        <w:bidi/>
        <w:spacing w:before="1800" w:after="160" w:line="340" w:lineRule="auto"/>
        <w:ind w:left="0" w:right="0"/>
        <w:jc w:val="center"/>
      </w:pPr>
      <w:r>
        <w:rPr>
          <w:rFonts w:cs="B Titr" w:hint="cs"/>
          <w:b/>
          <w:bCs/>
          <w:sz w:val="38"/>
          <w:szCs w:val="38"/>
          <w:rtl/>
          <w:lang w:bidi="fa-IR"/>
        </w:rPr>
        <w:t xml:space="preserve">گزارش بررسی و اصلاح پانویس‌ها</w:t>
      </w:r>
    </w:p>
    <w:p>
      <w:pPr>
        <w:widowControl/>
        <w:bidi/>
        <w:spacing w:before="0" w:after="500" w:line="340" w:lineRule="auto"/>
        <w:ind w:left="0" w:right="0"/>
        <w:jc w:val="center"/>
      </w:pPr>
      <w:r>
        <w:rPr>
          <w:rFonts w:cs="B Nazanin" w:hint="cs"/>
          <w:b/>
          <w:bCs/>
          <w:sz w:val="30"/>
          <w:szCs w:val="30"/>
          <w:rtl/>
          <w:lang w:bidi="fa-IR"/>
        </w:rPr>
        <w:t xml:space="preserve">پایان‌نامه: رابطه هوش معنوی و اضطراب سلامتی با اضطراب مرگ سالمندان</w:t>
      </w:r>
    </w:p>
    <w:p>
      <w:pPr>
        <w:widowControl/>
        <w:bidi/>
        <w:spacing w:before="0" w:after="90" w:line="340" w:lineRule="auto"/>
        <w:ind w:left="0" w:right="0"/>
        <w:jc w:val="center"/>
      </w:pPr>
      <w:r>
        <w:rPr>
          <w:rFonts w:cs="B Nazanin" w:hint="cs"/>
          <w:sz w:val="26"/>
          <w:szCs w:val="26"/>
          <w:rtl/>
          <w:lang w:bidi="fa-IR"/>
        </w:rPr>
        <w:t xml:space="preserve">فایل بررسی‌شده: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Payannameh_Fatemeh.Bayat-B-v2.docx</w:t>
      </w:r>
    </w:p>
    <w:p>
      <w:pPr>
        <w:widowControl/>
        <w:bidi/>
        <w:spacing w:before="0" w:after="500" w:line="340" w:lineRule="auto"/>
        <w:ind w:left="0" w:right="0"/>
        <w:jc w:val="center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فایل اصلاح‌شده: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Payannameh_Fatemeh.Bayat-B-v3.docx</w:t>
      </w:r>
    </w:p>
    <w:p>
      <w:pPr>
        <w:keepNext/>
        <w:keepLines/>
        <w:widowControl/>
        <w:bidi/>
        <w:spacing w:before="0" w:after="140" w:line="340" w:lineRule="auto"/>
        <w:ind w:left="0" w:right="0"/>
        <w:jc w:val="right"/>
      </w:pPr>
      <w:r>
        <w:rPr>
          <w:rFonts w:cs="B Nazanin" w:hint="cs"/>
          <w:b/>
          <w:bCs/>
          <w:sz w:val="30"/>
          <w:szCs w:val="30"/>
          <w:rtl/>
          <w:lang w:bidi="fa-IR"/>
        </w:rPr>
        <w:t xml:space="preserve">خلاصهٔ اجرایی</w:t>
      </w:r>
    </w:p>
    <w:p>
      <w:pPr>
        <w:widowControl/>
        <w:bidi/>
        <w:spacing w:before="0" w:after="13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◆  کل پانویس‌های موجود در پایان‌نامه: ۸۵ مورد.</w:t>
      </w:r>
    </w:p>
    <w:p>
      <w:pPr>
        <w:widowControl/>
        <w:bidi/>
        <w:spacing w:before="0" w:after="13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◆  پانویس‌های اصلاح‌شده: ۱۵ مورد (نام لاتین نادرست، چسبیدن شمارهٔ فهرست، ترتیب واژه‌ها و املا).</w:t>
      </w:r>
    </w:p>
    <w:p>
      <w:pPr>
        <w:widowControl/>
        <w:bidi/>
        <w:spacing w:before="0" w:after="13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◆  افزون بر این، چهار پانویس (شماره‌های ۸، ۱۷، ۱۸ و ۱۹) به‌جای شمارهٔ خودکارِ ورد، عدد دستی تایپ‌شده داشتند؛ این یعنی با افزودن یا حذف هر پانویس، شمارهٔ آن‌ها به‌روز نمی‌شد و با شمارهٔ داخل متن نمی‌خواند. هر چهار مورد به شمارهٔ خودکار تبدیل شد.</w:t>
      </w:r>
    </w:p>
    <w:p>
      <w:pPr>
        <w:widowControl/>
        <w:bidi/>
        <w:spacing w:before="0" w:after="13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◆  سبک پانویس‌های پایان‌نامه «فقط املای لاتین نام» است؛ این سبک عیناً حفظ شد و ارجاع کتاب‌شناختی کامل به پانویس‌ها افزوده نشد تا یکدستی متن به‌هم نخورد.</w:t>
      </w:r>
    </w:p>
    <w:p>
      <w:pPr>
        <w:widowControl/>
        <w:bidi/>
        <w:spacing w:before="0" w:after="13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◆  هیچ بخش دیگری از فایل تغییر نکرد: مقایسهٔ کدِ داخلی نشان می‌دهد تنها بخش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footnotes.xml </w:t>
      </w:r>
      <w:r>
        <w:rPr>
          <w:rFonts w:cs="B Nazanin" w:hint="cs"/>
          <w:sz w:val="26"/>
          <w:szCs w:val="26"/>
          <w:rtl/>
          <w:lang w:bidi="fa-IR"/>
        </w:rPr>
        <w:t xml:space="preserve">تفاوت دارد و صفحه‌بندی، قلم‌ها، جدول‌ها و اصلاحات دستی شما دست‌نخورده باقی مانده است.</w:t>
      </w:r>
    </w:p>
    <w:p>
      <w:pPr>
        <w:pageBreakBefore/>
        <w:keepNext/>
        <w:keepLines/>
        <w:widowControl/>
        <w:bidi/>
        <w:spacing w:before="0" w:after="150" w:line="340" w:lineRule="auto"/>
        <w:ind w:left="0" w:right="0"/>
        <w:jc w:val="right"/>
      </w:pPr>
      <w:r>
        <w:rPr>
          <w:rFonts w:cs="B Nazanin" w:hint="cs"/>
          <w:b/>
          <w:bCs/>
          <w:sz w:val="30"/>
          <w:szCs w:val="30"/>
          <w:rtl/>
          <w:lang w:bidi="fa-IR"/>
        </w:rPr>
        <w:t xml:space="preserve">الف) پانویس‌های اصلاح‌شده</w:t>
      </w:r>
    </w:p>
    <w:p>
      <w:pPr>
        <w:keepNext/>
        <w:keepLines/>
        <w:widowControl/>
        <w:bidi/>
        <w:shd w:val="clear" w:fill="FDF0E3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C05621"/>
          <w:sz w:val="24"/>
          <w:szCs w:val="24"/>
          <w:rtl/>
          <w:lang w:bidi="fa-IR"/>
        </w:rPr>
        <w:t xml:space="preserve">۱. پانویس شمارهٔ ۸   |   چسبیدن شمارهٔ فهرست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۱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Gerontology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Gerontology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شمارهٔ «۱» از فهرست چسبیده بود؛ خود واژه درست است.</w:t>
      </w:r>
    </w:p>
    <w:p>
      <w:pPr>
        <w:keepNext/>
        <w:keepLines/>
        <w:widowControl/>
        <w:bidi/>
        <w:shd w:val="clear" w:fill="E9F3E9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2F6B2F"/>
          <w:sz w:val="24"/>
          <w:szCs w:val="24"/>
          <w:rtl/>
          <w:lang w:bidi="fa-IR"/>
        </w:rPr>
        <w:t xml:space="preserve">۲. پانویس شمارهٔ ۱۱   |   املا/فاصله/دیاکریتیک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Nikolich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Nikolich-Žugich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نام کامل نویسنده؛ در متن «نیکولاس» آمده که املای نادرست است.</w:t>
      </w:r>
    </w:p>
    <w:p>
      <w:pPr>
        <w:keepNext/>
        <w:keepLines/>
        <w:widowControl/>
        <w:bidi/>
        <w:shd w:val="clear" w:fill="E9F3E9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2F6B2F"/>
          <w:sz w:val="24"/>
          <w:szCs w:val="24"/>
          <w:rtl/>
          <w:lang w:bidi="fa-IR"/>
        </w:rPr>
        <w:t xml:space="preserve">۳. پانویس شمارهٔ ۱۲   |   املا/فاصله/دیاکریتیک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Fulop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Fülöp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املای صحیح با دیاکریتیک مجارستانی.</w:t>
      </w:r>
    </w:p>
    <w:p>
      <w:pPr>
        <w:keepNext/>
        <w:keepLines/>
        <w:widowControl/>
        <w:bidi/>
        <w:shd w:val="clear" w:fill="FDE7E9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9C0006"/>
          <w:sz w:val="24"/>
          <w:szCs w:val="24"/>
          <w:rtl/>
          <w:lang w:bidi="fa-IR"/>
        </w:rPr>
        <w:t xml:space="preserve">۴. پانویس شمارهٔ ۱۶   |   نام لاتین نادرست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Gold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Roger Gould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متن «راجر گولد» است؛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Gold </w:t>
      </w:r>
      <w:r>
        <w:rPr>
          <w:rFonts w:cs="B Nazanin" w:hint="cs"/>
          <w:sz w:val="26"/>
          <w:szCs w:val="26"/>
          <w:rtl/>
          <w:lang w:bidi="fa-IR"/>
        </w:rPr>
        <w:t xml:space="preserve">غلط املایی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Gould </w:t>
      </w:r>
      <w:r>
        <w:rPr>
          <w:rFonts w:cs="B Nazanin" w:hint="cs"/>
          <w:sz w:val="26"/>
          <w:szCs w:val="26"/>
          <w:rtl/>
          <w:lang w:bidi="fa-IR"/>
        </w:rPr>
        <w:t xml:space="preserve">است.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Gould, R. L. (1978). Transformations: Growth and Change in Adult Life.</w:t>
      </w:r>
    </w:p>
    <w:p>
      <w:pPr>
        <w:keepNext/>
        <w:keepLines/>
        <w:widowControl/>
        <w:bidi/>
        <w:shd w:val="clear" w:fill="FDF0E3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C05621"/>
          <w:sz w:val="24"/>
          <w:szCs w:val="24"/>
          <w:rtl/>
          <w:lang w:bidi="fa-IR"/>
        </w:rPr>
        <w:t xml:space="preserve">۵. پانویس شمارهٔ ۱۷   |   چسبیدن شمارهٔ فهرست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۳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Levinson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Daniel Levinson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شمارهٔ «۳» چسبیده بود.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Levinson, D. J. (1978). The Seasons of a Man's Life.</w:t>
      </w:r>
    </w:p>
    <w:p>
      <w:pPr>
        <w:keepNext/>
        <w:keepLines/>
        <w:widowControl/>
        <w:bidi/>
        <w:shd w:val="clear" w:fill="FDE7E9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9C0006"/>
          <w:sz w:val="24"/>
          <w:szCs w:val="24"/>
          <w:rtl/>
          <w:lang w:bidi="fa-IR"/>
        </w:rPr>
        <w:t xml:space="preserve">۶. پانویس شمارهٔ ۱۸   |   نام لاتین نادرست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۴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SHAie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K. Warner Schaie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«شی» در عبارت «نظریه لوینسون و شی» همان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Schaie </w:t>
      </w:r>
      <w:r>
        <w:rPr>
          <w:rFonts w:cs="B Nazanin" w:hint="cs"/>
          <w:sz w:val="26"/>
          <w:szCs w:val="26"/>
          <w:rtl/>
          <w:lang w:bidi="fa-IR"/>
        </w:rPr>
        <w:t xml:space="preserve">است؛ «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SHAie» </w:t>
      </w:r>
      <w:r>
        <w:rPr>
          <w:rFonts w:cs="B Nazanin" w:hint="cs"/>
          <w:sz w:val="26"/>
          <w:szCs w:val="26"/>
          <w:rtl/>
          <w:lang w:bidi="fa-IR"/>
        </w:rPr>
        <w:t xml:space="preserve">با شمارهٔ ۴ چسبیده ثبت شده بود.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Schaie, K. W. — </w:t>
      </w:r>
      <w:r>
        <w:rPr>
          <w:rFonts w:cs="B Nazanin" w:hint="cs"/>
          <w:sz w:val="26"/>
          <w:szCs w:val="26"/>
          <w:rtl/>
          <w:lang w:bidi="fa-IR"/>
        </w:rPr>
        <w:t xml:space="preserve">مطالعهٔ طولی سیاتل.</w:t>
      </w:r>
    </w:p>
    <w:p>
      <w:pPr>
        <w:keepNext/>
        <w:keepLines/>
        <w:widowControl/>
        <w:bidi/>
        <w:shd w:val="clear" w:fill="FDF0E3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C05621"/>
          <w:sz w:val="24"/>
          <w:szCs w:val="24"/>
          <w:rtl/>
          <w:lang w:bidi="fa-IR"/>
        </w:rPr>
        <w:t xml:space="preserve">۷. پانویس شمارهٔ ۱۹   |   چسبیدن شمارهٔ فهرست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۵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Erikson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Erik Erikson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شمارهٔ «۵» چسبیده بود.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Erikson, E. H. (1982). The Life Cycle Completed.</w:t>
      </w:r>
    </w:p>
    <w:p>
      <w:pPr>
        <w:keepNext/>
        <w:keepLines/>
        <w:widowControl/>
        <w:bidi/>
        <w:shd w:val="clear" w:fill="FDE7E9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9C0006"/>
          <w:sz w:val="24"/>
          <w:szCs w:val="24"/>
          <w:rtl/>
          <w:lang w:bidi="fa-IR"/>
        </w:rPr>
        <w:t xml:space="preserve">۸. پانویس شمارهٔ ۳۳   |   نام لاتین نادرست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Greenberg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Greenberg, Pyszczynski &amp; Solomon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بنیان‌گذاران نظریه مدیریت وحشت (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TMT)</w:t>
      </w:r>
      <w:r>
        <w:rPr>
          <w:rFonts w:cs="B Nazanin" w:hint="cs"/>
          <w:sz w:val="26"/>
          <w:szCs w:val="26"/>
          <w:rtl/>
          <w:lang w:bidi="fa-IR"/>
        </w:rPr>
        <w:t xml:space="preserve">؛ ذکر هر سه نام استاندارد ارجاع به این نظریه است.</w:t>
      </w:r>
    </w:p>
    <w:p>
      <w:pPr>
        <w:keepNext/>
        <w:keepLines/>
        <w:widowControl/>
        <w:bidi/>
        <w:shd w:val="clear" w:fill="E7F1F5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1F6F8B"/>
          <w:sz w:val="24"/>
          <w:szCs w:val="24"/>
          <w:rtl/>
          <w:lang w:bidi="fa-IR"/>
        </w:rPr>
        <w:t xml:space="preserve">۹. پانویس شمارهٔ ۵۱   |   ترتیب واژه‌ها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Association American Psychiatric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American Psychiatric Association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ترتیب واژه‌ها معکوس ثبت شده بود («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Association American Psychiatric»).</w:t>
      </w:r>
    </w:p>
    <w:p>
      <w:pPr>
        <w:keepNext/>
        <w:keepLines/>
        <w:widowControl/>
        <w:bidi/>
        <w:shd w:val="clear" w:fill="E9F3E9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2F6B2F"/>
          <w:sz w:val="24"/>
          <w:szCs w:val="24"/>
          <w:rtl/>
          <w:lang w:bidi="fa-IR"/>
        </w:rPr>
        <w:t xml:space="preserve">۱۰. پانویس شمارهٔ ۶۵   |   املا/فاصله/دیاکریتیک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Wang &amp;Zhao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Wang &amp; Zhao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نبود فاصله پیش از «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Zhao».</w:t>
      </w:r>
    </w:p>
    <w:p>
      <w:pPr>
        <w:keepNext/>
        <w:keepLines/>
        <w:widowControl/>
        <w:bidi/>
        <w:shd w:val="clear" w:fill="FDE7E9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9C0006"/>
          <w:sz w:val="24"/>
          <w:szCs w:val="24"/>
          <w:rtl/>
          <w:lang w:bidi="fa-IR"/>
        </w:rPr>
        <w:t xml:space="preserve">۱۱. پانویس شمارهٔ ۶۷   |   نام لاتین نادرست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Yonker, Schanbelrauch &amp; Dehaan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Yonker, Schnabelrauch &amp; DeHaan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املای صحیح: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Yonker, J. E., Schnabelrauch, C. A., &amp; DeHaan, L. G. (2012). Journal of Adolescence, 35(2), 299–314.</w:t>
      </w:r>
    </w:p>
    <w:p>
      <w:pPr>
        <w:keepNext/>
        <w:keepLines/>
        <w:widowControl/>
        <w:bidi/>
        <w:shd w:val="clear" w:fill="FDE7E9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9C0006"/>
          <w:sz w:val="24"/>
          <w:szCs w:val="24"/>
          <w:rtl/>
          <w:lang w:bidi="fa-IR"/>
        </w:rPr>
        <w:t xml:space="preserve">۱۲. پانویس شمارهٔ ۷۰   |   نام لاتین نادرست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Suad,Zarina Mat, Zulkarnin A,Hatta Nuria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Zarina Mat Saad, Zulkarnain A. Hatta &amp; Noriah Mohamad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نام‌ها به‌هم‌ریخته و ناقص بود. مقاله: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Saad, Z. M., Hatta, Z. A., &amp; Mohamad, N. (2010). The Impact of Spiritual Intelligence on the Health of the Elderly in Malaysia. Asian Social Work and Policy Review, 4(2), 84–97.</w:t>
      </w:r>
    </w:p>
    <w:p>
      <w:pPr>
        <w:keepNext/>
        <w:keepLines/>
        <w:widowControl/>
        <w:bidi/>
        <w:shd w:val="clear" w:fill="FDE7E9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9C0006"/>
          <w:sz w:val="24"/>
          <w:szCs w:val="24"/>
          <w:rtl/>
          <w:lang w:bidi="fa-IR"/>
        </w:rPr>
        <w:t xml:space="preserve">۱۳. پانویس شمارهٔ ۷۳   |   نام لاتین نادرست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gin &amp; Purohit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Jain &amp; Purohit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با حرف کوچک و ناقص («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gin») </w:t>
      </w:r>
      <w:r>
        <w:rPr>
          <w:rFonts w:cs="B Nazanin" w:hint="cs"/>
          <w:sz w:val="26"/>
          <w:szCs w:val="26"/>
          <w:rtl/>
          <w:lang w:bidi="fa-IR"/>
        </w:rPr>
        <w:t xml:space="preserve">ثبت شده بود.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Jain, M., &amp; Purohit, P. (2006). Journal of the Indian Academy of Applied Psychology, 32(3), 227–233.</w:t>
      </w:r>
    </w:p>
    <w:p>
      <w:pPr>
        <w:keepNext/>
        <w:keepLines/>
        <w:widowControl/>
        <w:bidi/>
        <w:shd w:val="clear" w:fill="FDE7E9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9C0006"/>
          <w:sz w:val="24"/>
          <w:szCs w:val="24"/>
          <w:rtl/>
          <w:lang w:bidi="fa-IR"/>
        </w:rPr>
        <w:t xml:space="preserve">۱۴. پانویس شمارهٔ ۷۵   |   نام لاتین نادرست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Dorson &amp; Poul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Thorson &amp; Powell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«دورسون و پاوول» در واقع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Thorson </w:t>
      </w:r>
      <w:r>
        <w:rPr>
          <w:rFonts w:cs="B Nazanin" w:hint="cs"/>
          <w:sz w:val="26"/>
          <w:szCs w:val="26"/>
          <w:rtl/>
          <w:lang w:bidi="fa-IR"/>
        </w:rPr>
        <w:t xml:space="preserve">و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Powell </w:t>
      </w:r>
      <w:r>
        <w:rPr>
          <w:rFonts w:cs="B Nazanin" w:hint="cs"/>
          <w:sz w:val="26"/>
          <w:szCs w:val="26"/>
          <w:rtl/>
          <w:lang w:bidi="fa-IR"/>
        </w:rPr>
        <w:t xml:space="preserve">است. مقاله: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Thorson, J. A., &amp; Powell, F. C. (1988). Elements of death anxiety and meanings of death. Journal of Clinical Psychology, 44(5), 691–701. (</w:t>
      </w:r>
      <w:r>
        <w:rPr>
          <w:rFonts w:cs="B Nazanin" w:hint="cs"/>
          <w:sz w:val="26"/>
          <w:szCs w:val="26"/>
          <w:rtl/>
          <w:lang w:bidi="fa-IR"/>
        </w:rPr>
        <w:t xml:space="preserve">عنوانی که در متن آمده)</w:t>
      </w:r>
    </w:p>
    <w:p>
      <w:pPr>
        <w:keepNext/>
        <w:keepLines/>
        <w:widowControl/>
        <w:bidi/>
        <w:shd w:val="clear" w:fill="FDE7E9"/>
        <w:spacing w:before="220" w:after="80" w:line="340" w:lineRule="auto"/>
        <w:ind w:left="0" w:right="0"/>
        <w:jc w:val="right"/>
      </w:pPr>
      <w:r>
        <w:rPr>
          <w:rFonts w:cs="B Nazanin" w:hint="cs"/>
          <w:b/>
          <w:bCs/>
          <w:color w:val="9C0006"/>
          <w:sz w:val="24"/>
          <w:szCs w:val="24"/>
          <w:rtl/>
          <w:lang w:bidi="fa-IR"/>
        </w:rPr>
        <w:t xml:space="preserve">۱۵. پانویس شمارهٔ ۷۶   |   نام لاتین نادرست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پیش از اصلاح: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Moreiva &amp; Almeida</w:t>
      </w:r>
    </w:p>
    <w:p>
      <w:pPr>
        <w:keepNext/>
        <w:keepLines/>
        <w:widowControl/>
        <w:bidi/>
        <w:spacing w:before="0" w:after="60" w:line="340" w:lineRule="auto"/>
        <w:ind w:left="0" w:right="0"/>
        <w:jc w:val="both"/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پس از اصلاح:  </w:t>
      </w:r>
      <w:r>
        <w:rPr>
          <w:rFonts w:ascii="Times New Roman" w:hAnsi="Times New Roman" w:cs="Times New Roman"/>
          <w:b/>
          <w:bCs/>
          <w:sz w:val="26"/>
          <w:szCs w:val="26"/>
          <w:rtl w:val="0"/>
          <w:lang w:val="en-US"/>
        </w:rPr>
        <w:t xml:space="preserve">Moreira-Almeida &amp; Koenig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مستند:  «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Moreiva &amp; Almeida» </w:t>
      </w:r>
      <w:r>
        <w:rPr>
          <w:rFonts w:cs="B Nazanin" w:hint="cs"/>
          <w:sz w:val="26"/>
          <w:szCs w:val="26"/>
          <w:rtl/>
          <w:lang w:bidi="fa-IR"/>
        </w:rPr>
        <w:t xml:space="preserve">یک نفر را دو نفر کرده بود؛ نام خانوادگی مرکب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Moreira-Almeida </w:t>
      </w:r>
      <w:r>
        <w:rPr>
          <w:rFonts w:cs="B Nazanin" w:hint="cs"/>
          <w:sz w:val="26"/>
          <w:szCs w:val="26"/>
          <w:rtl/>
          <w:lang w:bidi="fa-IR"/>
        </w:rPr>
        <w:t xml:space="preserve">است و نویسندهٔ دوم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Koenig. </w:t>
      </w:r>
      <w:r>
        <w:rPr>
          <w:rFonts w:cs="B Nazanin" w:hint="cs"/>
          <w:sz w:val="26"/>
          <w:szCs w:val="26"/>
          <w:rtl/>
          <w:lang w:bidi="fa-IR"/>
        </w:rPr>
        <w:t xml:space="preserve">مقاله: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Moreira-Almeida, A., Lotufo Neto, F., &amp; Koenig, H. G. (2006). Religiousness and mental health: a review. Revista Brasileira de Psiquiatria, 28(3), 242–250.</w:t>
      </w:r>
    </w:p>
    <w:p>
      <w:pPr>
        <w:pageBreakBefore/>
        <w:keepNext/>
        <w:keepLines/>
        <w:widowControl/>
        <w:bidi/>
        <w:spacing w:before="0" w:after="150" w:line="340" w:lineRule="auto"/>
        <w:ind w:left="0" w:right="0"/>
        <w:jc w:val="right"/>
      </w:pPr>
      <w:r>
        <w:rPr>
          <w:rFonts w:cs="B Nazanin" w:hint="cs"/>
          <w:b/>
          <w:bCs/>
          <w:sz w:val="30"/>
          <w:szCs w:val="30"/>
          <w:rtl/>
          <w:lang w:bidi="fa-IR"/>
        </w:rPr>
        <w:t xml:space="preserve">ب) مواردی که فایل اکسل مشکوک دانسته بود اما درست بودند</w:t>
      </w:r>
    </w:p>
    <w:p>
      <w:pPr>
        <w:widowControl/>
        <w:bidi/>
        <w:spacing w:before="0" w:after="16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فایل اکسل پیشنهادی برای این چند مورد حدس‌های نادرست زده بود. پس از بررسی منابع اصلی، متن موجود در پایان‌نامه درست تشخیص داده شد و تغییری اعمال نشد:</w:t>
      </w:r>
    </w:p>
    <w:p>
      <w:pPr>
        <w:widowControl/>
        <w:bidi/>
        <w:spacing w:before="0" w:after="13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پانویس ۵۰: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Maunder &amp; Hunter — </w:t>
      </w:r>
      <w:r>
        <w:rPr>
          <w:rFonts w:cs="B Nazanin" w:hint="cs"/>
          <w:sz w:val="26"/>
          <w:szCs w:val="26"/>
          <w:rtl/>
          <w:lang w:bidi="fa-IR"/>
        </w:rPr>
        <w:t xml:space="preserve">درست است.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Maunder, R. G., &amp; Hunter, J. J. (2001). Attachment and psychosomatic medicine. Psychosomatic Medicine, 63(4), 556–567. (</w:t>
      </w:r>
      <w:r>
        <w:rPr>
          <w:rFonts w:cs="B Nazanin" w:hint="cs"/>
          <w:sz w:val="26"/>
          <w:szCs w:val="26"/>
          <w:rtl/>
          <w:lang w:bidi="fa-IR"/>
        </w:rPr>
        <w:t xml:space="preserve">فایل اکسل به اشتباه «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Main &amp; Hunter» </w:t>
      </w:r>
      <w:r>
        <w:rPr>
          <w:rFonts w:cs="B Nazanin" w:hint="cs"/>
          <w:sz w:val="26"/>
          <w:szCs w:val="26"/>
          <w:rtl/>
          <w:lang w:bidi="fa-IR"/>
        </w:rPr>
        <w:t xml:space="preserve">حدس زده بود.)</w:t>
      </w:r>
    </w:p>
    <w:p>
      <w:pPr>
        <w:widowControl/>
        <w:bidi/>
        <w:spacing w:before="0" w:after="13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پانویس ۶۸: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Zeng — </w:t>
      </w:r>
      <w:r>
        <w:rPr>
          <w:rFonts w:cs="B Nazanin" w:hint="cs"/>
          <w:sz w:val="26"/>
          <w:szCs w:val="26"/>
          <w:rtl/>
          <w:lang w:bidi="fa-IR"/>
        </w:rPr>
        <w:t xml:space="preserve">نام کوتاه اما قابل قبول؛ منبع دقیق در فهرست منابع پایان‌نامه موجود نیست و باید تکمیل شود.</w:t>
      </w:r>
    </w:p>
    <w:p>
      <w:pPr>
        <w:widowControl/>
        <w:bidi/>
        <w:spacing w:before="0" w:after="13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پانویس ۷۱: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Chlan, Zebracki &amp; Vogel — </w:t>
      </w:r>
      <w:r>
        <w:rPr>
          <w:rFonts w:cs="B Nazanin" w:hint="cs"/>
          <w:sz w:val="26"/>
          <w:szCs w:val="26"/>
          <w:rtl/>
          <w:lang w:bidi="fa-IR"/>
        </w:rPr>
        <w:t xml:space="preserve">درست است.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Chlan, K. M., Zebracki, K., &amp; Vogel, L. C. (2011). Spirituality and life satisfaction in adults with pediatric-onset spinal cord injury. Spinal Cord, 49(3), 371–375.</w:t>
      </w:r>
    </w:p>
    <w:p>
      <w:pPr>
        <w:widowControl/>
        <w:bidi/>
        <w:spacing w:before="0" w:after="13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پانویس ۷۹: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Tomer &amp; Eliason — </w:t>
      </w:r>
      <w:r>
        <w:rPr>
          <w:rFonts w:cs="B Nazanin" w:hint="cs"/>
          <w:sz w:val="26"/>
          <w:szCs w:val="26"/>
          <w:rtl/>
          <w:lang w:bidi="fa-IR"/>
        </w:rPr>
        <w:t xml:space="preserve">درست است.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Tomer, A., &amp; Eliason, G. (2000). Attitudes about life and death: Toward a comprehensive model of death anxiety.</w:t>
      </w:r>
    </w:p>
    <w:p>
      <w:pPr>
        <w:widowControl/>
        <w:bidi/>
        <w:spacing w:before="0" w:after="13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پانویس ۸۱: 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Krejcie &amp; Morgan — </w:t>
      </w:r>
      <w:r>
        <w:rPr>
          <w:rFonts w:cs="B Nazanin" w:hint="cs"/>
          <w:sz w:val="26"/>
          <w:szCs w:val="26"/>
          <w:rtl/>
          <w:lang w:bidi="fa-IR"/>
        </w:rPr>
        <w:t xml:space="preserve">درست است (املای صحیح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Krejcie</w:t>
      </w:r>
      <w:r>
        <w:rPr>
          <w:rFonts w:cs="B Nazanin" w:hint="cs"/>
          <w:sz w:val="26"/>
          <w:szCs w:val="26"/>
          <w:rtl/>
          <w:lang w:bidi="fa-IR"/>
        </w:rPr>
        <w:t xml:space="preserve">، نه 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Krejci). Krejcie, R. V., &amp; Morgan, D. W. (1970). Educational and Psychological Measurement, 30(3), 607–610.</w:t>
      </w:r>
    </w:p>
    <w:p>
      <w:pPr>
        <w:pageBreakBefore/>
        <w:keepNext/>
        <w:keepLines/>
        <w:widowControl/>
        <w:bidi/>
        <w:spacing w:before="0" w:after="150" w:line="340" w:lineRule="auto"/>
        <w:ind w:left="0" w:right="0"/>
        <w:jc w:val="right"/>
      </w:pPr>
      <w:r>
        <w:rPr>
          <w:rFonts w:cs="B Nazanin" w:hint="cs"/>
          <w:b/>
          <w:bCs/>
          <w:sz w:val="30"/>
          <w:szCs w:val="30"/>
          <w:rtl/>
          <w:lang w:bidi="fa-IR"/>
        </w:rPr>
        <w:t xml:space="preserve">ج) مواردی که تصمیم با شماست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◆  پانویس ۶۸ («</w:t>
      </w:r>
      <w:r>
        <w:rPr>
          <w:rFonts w:ascii="Times New Roman" w:hAnsi="Times New Roman" w:cs="Times New Roman"/>
          <w:sz w:val="26"/>
          <w:szCs w:val="26"/>
          <w:rtl w:val="0"/>
          <w:lang w:val="en-US"/>
        </w:rPr>
        <w:t xml:space="preserve">Zeng»): </w:t>
      </w:r>
      <w:r>
        <w:rPr>
          <w:rFonts w:cs="B Nazanin" w:hint="cs"/>
          <w:sz w:val="26"/>
          <w:szCs w:val="26"/>
          <w:rtl/>
          <w:lang w:bidi="fa-IR"/>
        </w:rPr>
        <w:t xml:space="preserve">منبع این ارجاع در فهرست منابع پایان‌نامه نیامده است. یا باید مشخصات کامل مقاله یافته و به فهرست منابع افزوده شود، یا در صورت نبودِ منبع معتبر، ارجاع از متن حذف گردد.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◆  چند نام دیگر که در متن ارجاع داده شده‌اند اما در فهرست منابع پایان‌نامه نیستند: شفیعی، ویت‌مور، اکبری، کاظمی، امامی، رحیمی‌پور و فروتن. پیش از جلسهٔ دفاع، یا مشخصات کامل آن‌ها به فهرست منابع افزوده شود یا ارجاعشان از متن برداشته شود؛ داوران معمولاً این ناهماهنگی را می‌گیرند.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◆  فایل اکسل پیشنهاد کرده بود پانویس‌ها به ارجاع کتاب‌شناختی کامل (نویسنده، سال، عنوان، مجله، صفحات) تبدیل شوند. این کار سبک پانویس‌های پایان‌نامه را عوض می‌کند و متن را سنگین می‌سازد؛ به همین دلیل اعمال نشد. اگر استاد راهنما این سبک را بخواهد، با یک دستور قابل اجراست.</w:t>
      </w:r>
    </w:p>
    <w:p>
      <w:pPr>
        <w:widowControl/>
        <w:bidi/>
        <w:spacing w:before="0" w:after="150" w:line="340" w:lineRule="auto"/>
        <w:ind w:left="0" w:right="0"/>
        <w:jc w:val="both"/>
      </w:pPr>
      <w:r>
        <w:rPr>
          <w:rFonts w:cs="B Nazanin" w:hint="cs"/>
          <w:sz w:val="26"/>
          <w:szCs w:val="26"/>
          <w:rtl/>
          <w:lang w:bidi="fa-IR"/>
        </w:rPr>
        <w:t xml:space="preserve">◆  پانویس‌های چکیده (کرجسی و مورگان، کینگ، سالکووسکیس، وارویک، تمپلر و پیرسون) طبق رسم پایان‌نامه‌های ایرانی در چکیده درج نشده‌اند و همین‌طور باقی ماندند؛ در متن اصلی همگی پانویس دارند.</w:t>
      </w:r>
    </w:p>
    <w:sectPr>
      <w:pgSz w:w="11906" w:h="16838"/>
      <w:pgMar w:top="1440" w:right="1440" w:bottom="1440" w:left="1440" w:header="708" w:footer="708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B Nazanin"/>
        <w:sz w:val="26"/>
        <w:szCs w:val="26"/>
      </w:rPr>
    </w:rPrDefault>
  </w:docDefaults>
  <w:style w:type="paragraph" w:default="1" w:styleId="Normal">
    <w:name w:val="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