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adjustRightInd/>
        <w:spacing w:before="240" w:after="100" w:line="276" w:lineRule="auto"/>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spacing w:before="240" w:after="100" w:line="276" w:lineRule="auto"/>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\o "1-5" \h \z \u </w:instrText>
      </w:r>
      <w:r>
        <w:rPr>
          <w:rFonts w:ascii="Times New Roman" w:hAnsi="Times New Roman" w:eastAsia="Times New Roman" w:cs="B Lotus"/>
          <w:sz w:val="24"/>
          <w:szCs w:val="24"/>
          <w:color w:val="000000"/>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1" w:history="1">
        <w:r>
          <w:rPr>
            <w:rFonts w:cs="B Lotus" w:ascii="Times New Roman" w:hAnsi="Times New Roman" w:eastAsia="Times New Roman"/>
            <w:color w:val="000000"/>
            <w:sz w:val="24"/>
            <w:szCs w:val="24"/>
            <w:rtl/>
            <w:lang w:bidi="fa-IR"/>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8" w:history="1">
        <w:r>
          <w:rPr>
            <w:rFonts w:cs="B Lotus" w:ascii="Times New Roman" w:hAnsi="Times New Roman" w:eastAsia="Times New Roman"/>
            <w:color w:val="000000"/>
            <w:sz w:val="24"/>
            <w:szCs w:val="24"/>
            <w:rtl/>
            <w:lang w:bidi="fa-IR"/>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1" w:history="1">
        <w:r>
          <w:rPr>
            <w:rFonts w:ascii="Times New Roman" w:hAnsi="Times New Roman" w:cs="B Lotus" w:eastAsia="Times New Roman"/>
            <w:noProof/>
            <w:color w:val="000000"/>
            <w:sz w:val="24"/>
            <w:szCs w:val="24"/>
            <w:rtl/>
            <w:lang w:bidi="fa-IR"/>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6" w:history="1">
        <w:r>
          <w:rPr>
            <w:rFonts w:cs="B Lotus" w:ascii="Times New Roman" w:hAnsi="Times New Roman" w:eastAsia="Times New Roman"/>
            <w:kern w:val="32"/>
            <w:color w:val="000000"/>
            <w:sz w:val="24"/>
            <w:szCs w:val="24"/>
            <w:rtl/>
            <w:lang w:bidi="fa-IR"/>
          </w:rPr>
          <w:t xml:space="preserve">۲-۳-۳- عوامل موثر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64" w:history="1">
        <w:r>
          <w:rPr>
            <w:rFonts w:cs="B Lotus" w:ascii="Times New Roman" w:hAnsi="Times New Roman" w:eastAsia="Times New Roman"/>
            <w:color w:val="000000"/>
            <w:sz w:val="24"/>
            <w:szCs w:val="24"/>
            <w:rtl/>
            <w:lang w:bidi="fa-IR"/>
          </w:rPr>
          <w:t xml:space="preserve">۳-۳-۲- پرسشنامه اضطراب مرگ(</w:t>
        </w:r>
        <w:r>
          <w:rPr>
            <w:rFonts w:cs="B Lotus" w:ascii="Times New Roman" w:hAnsi="Times New Roman" w:eastAsia="Times New Roman"/>
            <w:color w:val="000000"/>
            <w:sz w:val="24"/>
            <w:szCs w:val="24"/>
            <w:rtl w:val="0"/>
            <w:lang w:bidi="fa-IR" w:val="en-US"/>
          </w:rPr>
          <w:t xml:space="preserve">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w:t>
        </w:r>
        <w:r>
          <w:rPr>
            <w:rFonts w:cs="B Lotus" w:ascii="Times New Roman" w:hAnsi="Times New Roman" w:eastAsia="Times New Roman"/>
            <w:color w:val="000000"/>
            <w:sz w:val="24"/>
            <w:szCs w:val="24"/>
            <w:rtl w:val="0"/>
            <w:lang w:bidi="fa-IR" w:val="en-US"/>
          </w:rPr>
          <w:t xml:space="preserve">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pStyle w:val="Heading1"/>
        <w:keepNext/>
        <w:keepLines/>
        <w:pageBreakBefore/>
        <w:bidi w:val="1"/>
        <w:spacing w:before="0" w:after="80" w:line="276" w:lineRule="auto"/>
        <w:jc w:val="right"/>
        <w:rPr>
          <w:rFonts w:ascii="Times New Roman" w:hAnsi="Times New Roman" w:eastAsia="Times New Roman" w:cs="B Titr"/>
          <w:color w:val="auto"/>
          <w:rtl/>
          <w:cs/>
          <w:lang w:bidi="fa-IR" w:val="en-US"/>
        </w:rPr>
      </w:pPr>
      <w:bookmarkStart w:id="5001" w:name="_TocChekideh"/>
      <w:r>
        <w:rPr>
          <w:rFonts w:ascii="Times New Roman" w:hAnsi="Times New Roman" w:hint="cs" w:eastAsia="Times New Roman" w:cs="B Titr"/>
          <w:b/>
          <w:bCs/>
          <w:sz w:val="56"/>
          <w:szCs w:val="56"/>
          <w:rtl/>
          <w:cs/>
          <w:lang w:bidi="fa-IR"/>
        </w:rPr>
        <w:t>چکیده</w:t>
      </w:r>
      <w:r>
        <w:rPr>
          <w:rFonts w:ascii="Times New Roman" w:eastAsia="Times New Roman" w:hAnsi="Times New Roman" w:hint="cs" w:cs="B Titr"/>
          <w:rtl/>
          <w:cs/>
          <w:lang w:bidi="fa-IR"/>
        </w:rPr>
        <w:t xml:space="preserve"> </w:t>
      </w:r>
      <w:bookmarkEnd w:id="5001"/>
    </w:p>
    <w:p>
      <w:pPr>
        <w:spacing w:before="0" w:after="80" w:line="276" w:lineRule="auto"/>
        <w:ind w:firstLine="397"/>
        <w:jc w:val="both"/>
        <w:rPr>
          <w:rFonts w:ascii="Times New Roman" w:hAnsi="Times New Roman"/>
          <w:color w:val="auto"/>
          <w:sz w:val="16"/>
          <w:szCs w:val="16"/>
          <w:lang w:bidi="fa-IR"/>
        </w:rPr>
      </w:pPr>
      <w:r>
        <w:rPr>
          <w:rFonts w:ascii="Times New Roman" w:hAnsi="Times New Roman" w:hint="cs"/>
          <w:lang w:bidi="fa-IR"/>
          <w:rtl/>
        </w:rPr>
        <w:t>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val="en-US"/>
          <w:sz w:val="20"/>
          <w:szCs w:val="20"/>
          <w:vertAlign w:val="superscript"/>
          <w:rtl w:val="0"/>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val="en-US"/>
          <w:sz w:val="20"/>
          <w:szCs w:val="20"/>
          <w:vertAlign w:val="superscript"/>
          <w:rtl w:val="0"/>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r=-</w:t>
      </w:r>
      <w:r>
        <w:rPr>
          <w:rFonts w:ascii="Times New Roman" w:hAnsi="Times New Roman" w:hint="cs"/>
          <w:lang w:bidi="fa-IR"/>
          <w:rtl/>
        </w:rPr>
        <w:t xml:space="preserve">۰.۴۶, </w:t>
      </w:r>
      <w:r>
        <w:rPr>
          <w:rFonts w:ascii="Times New Roman" w:hAnsi="Times New Roman" w:hint="cs"/>
          <w:lang w:bidi="fa-IR" w:val="en-US"/>
          <w:rtl w:val="0"/>
        </w:rPr>
        <w:t>p&lt;</w:t>
      </w:r>
      <w:r>
        <w:rPr>
          <w:rFonts w:ascii="Times New Roman" w:hAnsi="Times New Roman" w:hint="cs"/>
          <w:lang w:bidi="fa-IR"/>
          <w:rtl/>
        </w:rPr>
        <w:t>۰.۰۱) و بین اضطراب سلامتی و اضطراب مرگ رابطه مثبت و معنادار مشاهده شد (</w:t>
      </w:r>
      <w:r>
        <w:rPr>
          <w:rFonts w:ascii="Times New Roman" w:hAnsi="Times New Roman" w:hint="cs"/>
          <w:lang w:bidi="fa-IR" w:val="en-US"/>
          <w:rtl w:val="0"/>
        </w:rPr>
        <w:t>r=</w:t>
      </w:r>
      <w:r>
        <w:rPr>
          <w:rFonts w:ascii="Times New Roman" w:hAnsi="Times New Roman" w:hint="cs"/>
          <w:lang w:bidi="fa-IR"/>
          <w:rtl/>
        </w:rPr>
        <w:t xml:space="preserve">۰.۵۸, </w:t>
      </w:r>
      <w:r>
        <w:rPr>
          <w:rFonts w:ascii="Times New Roman" w:hAnsi="Times New Roman" w:hint="cs"/>
          <w:lang w:bidi="fa-IR" w:val="en-US"/>
          <w:rtl w:val="0"/>
        </w:rPr>
        <w:t>p&lt;</w:t>
      </w:r>
      <w:r>
        <w:rPr>
          <w:rFonts w:ascii="Times New Roman" w:hAnsi="Times New Roman" w:hint="cs"/>
          <w:lang w:bidi="fa-IR"/>
          <w:rtl/>
        </w:rPr>
        <w:t>۰.۰۱).</w:t>
      </w:r>
      <w:r>
        <w:rPr>
          <w:rFonts w:ascii="Times New Roman" w:hAnsi="Times New Roman" w:hint="cs"/>
          <w:lang w:bidi="fa-IR"/>
          <w:rtl/>
        </w:rPr>
        <w:t xml:space="preserve"> </w:t>
      </w:r>
      <w:r>
        <w:rPr>
          <w:rFonts w:ascii="Times New Roman" w:hAnsi="Times New Roman" w:hint="cs"/>
          <w:lang w:bidi="fa-IR"/>
          <w:rtl/>
        </w:rPr>
        <w:t>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R²=</w:t>
      </w:r>
      <w:r>
        <w:rPr>
          <w:rFonts w:ascii="Times New Roman" w:hAnsi="Times New Roman" w:hint="cs"/>
          <w:lang w:bidi="fa-IR"/>
          <w:rtl/>
        </w:rPr>
        <w:t xml:space="preserve">۰.۵۴, </w:t>
      </w:r>
      <w:r>
        <w:rPr>
          <w:rFonts w:ascii="Times New Roman" w:hAnsi="Times New Roman" w:hint="cs"/>
          <w:lang w:bidi="fa-IR" w:val="en-US"/>
          <w:rtl w:val="0"/>
        </w:rPr>
        <w:t>p&lt;</w:t>
      </w:r>
      <w:r>
        <w:rPr>
          <w:rFonts w:ascii="Times New Roman" w:hAnsi="Times New Roman" w:hint="cs"/>
          <w:lang w:bidi="fa-IR"/>
          <w:rtl/>
        </w:rPr>
        <w: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14:paraId="196E5BBD" w14:textId="77777777">
      <w:pPr>
        <w:spacing w:before="0" w:after="80" w:line="276" w:lineRule="auto"/>
        <w:ind w:firstLine="397"/>
        <w:jc w:val="both"/>
        <w:rPr>
          <w:rFonts w:ascii="Times New Roman" w:eastAsia="Times New Roman" w:hAnsi="Times New Roman"/>
          <w:color w:val="auto"/>
          <w:lang w:bidi="fa-IR"/>
        </w:rPr>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1" w:name="_Toc238572002"/>
      <w:r>
        <w:rPr>
          <w:rFonts w:ascii="Times New Roman" w:hAnsi="Times New Roman" w:cs="B Titr" w:eastAsia="Times New Roman"/>
          <w:b/>
          <w:bCs/>
          <w:color w:val="000000"/>
          <w:sz w:val="56"/>
          <w:szCs w:val="56"/>
          <w:rtl/>
          <w:cs/>
          <w:lang w:bidi="fa-IR"/>
        </w:rPr>
        <w:lastRenderedPageBreak/>
        <w:t>فصل اول: کلیات پژوهش</w:t>
      </w:r>
      <w:bookmarkEnd w:id="1"/>
    </w:p>
    <w:p w14:paraId="2753F673"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 w:name="_Toc238572003"/>
      <w:r>
        <w:rPr>
          <w:rFonts w:ascii="Times New Roman" w:hAnsi="Times New Roman" w:cs="B Titr" w:eastAsia="Times New Roman"/>
          <w:b/>
          <w:bCs/>
          <w:color w:val="000000"/>
          <w:sz w:val="30"/>
          <w:szCs w:val="30"/>
          <w:rtl/>
          <w:cs/>
          <w:lang w:bidi="fa-IR"/>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val="en-US"/>
          <w:sz w:val="20"/>
          <w:szCs w:val="20"/>
          <w:vertAlign w:val="superscript"/>
          <w:rtl w:val="0"/>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eastAsia="Times New Roman" w:cs="Times New Roman"/>
          <w:lang w:bidi="fa-IR" w:val="en-US"/>
          <w:sz w:val="20"/>
          <w:szCs w:val="20"/>
          <w:vertAlign w:val="superscript"/>
          <w:rtl w:val="0"/>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pPr>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pPr>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w:t>
      </w:r>
      <w:r>
        <w:rPr>
          <w:rFonts w:ascii="Times New Roman" w:hAnsi="Times New Roman" w:hint="cs"/>
          <w:lang w:bidi="fa-IR"/>
          <w:rtl/>
        </w:rPr>
        <w:t xml:space="preserve">،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pPr>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eastAsia="Times New Roman" w:cs="Times New Roman"/>
          <w:lang w:bidi="fa-IR" w:val="en-US"/>
          <w:sz w:val="20"/>
          <w:szCs w:val="20"/>
          <w:vertAlign w:val="superscript"/>
          <w:rtl w:val="0"/>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t xml:space="preserve">زندگی و بهزیستی وی اهمیت دارد. </w:t>
      </w:r>
      <w:r>
        <w:rPr>
          <w:rFonts w:ascii="Times New Roman" w:hAnsi="Times New Roman" w:hint="cs"/>
          <w:lang w:bidi="fa-IR"/>
          <w:rtl/>
        </w:rPr>
        <w:t>بر اساس</w:t>
      </w:r>
      <w:r>
        <w:rPr>
          <w:rFonts w:ascii="Times New Roman" w:hAnsi="Times New Roman" w:hint="cs"/>
          <w:lang w:bidi="fa-IR"/>
          <w:rtl/>
        </w:rPr>
        <w:t xml:space="preserve"> </w:t>
      </w:r>
      <w:r>
        <w:rPr>
          <w:rFonts w:ascii="Times New Roman" w:hAnsi="Times New Roman" w:hint="cs"/>
          <w:lang w:bidi="fa-IR"/>
          <w:rtl/>
        </w:rPr>
        <w:t xml:space="preserve">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 w:name="_Toc238572004"/>
      <w:r>
        <w:rPr>
          <w:rFonts w:ascii="Times New Roman" w:hAnsi="Times New Roman" w:cs="B Titr" w:eastAsia="Times New Roman"/>
          <w:b/>
          <w:bCs/>
          <w:color w:val="000000"/>
          <w:sz w:val="30"/>
          <w:szCs w:val="30"/>
          <w:rtl/>
          <w:cs/>
          <w:lang w:bidi="fa-IR"/>
        </w:rPr>
        <w:t>۱-۲- بیان مسأله</w:t>
      </w:r>
      <w:bookmarkEnd w:id="3"/>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w:t>
      </w:r>
      <w:r>
        <w:rPr>
          <w:rFonts w:ascii="Times New Roman" w:eastAsia="Times New Roman" w:hAnsi="Times New Roman" w:hint="cs"/>
          <w:lang w:bidi="fa-IR"/>
          <w:rtl/>
        </w:rPr>
        <w:t>،</w:t>
      </w:r>
      <w:r>
        <w:rPr>
          <w:rFonts w:ascii="Times New Roman" w:eastAsia="Times New Roman" w:hAnsi="Times New Roman" w:hint="cs"/>
          <w:lang w:bidi="fa-IR"/>
          <w:rtl/>
        </w:rPr>
        <w:t xml:space="preserve">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w:t>
      </w:r>
      <w:r>
        <w:rPr>
          <w:rFonts w:ascii="Times New Roman" w:eastAsia="Times New Roman" w:hAnsi="Times New Roman" w:hint="cs"/>
          <w:lang w:bidi="fa-IR"/>
          <w:rtl/>
        </w:rPr>
        <w:t>،</w:t>
      </w:r>
      <w:r>
        <w:rPr>
          <w:rFonts w:ascii="Times New Roman" w:eastAsia="Times New Roman" w:hAnsi="Times New Roman" w:hint="cs"/>
          <w:lang w:bidi="fa-IR"/>
          <w:rtl/>
        </w:rPr>
        <w:t xml:space="preserve">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w:t>
      </w:r>
      <w:r>
        <w:rPr>
          <w:rFonts w:ascii="Times New Roman" w:eastAsia="Times New Roman" w:hAnsi="Times New Roman" w:hint="cs"/>
          <w:lang w:bidi="fa-IR"/>
          <w:rtl/>
        </w:rPr>
        <w:t xml:space="preserve">،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w:t>
      </w:r>
      <w:r>
        <w:rPr>
          <w:rFonts w:ascii="Times New Roman" w:eastAsia="Times New Roman" w:hAnsi="Times New Roman" w:hint="cs"/>
          <w:lang w:bidi="fa-IR"/>
          <w:rtl/>
        </w:rPr>
        <w:t>،</w:t>
      </w:r>
      <w:r>
        <w:rPr>
          <w:rFonts w:ascii="Times New Roman" w:eastAsia="Times New Roman" w:hAnsi="Times New Roman" w:hint="cs"/>
          <w:lang w:bidi="fa-IR"/>
          <w:rtl/>
        </w:rPr>
        <w:t xml:space="preserve">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حمایت اجتماعی پایین و انزوای اجتماعی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w:t>
      </w:r>
      <w:r>
        <w:rPr>
          <w:rFonts w:ascii="Times New Roman" w:eastAsia="Times New Roman" w:hAnsi="Times New Roman" w:hint="cs"/>
          <w:lang w:bidi="fa-IR"/>
          <w:rtl/>
        </w:rPr>
        <w:t>،</w:t>
      </w:r>
      <w:r>
        <w:rPr>
          <w:rFonts w:ascii="Times New Roman" w:eastAsia="Times New Roman" w:hAnsi="Times New Roman" w:hint="cs"/>
          <w:lang w:bidi="fa-IR"/>
          <w:rtl/>
        </w:rPr>
        <w:t xml:space="preserve">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cs="Times New Roman"/>
          <w:lang w:bidi="fa-IR" w:val="en-US"/>
          <w:sz w:val="20"/>
          <w:szCs w:val="20"/>
          <w:vertAlign w:val="superscript"/>
          <w:rtl w:val="0"/>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cs="Times New Roman"/>
          <w:lang w:bidi="fa-IR" w:val="en-US"/>
          <w:sz w:val="20"/>
          <w:szCs w:val="20"/>
          <w:vertAlign w:val="superscript"/>
          <w:rtl w:val="0"/>
        </w:rPr>
        <w:footnoteReference w:id="7"/>
      </w:r>
      <w:r>
        <w:rPr>
          <w:rFonts w:ascii="Times New Roman" w:eastAsia="Times New Roman" w:hAnsi="Times New Roman" w:hint="cs"/>
          <w:lang w:bidi="fa-IR"/>
          <w:rtl/>
        </w:rPr>
        <w:t xml:space="preserve"> و همکاران، ۲۰۲۴).</w:t>
      </w:r>
      <w:r>
        <w:rPr>
          <w:rFonts w:ascii="Times New Roman" w:eastAsia="Times New Roman" w:hAnsi="Times New Roman" w:hint="cs"/>
          <w:lang w:bidi="fa-IR"/>
          <w:rtl/>
        </w:rPr>
        <w:t>،</w:t>
      </w:r>
      <w:r>
        <w:rPr>
          <w:rFonts w:ascii="Times New Roman" w:eastAsia="Times New Roman" w:hAnsi="Times New Roman" w:hint="cs"/>
          <w:lang w:bidi="fa-IR"/>
          <w:rtl/>
        </w:rPr>
        <w:t xml:space="preserve">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w:t>
      </w:r>
      <w:r>
        <w:rPr>
          <w:rFonts w:ascii="Times New Roman" w:eastAsia="Times New Roman" w:hAnsi="Times New Roman" w:hint="cs"/>
          <w:lang w:bidi="fa-IR"/>
          <w:rtl/>
        </w:rPr>
        <w:t>،</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 w:name="_Toc238572005"/>
      <w:r>
        <w:rPr>
          <w:rFonts w:ascii="Times New Roman" w:hAnsi="Times New Roman" w:cs="B Titr" w:eastAsia="Times New Roman"/>
          <w:b/>
          <w:bCs/>
          <w:color w:val="000000"/>
          <w:sz w:val="30"/>
          <w:szCs w:val="30"/>
          <w:rtl/>
          <w:cs/>
          <w:lang w:bidi="fa-IR"/>
        </w:rPr>
        <w:t>۱-۳- اهمیت و ضرورت پژوهش</w:t>
      </w:r>
      <w:bookmarkEnd w:id="5"/>
    </w:p>
    <w:p w14:paraId="420ABAB6"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w:t>
      </w:r>
      <w:r>
        <w:rPr>
          <w:rFonts w:ascii="Times New Roman" w:eastAsia="Times New Roman" w:hAnsi="Times New Roman" w:hint="cs"/>
          <w:lang w:bidi="fa-IR"/>
          <w:rtl/>
        </w:rPr>
        <w:t xml:space="preserve">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 چنین پژوهشهای لازم و ضرورت می یابد.</w:t>
      </w:r>
    </w:p>
    <w:p w14:paraId="78A41B1B"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 w:name="_Toc238572006"/>
      <w:r>
        <w:rPr>
          <w:rFonts w:ascii="Times New Roman" w:hAnsi="Times New Roman" w:cs="B Titr" w:eastAsia="Times New Roman"/>
          <w:b/>
          <w:bCs/>
          <w:color w:val="000000"/>
          <w:sz w:val="30"/>
          <w:szCs w:val="30"/>
          <w:rtl/>
          <w:cs/>
          <w:lang w:bidi="fa-IR"/>
        </w:rPr>
        <w:t>۱-۴- اهداف پژوهش</w:t>
      </w:r>
      <w:bookmarkEnd w:id="6"/>
    </w:p>
    <w:p w14:paraId="4AB0C7D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 w:name="_Toc238572007"/>
      <w:r>
        <w:rPr>
          <w:rFonts w:ascii="Times New Roman" w:hAnsi="Times New Roman" w:cs="B Titr" w:eastAsia="Times New Roman"/>
          <w:b/>
          <w:bCs/>
          <w:color w:val="000000"/>
          <w:sz w:val="30"/>
          <w:szCs w:val="30"/>
          <w:rtl/>
          <w:cs/>
          <w:lang w:bidi="fa-IR"/>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val="1"/>
        <w:adjustRightInd/>
        <w:spacing w:before="240" w:after="100" w:line="276" w:lineRule="auto"/>
        <w:jc w:val="right"/>
        <w:rPr>
          <w:rFonts w:ascii="Times New Roman" w:hAnsi="Times New Roman" w:cs="B Titr" w:eastAsia="Times New Roman"/>
          <w:b/>
          <w:bCs/>
          <w:color w:val="000000"/>
          <w:sz w:val="30"/>
          <w:szCs w:val="30"/>
          <w:rtl/>
          <w:cs/>
          <w:lang w:bidi="fa-IR" w:val="en-US"/>
        </w:rPr>
      </w:pPr>
      <w:bookmarkStart w:id="10" w:name="_Toc238572008"/>
      <w:r>
        <w:rPr>
          <w:rFonts w:ascii="Times New Roman" w:hAnsi="Times New Roman" w:cs="B Titr" w:eastAsia="Times New Roman"/>
          <w:b/>
          <w:bCs/>
          <w:color w:val="000000"/>
          <w:sz w:val="30"/>
          <w:szCs w:val="30"/>
          <w:rtl/>
          <w:cs/>
          <w:lang w:bidi="fa-IR"/>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pPr>
        <w:pStyle w:val="Heading2"/>
        <w:bidi w:val="1"/>
        <w:spacing w:before="240" w:after="100" w:line="276" w:lineRule="auto"/>
        <w:jc w:val="right"/>
        <w:rPr>
          <w:rFonts w:ascii="Times New Roman" w:cs="B Titr"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۱-۵- فرضیه‌های پژوهش</w:t>
      </w:r>
    </w:p>
    <w:p w14:paraId="0FD89750" w14:textId="77777777">
      <w:pPr>
        <w:pStyle w:val="Heading3"/>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2" w:name="_Toc238572010"/>
      <w:r>
        <w:rPr>
          <w:rFonts w:ascii="Times New Roman" w:hAnsi="Times New Roman" w:cs="B Titr" w:eastAsia="Times New Roman"/>
          <w:b/>
          <w:bCs/>
          <w:color w:val="000000"/>
          <w:sz w:val="30"/>
          <w:szCs w:val="30"/>
          <w:rtl/>
          <w:cs/>
          <w:lang w:bidi="fa-IR"/>
        </w:rPr>
        <w:t>۱-۵-۱- فرضیه اصلی:</w:t>
      </w:r>
      <w:bookmarkEnd w:id="12"/>
    </w:p>
    <w:p w14:paraId="0331943C" w14:textId="77777777">
      <w:pPr>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pPr>
        <w:pStyle w:val="Heading3"/>
        <w:bidi w:val="1"/>
        <w:spacing w:before="240" w:after="100" w:line="276" w:lineRule="auto"/>
        <w:jc w:val="right"/>
        <w:rPr>
          <w:rFonts w:ascii="Times New Roman" w:cs="B Titr"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۱-۵-۲- فرضیه‌های فرعی:</w:t>
      </w:r>
    </w:p>
    <w:p w14:paraId="319DF98C"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8" w:name="_Toc238572012"/>
      <w:r>
        <w:rPr>
          <w:rFonts w:ascii="Times New Roman" w:hAnsi="Times New Roman" w:cs="B Titr" w:eastAsia="Times New Roman"/>
          <w:b/>
          <w:bCs/>
          <w:color w:val="000000"/>
          <w:sz w:val="30"/>
          <w:szCs w:val="30"/>
          <w:rtl/>
          <w:cs/>
          <w:lang w:bidi="fa-IR"/>
        </w:rPr>
        <w:t xml:space="preserve">۱-۶- تعاریف نظری و عملیاتی </w:t>
      </w:r>
      <w:r>
        <w:rPr>
          <w:rFonts w:ascii="Times New Roman" w:hAnsi="Times New Roman" w:cs="B Titr" w:eastAsia="Times New Roman"/>
          <w:b/>
          <w:bCs/>
          <w:color w:val="000000"/>
          <w:sz w:val="30"/>
          <w:szCs w:val="30"/>
          <w:rtl/>
          <w:cs/>
          <w:lang w:bidi="fa-IR"/>
        </w:rPr>
        <w:t>متغیرها</w:t>
      </w:r>
      <w:bookmarkEnd w:id="18"/>
    </w:p>
    <w:p w14:paraId="2346C958" w14:textId="77777777">
      <w:pPr>
        <w:pStyle w:val="Heading3"/>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9" w:name="_Toc238572013"/>
      <w:r>
        <w:rPr>
          <w:rFonts w:ascii="Times New Roman" w:hAnsi="Times New Roman" w:cs="B Titr" w:eastAsia="Times New Roman"/>
          <w:b/>
          <w:bCs/>
          <w:color w:val="000000"/>
          <w:sz w:val="30"/>
          <w:szCs w:val="30"/>
          <w:rtl/>
          <w:cs/>
          <w:lang w:bidi="fa-IR"/>
        </w:rPr>
        <w:t xml:space="preserve">۱-۶-۱- تعاریف نظری </w:t>
      </w:r>
      <w:r>
        <w:rPr>
          <w:rFonts w:ascii="Times New Roman" w:hAnsi="Times New Roman" w:cs="B Titr" w:eastAsia="Times New Roman"/>
          <w:b/>
          <w:bCs/>
          <w:color w:val="000000"/>
          <w:sz w:val="30"/>
          <w:szCs w:val="30"/>
          <w:rtl/>
          <w:cs/>
          <w:lang w:bidi="fa-IR"/>
        </w:rPr>
        <w:t>متغیرها</w:t>
      </w:r>
      <w:bookmarkEnd w:id="19"/>
    </w:p>
    <w:p w14:paraId="6DA708E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20" w:name="_Toc238572014"/>
      <w:r>
        <w:rPr>
          <w:rFonts w:ascii="Times New Roman" w:hAnsi="Times New Roman" w:cs="B Titr" w:eastAsia="Times New Roman"/>
          <w:b/>
          <w:bCs/>
          <w:color w:val="000000"/>
          <w:sz w:val="30"/>
          <w:szCs w:val="30"/>
          <w:rtl/>
          <w:cs/>
          <w:lang w:bidi="fa-IR"/>
        </w:rPr>
        <w:t xml:space="preserve">۱-۶-۲- تعاریف عملیاتی </w:t>
      </w:r>
      <w:r>
        <w:rPr>
          <w:rFonts w:ascii="Times New Roman" w:hAnsi="Times New Roman" w:cs="B Titr" w:eastAsia="Times New Roman"/>
          <w:b/>
          <w:bCs/>
          <w:color w:val="000000"/>
          <w:sz w:val="30"/>
          <w:szCs w:val="30"/>
          <w:rtl/>
          <w:cs/>
          <w:lang w:bidi="fa-IR"/>
        </w:rPr>
        <w:t>متغیرها</w:t>
      </w:r>
      <w:bookmarkEnd w:id="20"/>
    </w:p>
    <w:p w14:paraId="68B0A26F" w14:textId="77777777">
      <w:pPr>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bidi w:val="1"/>
        <w:spacing w:before="0" w:after="240" w:line="276" w:lineRule="auto"/>
        <w:jc w:val="right"/>
        <w:rPr>
          <w:rFonts w:ascii="Times New Roman" w:cs="B Titr" w:hAnsi="Times New Roman" w:eastAsia="Times New Roman"/>
          <w:b/>
          <w:bCs/>
          <w:color w:val="000000"/>
          <w:sz w:val="56"/>
          <w:szCs w:val="56"/>
          <w:rtl/>
          <w:cs/>
          <w:lang w:bidi="fa-IR" w:val="en-US"/>
        </w:rPr>
      </w:pPr>
      <w:bookmarkStart w:id="21" w:name="_Toc238572015"/>
      <w:r>
        <w:rPr>
          <w:rFonts w:ascii="Times New Roman" w:hAnsi="Times New Roman" w:cs="B Titr" w:eastAsia="Times New Roman"/>
          <w:b/>
          <w:bCs/>
          <w:color w:val="000000"/>
          <w:sz w:val="56"/>
          <w:szCs w:val="56"/>
          <w:rtl/>
          <w:cs/>
          <w:lang w:bidi="fa-IR"/>
        </w:rPr>
        <w:lastRenderedPageBreak/>
        <w:t>فصل دوم: مبانی نظری و پیشینه پژوهش</w:t>
      </w:r>
      <w:bookmarkEnd w:id="21"/>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در سال‌های اخیر،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۲۰۲۳).</w:t>
      </w:r>
    </w:p>
    <w:p>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۲-۱-۲- نظریه‌های سالمندی</w:t>
      </w:r>
    </w:p>
    <w:p>
      <w:pPr>
        <w:jc w:val="center"/>
        <w:bidi w:val="0"/>
      </w:pPr>
      <w:r>
        <w:drawing xmlns:a="http://schemas.openxmlformats.org/drawingml/2006/main" xmlns:pic="http://schemas.openxmlformats.org/drawingml/2006/picture">
          <wp:inline distT="0" distB="0" distL="0" distR="0">
            <wp:extent cx="5669280" cy="3526015"/>
            <wp:effectExtent l="0" t="0" r="0" b="0"/>
            <wp:docPr id="100" name="tree1.png" descr="درختواره نظریه‌های سالمندی"/>
            <wp:cNvGraphicFramePr>
              <a:graphicFrameLocks noChangeAspect="1"/>
            </wp:cNvGraphicFramePr>
            <a:graphic>
              <a:graphicData uri="http://schemas.openxmlformats.org/drawingml/2006/picture">
                <pic:pic>
                  <pic:nvPicPr>
                    <pic:cNvPr id="0" name="tree1.png"/>
                    <pic:cNvPicPr>
                      <a:picLocks noChangeAspect="1" noChangeArrowheads="1"/>
                    </pic:cNvPicPr>
                  </pic:nvPicPr>
                  <pic:blipFill>
                    <a:blip r:embed="rIdTreePng1"/>
                    <a:stretch>
                      <a:fillRect/>
                    </a:stretch>
                  </pic:blipFill>
                  <pic:spPr bwMode="auto">
                    <a:xfrm>
                      <a:off x="0" y="0"/>
                      <a:ext cx="5669280" cy="3526015"/>
                    </a:xfrm>
                    <a:prstGeom prst="rect">
                      <a:avLst/>
                    </a:prstGeom>
                  </pic:spPr>
                </pic:pic>
              </a:graphicData>
            </a: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eastAsia="Times New Roman" w:cs="Times New Roman"/>
          <w:lang w:bidi="fa-IR" w:val="en-US"/>
          <w:sz w:val="20"/>
          <w:szCs w:val="20"/>
          <w:vertAlign w:val="superscript"/>
          <w:rtl w:val="0"/>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این علم به بررسی تغییرات مرتبط با افزایش سن، عوامل مؤثر بر سالمندی، پیامدهای جسمی، روانی و اجتماعی آن و</w:t>
      </w:r>
      <w:r>
        <w:rPr>
          <w:rFonts w:ascii="Times New Roman" w:hAnsi="Times New Roman" w:hint="cs"/>
          <w:lang w:bidi="fa-IR"/>
          <w:rtl/>
        </w:rPr>
        <w:t xml:space="preserve"> </w:t>
      </w:r>
      <w:r>
        <w:rPr>
          <w:rFonts w:ascii="Times New Roman" w:hAnsi="Times New Roman" w:hint="cs"/>
          <w:lang w:bidi="fa-IR"/>
          <w:rtl/>
        </w:rPr>
        <w:t xml:space="preserve">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9"/>
      </w:r>
      <w:r>
        <w:rPr>
          <w:rFonts w:ascii="Times New Roman" w:hAnsi="Times New Roman" w:hint="cs"/>
          <w:lang w:bidi="fa-IR"/>
          <w:rtl/>
        </w:rPr>
        <w:t>، ۲۰۲۳؛ سازمان جهانی بهداشت، ۲۰۲۰).</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14:paraId="66899C70"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5" w:name="_Toc238572019"/>
      <w:r>
        <w:rPr>
          <w:rFonts w:ascii="Times New Roman" w:hAnsi="Times New Roman" w:cs="B Titr" w:eastAsia="Times New Roman"/>
          <w:b/>
          <w:bCs/>
          <w:color w:val="000000"/>
          <w:sz w:val="30"/>
          <w:szCs w:val="30"/>
          <w:rtl/>
          <w:cs/>
          <w:lang w:bidi="fa-IR"/>
        </w:rPr>
        <w:t xml:space="preserve">۲-۱-۲-۱- نظریه‌های زیست شناختی</w:t>
      </w:r>
      <w:bookmarkEnd w:id="25"/>
    </w:p>
    <w:p w14:paraId="484366E1"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7" w:name="_Toc238572020"/>
      <w:r>
        <w:rPr>
          <w:rFonts w:ascii="Times New Roman" w:hAnsi="Times New Roman" w:cs="B Titr" w:eastAsia="Times New Roman"/>
          <w:b/>
          <w:bCs/>
          <w:color w:val="000000"/>
          <w:sz w:val="30"/>
          <w:szCs w:val="30"/>
          <w:rtl/>
          <w:cs/>
          <w:lang w:bidi="fa-IR"/>
        </w:rPr>
        <w:lastRenderedPageBreak/>
        <w:t xml:space="preserve">۲-۱-۲-۱-۱- نظریه ایمنی</w:t>
      </w:r>
      <w:bookmarkEnd w:id="27"/>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در پژوهش‌های سال‌های اخیر، مفهوم «التهاب پیری» یا اینفلامجینگ</w:t>
      </w:r>
      <w:r>
        <w:rPr>
          <w:rStyle w:val="FootnoteReference"/>
          <w:rFonts w:ascii="Times New Roman" w:eastAsia="Times New Roman" w:hAnsi="Times New Roman" w:hint="cs" w:cs="Times New Roman"/>
          <w:lang w:bidi="fa-IR" w:val="en-US"/>
          <w:sz w:val="20"/>
          <w:szCs w:val="20"/>
          <w:vertAlign w:val="superscript"/>
          <w:rtl w:val="0"/>
        </w:rPr>
        <w:footnoteReference w:id="120"/>
      </w:r>
      <w:r>
        <w:rPr>
          <w:rFonts w:ascii="Times New Roman" w:hAnsi="Times New Roman" w:eastAsia="Times New Roman" w:cs="B Lotus"/>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Fonts w:ascii="Times New Roman" w:eastAsia="Times New Roman" w:hAnsi="Times New Roman" w:hint="cs" w:cs="Times New Roman"/>
          <w:lang w:bidi="fa-IR" w:val="en-US"/>
          <w:sz w:val="20"/>
          <w:szCs w:val="20"/>
          <w:vertAlign w:val="superscript"/>
          <w:rtl w:val="0"/>
        </w:rPr>
        <w:footnoteReference w:id="121"/>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۲۰۱۸؛ فولپ</w:t>
      </w:r>
      <w:r>
        <w:rPr>
          <w:rStyle w:val="FootnoteReference"/>
          <w:rFonts w:ascii="Times New Roman" w:eastAsia="Times New Roman" w:hAnsi="Times New Roman" w:hint="cs" w:cs="Times New Roman"/>
          <w:lang w:bidi="fa-IR" w:val="en-US"/>
          <w:sz w:val="20"/>
          <w:szCs w:val="20"/>
          <w:vertAlign w:val="superscript"/>
          <w:rtl w:val="0"/>
        </w:rPr>
        <w:footnoteReference w:id="12"/>
      </w:r>
      <w:r>
        <w:rPr>
          <w:rFonts w:ascii="Times New Roman" w:hAnsi="Times New Roman" w:eastAsia="Times New Roman" w:cs="B Lotus"/>
          <w:sz w:val="28"/>
          <w:szCs w:val="28"/>
          <w:rtl/>
          <w:cs/>
          <w:lang w:bidi="fa-IR" w:val="en-US"/>
        </w:rPr>
        <w:t xml:space="preserve"> و همکاران، ۲۰۲۳).</w:t>
      </w:r>
    </w:p>
    <w:p>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w:t>
      </w:r>
      <w:r>
        <w:rPr>
          <w:rFonts w:ascii="Times New Roman" w:hAnsi="Times New Roman" w:hint="cs"/>
          <w:lang w:bidi="fa-IR"/>
          <w:rtl/>
        </w:rPr>
        <w:t xml:space="preserve"> </w:t>
      </w:r>
      <w:r>
        <w:rPr>
          <w:rFonts w:ascii="Times New Roman" w:hAnsi="Times New Roman" w:hint="cs"/>
          <w:lang w:bidi="fa-IR"/>
          <w:rtl/>
        </w:rPr>
        <w:t>سلول‌های</w:t>
      </w:r>
      <w:r>
        <w:rPr>
          <w:rFonts w:ascii="Times New Roman" w:hAnsi="Times New Roman" w:hint="cs"/>
          <w:lang w:bidi="fa-IR"/>
          <w:rtl/>
        </w:rPr>
        <w:t xml:space="preserve"> غیرطبیعی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علاوه بر این،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eastAsia="Times New Roman" w:cs="Times New Roman"/>
          <w:lang w:bidi="fa-IR" w:val="en-US"/>
          <w:sz w:val="20"/>
          <w:szCs w:val="20"/>
          <w:vertAlign w:val="superscript"/>
          <w:rtl w:val="0"/>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eastAsia="Times New Roman" w:cs="Times New Roman"/>
          <w:lang w:bidi="fa-IR" w:val="en-US"/>
          <w:sz w:val="20"/>
          <w:szCs w:val="20"/>
          <w:vertAlign w:val="superscript"/>
          <w:rtl w:val="0"/>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eastAsia="Times New Roman" w:cs="Times New Roman"/>
          <w:lang w:bidi="fa-IR" w:val="en-US"/>
          <w:sz w:val="20"/>
          <w:szCs w:val="20"/>
          <w:vertAlign w:val="superscript"/>
          <w:rtl w:val="0"/>
        </w:rPr>
        <w:footnoteReference w:id="12"/>
      </w:r>
      <w:r>
        <w:rPr>
          <w:rFonts w:ascii="Times New Roman" w:hAnsi="Times New Roman" w:hint="cs"/>
          <w:lang w:bidi="fa-IR"/>
          <w:rtl/>
        </w:rPr>
        <w:t xml:space="preserve"> و همکاران، ۲۰۲۳).</w:t>
      </w:r>
    </w:p>
    <w:p>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۲-۱-۲-۱-۲- نظریه پیر شدن سلولی</w:t>
      </w:r>
    </w:p>
    <w:p w14:paraId="5A7126E9"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 xml:space="preserve">(DNA)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علاوه بر این،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eastAsia="Times New Roman" w:cs="Times New Roman"/>
          <w:lang w:bidi="fa-IR" w:val="en-US"/>
          <w:sz w:val="20"/>
          <w:szCs w:val="20"/>
          <w:vertAlign w:val="superscript"/>
          <w:rtl w:val="0"/>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eastAsia="Times New Roman" w:cs="Times New Roman"/>
          <w:lang w:bidi="fa-IR" w:val="en-US"/>
          <w:sz w:val="20"/>
          <w:szCs w:val="20"/>
          <w:vertAlign w:val="superscript"/>
          <w:rtl w:val="0"/>
        </w:rPr>
        <w:footnoteReference w:id="14"/>
      </w:r>
      <w:r>
        <w:rPr>
          <w:rFonts w:ascii="Times New Roman" w:hAnsi="Times New Roman" w:hint="cs"/>
          <w:lang w:bidi="fa-IR"/>
          <w:rtl/>
        </w:rPr>
        <w:t>، ۲۰۲۴).</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Style w:val="FootnoteReference"/>
          <w:rFonts w:ascii="Times New Roman" w:eastAsia="Times New Roman" w:hAnsi="Times New Roman" w:hint="cs" w:cs="Times New Roman"/>
          <w:lang w:bidi="fa-IR" w:val="en-US"/>
          <w:sz w:val="20"/>
          <w:szCs w:val="20"/>
          <w:vertAlign w:val="superscript"/>
          <w:rtl w:val="0"/>
        </w:rPr>
        <w:footnoteReference w:id="13"/>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14:paraId="41EE9C73"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9" w:name="_Toc238572022"/>
      <w:r>
        <w:rPr>
          <w:rFonts w:ascii="Times New Roman" w:hAnsi="Times New Roman" w:cs="B Titr" w:eastAsia="Times New Roman"/>
          <w:b/>
          <w:bCs/>
          <w:color w:val="000000"/>
          <w:sz w:val="30"/>
          <w:szCs w:val="30"/>
          <w:rtl/>
          <w:cs/>
          <w:lang w:bidi="fa-IR"/>
        </w:rPr>
        <w:lastRenderedPageBreak/>
        <w:t xml:space="preserve">۲-۱-۲-۱-۳- نظریه رادیکال آزاد</w:t>
      </w:r>
      <w:bookmarkEnd w:id="29"/>
    </w:p>
    <w:p>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w:t>
      </w:r>
      <w:r>
        <w:rPr>
          <w:rFonts w:ascii="Times New Roman" w:hAnsi="Times New Roman" w:hint="cs"/>
          <w:lang w:bidi="fa-IR"/>
          <w:rtl/>
        </w:rPr>
        <w:t xml:space="preserve">،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eastAsia="Times New Roman" w:cs="Times New Roman"/>
          <w:lang w:bidi="fa-IR" w:val="en-US"/>
          <w:sz w:val="20"/>
          <w:szCs w:val="20"/>
          <w:vertAlign w:val="superscript"/>
          <w:rtl w:val="0"/>
        </w:rPr>
        <w:footnoteReference w:id="15"/>
      </w:r>
      <w:r>
        <w:rPr>
          <w:rFonts w:ascii="Times New Roman" w:hAnsi="Times New Roman" w:hint="cs"/>
          <w:lang w:bidi="fa-IR"/>
          <w:rtl/>
        </w:rPr>
        <w:t>، ۲۰۲۴).</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Style w:val="FootnoteReference"/>
          <w:rFonts w:ascii="Times New Roman" w:eastAsia="Times New Roman" w:hAnsi="Times New Roman" w:hint="cs" w:cs="Times New Roman"/>
          <w:lang w:bidi="fa-IR" w:val="en-US"/>
          <w:sz w:val="20"/>
          <w:szCs w:val="20"/>
          <w:vertAlign w:val="superscript"/>
          <w:rtl w:val="0"/>
        </w:rPr>
        <w:footnoteReference w:id="13"/>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Style w:val="FootnoteReference"/>
          <w:rFonts w:ascii="Times New Roman" w:eastAsia="Times New Roman" w:hAnsi="Times New Roman" w:hint="cs" w:cs="Times New Roman"/>
          <w:lang w:bidi="fa-IR" w:val="en-US"/>
          <w:sz w:val="20"/>
          <w:szCs w:val="20"/>
          <w:vertAlign w:val="superscript"/>
          <w:rtl w:val="0"/>
        </w:rPr>
        <w:footnoteReference w:id="15"/>
      </w:r>
      <w:r>
        <w:rPr>
          <w:rFonts w:ascii="Times New Roman" w:hAnsi="Times New Roman" w:eastAsia="Times New Roman" w:cs="B Lotus"/>
          <w:sz w:val="28"/>
          <w:szCs w:val="28"/>
          <w:rtl/>
          <w:cs/>
          <w:lang w:bidi="fa-IR" w:val="en-US"/>
        </w:rPr>
        <w:t>، ۲۰۲۴).</w:t>
      </w:r>
    </w:p>
    <w:p w14:paraId="3D641FB1"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0" w:name="_Toc238572023"/>
      <w:r>
        <w:rPr>
          <w:rFonts w:ascii="Times New Roman" w:hAnsi="Times New Roman" w:cs="B Titr" w:eastAsia="Times New Roman"/>
          <w:b/>
          <w:bCs/>
          <w:color w:val="000000"/>
          <w:sz w:val="30"/>
          <w:szCs w:val="30"/>
          <w:rtl/>
          <w:cs/>
          <w:lang w:bidi="fa-IR"/>
        </w:rPr>
        <w:t xml:space="preserve">۲-۱-۲-۲- نظریه‌های روانشناختی</w:t>
      </w:r>
      <w:bookmarkEnd w:id="30"/>
    </w:p>
    <w:p w14:paraId="4520A324"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eastAsia="Times New Roman" w:cs="B Lotus"/>
          <w:sz w:val="28"/>
          <w:szCs w:val="28"/>
          <w:rtl/>
          <w:cs/>
          <w:lang w:bidi="fa-IR" w:val="en-US"/>
        </w:rPr>
        <w:t>، ۲۰۲۱).</w:t>
      </w:r>
    </w:p>
    <w:p w14:paraId="101F6DC1"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1" w:name="_Toc238572024"/>
      <w:r>
        <w:rPr>
          <w:rFonts w:ascii="Times New Roman" w:hAnsi="Times New Roman" w:cs="B Titr" w:eastAsia="Times New Roman"/>
          <w:b/>
          <w:bCs/>
          <w:color w:val="000000"/>
          <w:sz w:val="30"/>
          <w:szCs w:val="30"/>
          <w:rtl/>
          <w:cs/>
          <w:lang w:bidi="fa-IR"/>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eastAsia="Times New Roman" w:cs="Times New Roman"/>
          <w:lang w:bidi="fa-IR" w:val="en-US"/>
          <w:sz w:val="20"/>
          <w:szCs w:val="20"/>
          <w:vertAlign w:val="superscript"/>
          <w:rtl w:val="0"/>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اگرچه صورت‌بندی گولد</w:t>
      </w:r>
      <w:r>
        <w:rPr>
          <w:rStyle w:val="FootnoteReference"/>
          <w:rFonts w:ascii="Times New Roman" w:eastAsia="Times New Roman" w:hAnsi="Times New Roman" w:hint="cs" w:cs="Times New Roman"/>
          <w:lang w:bidi="fa-IR" w:val="en-US"/>
          <w:sz w:val="20"/>
          <w:szCs w:val="20"/>
          <w:vertAlign w:val="superscript"/>
          <w:rtl w:val="0"/>
        </w:rPr>
        <w:footnoteReference w:id="64"/>
      </w:r>
      <w:r>
        <w:rPr>
          <w:rFonts w:ascii="Times New Roman" w:hAnsi="Times New Roman" w:eastAsia="Times New Roman" w:cs="B Lotus"/>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۲۰۲۱).</w:t>
      </w:r>
    </w:p>
    <w:p w14:paraId="55F08B4D"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2" w:name="_Toc238572025"/>
      <w:r>
        <w:rPr>
          <w:rFonts w:ascii="Times New Roman" w:hAnsi="Times New Roman" w:cs="B Titr" w:eastAsia="Times New Roman"/>
          <w:b/>
          <w:bCs/>
          <w:color w:val="000000"/>
          <w:sz w:val="30"/>
          <w:szCs w:val="30"/>
          <w:rtl/>
          <w:cs/>
          <w:lang w:bidi="fa-IR"/>
        </w:rPr>
        <w:t xml:space="preserve">۲-۱-۲-۲-۲- نظریه لوینسون و شی</w:t>
      </w:r>
      <w:bookmarkEnd w:id="32"/>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صورت‌بندی مرحله‌ای لوینسون</w:t>
      </w:r>
      <w:r>
        <w:rPr>
          <w:rStyle w:val="FootnoteReference"/>
          <w:rFonts w:ascii="Times New Roman" w:eastAsia="Times New Roman" w:hAnsi="Times New Roman" w:hint="cs" w:cs="Times New Roman"/>
          <w:lang w:bidi="fa-IR" w:val="en-US"/>
          <w:sz w:val="20"/>
          <w:szCs w:val="20"/>
          <w:vertAlign w:val="superscript"/>
          <w:rtl w:val="0"/>
        </w:rPr>
        <w:footnoteReference w:id="17"/>
      </w:r>
      <w:r>
        <w:rPr>
          <w:rFonts w:ascii="Times New Roman" w:hAnsi="Times New Roman" w:eastAsia="Times New Roman" w:cs="B Lotus"/>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۲۰۰۶).</w:t>
      </w:r>
    </w:p>
    <w:p w14:paraId="081CFB18" w14:textId="77777777">
      <w:pPr>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eastAsia="Times New Roman" w:cs="Times New Roman"/>
          <w:lang w:bidi="fa-IR" w:val="en-US"/>
          <w:sz w:val="20"/>
          <w:szCs w:val="20"/>
          <w:vertAlign w:val="superscript"/>
          <w:rtl w:val="0"/>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eastAsia="Times New Roman" w:cs="Times New Roman"/>
          <w:lang w:bidi="fa-IR" w:val="en-US"/>
          <w:sz w:val="20"/>
          <w:szCs w:val="20"/>
          <w:vertAlign w:val="superscript"/>
          <w:rtl w:val="0"/>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3" w:name="_Toc238572026"/>
      <w:r>
        <w:rPr>
          <w:rFonts w:ascii="Times New Roman" w:hAnsi="Times New Roman" w:cs="B Titr" w:eastAsia="Times New Roman"/>
          <w:b/>
          <w:bCs/>
          <w:color w:val="000000"/>
          <w:sz w:val="30"/>
          <w:szCs w:val="30"/>
          <w:rtl/>
          <w:cs/>
          <w:lang w:bidi="fa-IR"/>
        </w:rPr>
        <w:t xml:space="preserve">۲-۱-۲-۲-۳- نظریه اریکسون</w:t>
      </w:r>
      <w:bookmarkEnd w:id="33"/>
    </w:p>
    <w:p w14:paraId="624436C2" w14:textId="77777777">
      <w:pPr>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eastAsia="Times New Roman" w:cs="Times New Roman"/>
          <w:lang w:bidi="fa-IR" w:val="en-US"/>
          <w:sz w:val="20"/>
          <w:szCs w:val="20"/>
          <w:vertAlign w:val="superscript"/>
          <w:rtl w:val="0"/>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eastAsia="Times New Roman" w:cs="Times New Roman"/>
          <w:lang w:bidi="fa-IR" w:val="en-US"/>
          <w:sz w:val="20"/>
          <w:szCs w:val="20"/>
          <w:vertAlign w:val="superscript"/>
          <w:rtl w:val="0"/>
        </w:rPr>
        <w:footnoteReference w:id="20"/>
      </w:r>
      <w:r>
        <w:rPr>
          <w:rFonts w:ascii="Times New Roman" w:hAnsi="Times New Roman" w:hint="cs"/>
          <w:lang w:bidi="fa-IR"/>
          <w:rtl/>
        </w:rPr>
        <w:t>، ۱۹۸۶).</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Style w:val="FootnoteReference"/>
          <w:rFonts w:ascii="Times New Roman" w:eastAsia="Times New Roman" w:hAnsi="Times New Roman" w:hint="cs" w:cs="Times New Roman"/>
          <w:lang w:bidi="fa-IR" w:val="en-US"/>
          <w:sz w:val="20"/>
          <w:szCs w:val="20"/>
          <w:vertAlign w:val="superscript"/>
          <w:rtl w:val="0"/>
        </w:rPr>
        <w:footnoteReference w:id="19"/>
      </w:r>
      <w:r>
        <w:rPr>
          <w:rFonts w:ascii="Times New Roman" w:hAnsi="Times New Roman" w:eastAsia="Times New Roman" w:cs="B Lotus"/>
          <w:sz w:val="28"/>
          <w:szCs w:val="28"/>
          <w:rtl/>
          <w:cs/>
          <w:lang w:bidi="fa-IR" w:val="en-US"/>
        </w:rPr>
        <w:t xml:space="preserve"> همچنان برای فهم سازگاری و سلامت روان سالمندان راهگشا است (وسترهاف</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بولمایر</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xml:space="preserve"> و مک‌آدامز</w:t>
      </w:r>
      <w:r>
        <w:rPr>
          <w:rStyle w:val="FootnoteReference"/>
          <w:rFonts w:ascii="Times New Roman" w:eastAsia="Times New Roman" w:hAnsi="Times New Roman" w:hint="cs" w:cs="Times New Roman"/>
          <w:lang w:bidi="fa-IR" w:val="en-US"/>
          <w:sz w:val="20"/>
          <w:szCs w:val="20"/>
          <w:vertAlign w:val="superscript"/>
          <w:rtl w:val="0"/>
        </w:rPr>
        <w:footnoteReference w:id="124"/>
      </w:r>
      <w:r>
        <w:rPr>
          <w:rFonts w:ascii="Times New Roman" w:hAnsi="Times New Roman" w:eastAsia="Times New Roman" w:cs="B Lotus"/>
          <w:sz w:val="28"/>
          <w:szCs w:val="28"/>
          <w:rtl/>
          <w:cs/>
          <w:lang w:bidi="fa-IR" w:val="en-US"/>
        </w:rPr>
        <w:t>، ۲۰۱۷).</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3" w:name="_Toc238572026"/>
      <w:bookmarkEnd w:id="33"/>
      <w:r>
        <w:rPr>
          <w:rFonts w:ascii="Times New Roman" w:hAnsi="Times New Roman" w:cs="B Titr" w:eastAsia="Times New Roman"/>
          <w:b/>
          <w:bCs/>
          <w:color w:val="000000"/>
          <w:sz w:val="30"/>
          <w:szCs w:val="30"/>
          <w:rtl/>
          <w:cs/>
          <w:lang w:bidi="fa-IR"/>
        </w:rPr>
        <w:t>۲-۱-۲-۲-۴- نظریه انتخاب اجتماعی-هیجانی</w:t>
      </w:r>
    </w:p>
    <w:p>
      <w:pPr>
        <w:spacing w:after="0" w:line="276" w:lineRule="auto"/>
        <w:ind w:firstLine="397"/>
        <w:jc w:val="both"/>
        <w:rPr>
          <w:color w:val="auto"/>
          <w:lang w:bidi="fa-IR"/>
        </w:rPr>
      </w:pPr>
      <w:r>
        <w:rPr>
          <w:rFonts w:ascii="Times New Roman" w:hAnsi="Times New Roman" w:hint="cs"/>
          <w:lang w:bidi="fa-IR"/>
          <w:rtl/>
        </w:rPr>
        <w:t>نظریه انتخاب اجتماعی-هیجانی</w:t>
      </w:r>
      <w:r>
        <w:rPr>
          <w:rStyle w:val="FootnoteReference"/>
          <w:rFonts w:ascii="Times New Roman" w:eastAsia="Times New Roman" w:hAnsi="Times New Roman" w:hint="cs" w:cs="Times New Roman"/>
          <w:lang w:bidi="fa-IR" w:val="en-US"/>
          <w:sz w:val="20"/>
          <w:szCs w:val="20"/>
          <w:vertAlign w:val="superscript"/>
          <w:rtl w:val="0"/>
        </w:rPr>
        <w:footnoteReference w:id="111"/>
      </w:r>
      <w:r>
        <w:rPr>
          <w:rFonts w:ascii="Times New Roman" w:hAnsi="Times New Roman" w:hint="cs"/>
          <w:lang w:bidi="fa-IR"/>
          <w:rtl/>
        </w:rPr>
        <w:t xml:space="preserve"> که توسط لورا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hint="cs"/>
          <w:lang w:bidi="fa-IR"/>
          <w:rtl/>
        </w:rPr>
        <w:t xml:space="preserve"> مطرح شد، انگیزش و تجربهٔ هیجانی سالمندی را بر پایهٔ ادراک افق زمانی باقی‌مانده تبیین می‌کند، نه صرفاً سن تقویمی. وقتی آینده گسترده تصور می‌شود، کسب دانش و گسترش شبکه اجتماعی اولویت دارد؛ وقتی زمان محدود ادراک می‌شود ــ وضعیتی که در سالمندی شایع‌تر است ــ افراد اهداف هیجانی و روابط نزدیک را ترجیح می‌دهند. این تغییر با «اثر مثبت‌نگری»</w:t>
      </w:r>
      <w:r>
        <w:rPr>
          <w:rStyle w:val="FootnoteReference"/>
          <w:rFonts w:ascii="Times New Roman" w:eastAsia="Times New Roman" w:hAnsi="Times New Roman" w:hint="cs" w:cs="Times New Roman"/>
          <w:lang w:bidi="fa-IR" w:val="en-US"/>
          <w:sz w:val="20"/>
          <w:szCs w:val="20"/>
          <w:vertAlign w:val="superscript"/>
          <w:rtl w:val="0"/>
        </w:rPr>
        <w:footnoteReference w:id="113"/>
      </w:r>
      <w:r>
        <w:rPr>
          <w:rFonts w:ascii="Times New Roman" w:hAnsi="Times New Roman" w:hint="cs"/>
          <w:lang w:bidi="fa-IR"/>
          <w:rtl/>
        </w:rPr>
        <w:t xml:space="preserve"> در توجه و حافظه همراه دانسته شده است. بازنگری‌های بعدی نظریه بر نقش ادراک پایان‌ها در انگیزش تأکید کرده‌اند (کارستنسن، آیزاکوویتز</w:t>
      </w:r>
      <w:r>
        <w:rPr>
          <w:rStyle w:val="FootnoteReference"/>
          <w:rFonts w:ascii="Times New Roman" w:eastAsia="Times New Roman" w:hAnsi="Times New Roman" w:hint="cs" w:cs="Times New Roman"/>
          <w:lang w:bidi="fa-IR" w:val="en-US"/>
          <w:sz w:val="20"/>
          <w:szCs w:val="20"/>
          <w:vertAlign w:val="superscript"/>
          <w:rtl w:val="0"/>
        </w:rPr>
        <w:footnoteReference w:id="114"/>
      </w:r>
      <w:r>
        <w:rPr>
          <w:rFonts w:ascii="Times New Roman" w:hAnsi="Times New Roman" w:hint="cs"/>
          <w:lang w:bidi="fa-IR"/>
          <w:rtl/>
        </w:rPr>
        <w:t xml:space="preserve"> و چارلز</w:t>
      </w:r>
      <w:r>
        <w:rPr>
          <w:rStyle w:val="FootnoteReference"/>
          <w:rFonts w:ascii="Times New Roman" w:eastAsia="Times New Roman" w:hAnsi="Times New Roman" w:hint="cs" w:cs="Times New Roman"/>
          <w:lang w:bidi="fa-IR" w:val="en-US"/>
          <w:sz w:val="20"/>
          <w:szCs w:val="20"/>
          <w:vertAlign w:val="superscript"/>
          <w:rtl w:val="0"/>
        </w:rPr>
        <w:footnoteReference w:id="115"/>
      </w:r>
      <w:r>
        <w:rPr>
          <w:rFonts w:ascii="Times New Roman" w:hAnsi="Times New Roman" w:hint="cs"/>
          <w:lang w:bidi="fa-IR"/>
          <w:rtl/>
        </w:rPr>
        <w:t>، ۱۹۹۹؛ کارستنسن، ۲۰۰۶؛ رید</w:t>
      </w:r>
      <w:r>
        <w:rPr>
          <w:rStyle w:val="FootnoteReference"/>
          <w:rFonts w:ascii="Times New Roman" w:eastAsia="Times New Roman" w:hAnsi="Times New Roman" w:hint="cs" w:cs="Times New Roman"/>
          <w:lang w:bidi="fa-IR" w:val="en-US"/>
          <w:sz w:val="20"/>
          <w:szCs w:val="20"/>
          <w:vertAlign w:val="superscript"/>
          <w:rtl w:val="0"/>
        </w:rPr>
        <w:footnoteReference w:id="116"/>
      </w:r>
      <w:r>
        <w:rPr>
          <w:rFonts w:ascii="Times New Roman" w:hAnsi="Times New Roman" w:hint="cs"/>
          <w:lang w:bidi="fa-IR"/>
          <w:rtl/>
        </w:rPr>
        <w:t>، چان</w:t>
      </w:r>
      <w:r>
        <w:rPr>
          <w:rStyle w:val="FootnoteReference"/>
          <w:rFonts w:ascii="Times New Roman" w:eastAsia="Times New Roman" w:hAnsi="Times New Roman" w:hint="cs" w:cs="Times New Roman"/>
          <w:lang w:bidi="fa-IR" w:val="en-US"/>
          <w:sz w:val="20"/>
          <w:szCs w:val="20"/>
          <w:vertAlign w:val="superscript"/>
          <w:rtl w:val="0"/>
        </w:rPr>
        <w:footnoteReference w:id="117"/>
      </w:r>
      <w:r>
        <w:rPr>
          <w:rFonts w:ascii="Times New Roman" w:hAnsi="Times New Roman" w:hint="cs"/>
          <w:lang w:bidi="fa-IR"/>
          <w:rtl/>
        </w:rPr>
        <w:t xml:space="preserve"> و مایکلز</w:t>
      </w:r>
      <w:r>
        <w:rPr>
          <w:rStyle w:val="FootnoteReference"/>
          <w:rFonts w:ascii="Times New Roman" w:eastAsia="Times New Roman" w:hAnsi="Times New Roman" w:hint="cs" w:cs="Times New Roman"/>
          <w:lang w:bidi="fa-IR" w:val="en-US"/>
          <w:sz w:val="20"/>
          <w:szCs w:val="20"/>
          <w:vertAlign w:val="superscript"/>
          <w:rtl w:val="0"/>
        </w:rPr>
        <w:footnoteReference w:id="118"/>
      </w:r>
      <w:r>
        <w:rPr>
          <w:rFonts w:ascii="Times New Roman" w:hAnsi="Times New Roman" w:hint="cs"/>
          <w:lang w:bidi="fa-IR"/>
          <w:rtl/>
        </w:rPr>
        <w:t>، ۲۰۱۴؛ کارستنسن، ۲۰۲۱).</w:t>
      </w:r>
    </w:p>
    <w:p w14:paraId="6DF5AB5B"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4" w:name="_Toc238572027"/>
      <w:r>
        <w:rPr>
          <w:rFonts w:ascii="Times New Roman" w:hAnsi="Times New Roman" w:cs="B Titr" w:eastAsia="Times New Roman"/>
          <w:b/>
          <w:bCs/>
          <w:color w:val="000000"/>
          <w:sz w:val="30"/>
          <w:szCs w:val="30"/>
          <w:rtl/>
          <w:cs/>
          <w:lang w:bidi="fa-IR"/>
        </w:rPr>
        <w:t xml:space="preserve">۲-۱-۲-۳- نظریه‌های جامعه شناختی</w:t>
      </w:r>
      <w:bookmarkEnd w:id="34"/>
    </w:p>
    <w:p w14:paraId="04BBBE12"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6" w:name="_Toc238572028"/>
      <w:r>
        <w:rPr>
          <w:rFonts w:ascii="Times New Roman" w:hAnsi="Times New Roman" w:cs="B Titr" w:eastAsia="Times New Roman"/>
          <w:b/>
          <w:bCs/>
          <w:color w:val="000000"/>
          <w:sz w:val="30"/>
          <w:szCs w:val="30"/>
          <w:rtl/>
          <w:cs/>
          <w:lang w:bidi="fa-IR"/>
        </w:rPr>
        <w:t xml:space="preserve">۲-۱-۲-۳-۱- نظریه عدم تعهد</w:t>
      </w:r>
      <w:bookmarkEnd w:id="36"/>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۲۰۲۳).</w:t>
      </w:r>
    </w:p>
    <w:p w14:paraId="31775D54" w14:textId="77777777">
      <w:pPr>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eastAsia="Times New Roman" w:cs="Times New Roman"/>
          <w:lang w:bidi="fa-IR" w:val="en-US"/>
          <w:sz w:val="20"/>
          <w:szCs w:val="20"/>
          <w:vertAlign w:val="superscript"/>
          <w:rtl w:val="0"/>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eastAsia="Times New Roman" w:cs="Times New Roman"/>
          <w:lang w:bidi="fa-IR" w:val="en-US"/>
          <w:sz w:val="20"/>
          <w:szCs w:val="20"/>
          <w:vertAlign w:val="superscript"/>
          <w:rtl w:val="0"/>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eastAsia="Times New Roman" w:cs="Times New Roman"/>
          <w:lang w:bidi="fa-IR" w:val="en-US"/>
          <w:sz w:val="20"/>
          <w:szCs w:val="20"/>
          <w:vertAlign w:val="superscript"/>
          <w:rtl w:val="0"/>
        </w:rPr>
        <w:footnoteReference w:id="23"/>
      </w:r>
      <w:r>
        <w:rPr>
          <w:rFonts w:ascii="Times New Roman" w:hAnsi="Times New Roman" w:hint="cs"/>
          <w:lang w:bidi="fa-IR"/>
          <w:rtl/>
        </w:rPr>
        <w:t>، ۲۰۱۶).</w:t>
      </w:r>
    </w:p>
    <w:p w14:paraId="4B444079"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7" w:name="_Toc238572029"/>
      <w:r>
        <w:rPr>
          <w:rFonts w:ascii="Times New Roman" w:hAnsi="Times New Roman" w:cs="B Titr" w:eastAsia="Times New Roman"/>
          <w:b/>
          <w:bCs/>
          <w:color w:val="000000"/>
          <w:sz w:val="30"/>
          <w:szCs w:val="30"/>
          <w:rtl/>
          <w:cs/>
          <w:lang w:bidi="fa-IR"/>
        </w:rPr>
        <w:t xml:space="preserve">۲-۱-۲-۳-۲- نظریه فعالیت</w:t>
      </w:r>
      <w:bookmarkEnd w:id="37"/>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Fonts w:ascii="Times New Roman" w:eastAsia="Times New Roman" w:hAnsi="Times New Roman" w:hint="cs" w:cs="Times New Roman"/>
          <w:lang w:bidi="fa-IR" w:val="en-US"/>
          <w:sz w:val="20"/>
          <w:szCs w:val="20"/>
          <w:vertAlign w:val="superscript"/>
          <w:rtl w:val="0"/>
        </w:rPr>
        <w:footnoteReference w:id="125"/>
      </w:r>
      <w:r>
        <w:rPr>
          <w:rFonts w:ascii="Times New Roman" w:hAnsi="Times New Roman" w:eastAsia="Times New Roman" w:cs="B Lotus"/>
          <w:sz w:val="28"/>
          <w:szCs w:val="28"/>
          <w:rtl/>
          <w:cs/>
          <w:lang w:bidi="fa-IR" w:val="en-US"/>
        </w:rPr>
        <w:t xml:space="preserve"> و کان</w:t>
      </w:r>
      <w:r>
        <w:rPr>
          <w:rStyle w:val="FootnoteReference"/>
          <w:rFonts w:ascii="Times New Roman" w:eastAsia="Times New Roman" w:hAnsi="Times New Roman" w:hint="cs" w:cs="Times New Roman"/>
          <w:lang w:bidi="fa-IR" w:val="en-US"/>
          <w:sz w:val="20"/>
          <w:szCs w:val="20"/>
          <w:vertAlign w:val="superscript"/>
          <w:rtl w:val="0"/>
        </w:rPr>
        <w:footnoteReference w:id="126"/>
      </w:r>
      <w:r>
        <w:rPr>
          <w:rFonts w:ascii="Times New Roman" w:hAnsi="Times New Roman" w:eastAsia="Times New Roman" w:cs="B Lotus"/>
          <w:sz w:val="28"/>
          <w:szCs w:val="28"/>
          <w:rtl/>
          <w:cs/>
          <w:lang w:bidi="fa-IR" w:val="en-US"/>
        </w:rPr>
        <w:t>، ۲۰۱۵).</w:t>
      </w:r>
    </w:p>
    <w:p w14:paraId="146A3D73" w14:textId="77777777">
      <w:pPr>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eastAsia="Times New Roman" w:cs="Times New Roman"/>
          <w:lang w:bidi="fa-IR" w:val="en-US"/>
          <w:sz w:val="20"/>
          <w:szCs w:val="20"/>
          <w:vertAlign w:val="superscript"/>
          <w:rtl w:val="0"/>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eastAsia="Times New Roman" w:cs="Times New Roman"/>
          <w:lang w:bidi="fa-IR" w:val="en-US"/>
          <w:sz w:val="20"/>
          <w:szCs w:val="20"/>
          <w:vertAlign w:val="superscript"/>
          <w:rtl w:val="0"/>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eastAsia="Times New Roman" w:cs="Times New Roman"/>
          <w:lang w:bidi="fa-IR" w:val="en-US"/>
          <w:sz w:val="20"/>
          <w:szCs w:val="20"/>
          <w:vertAlign w:val="superscript"/>
          <w:rtl w:val="0"/>
        </w:rPr>
        <w:footnoteReference w:id="26"/>
      </w:r>
      <w:r>
        <w:rPr>
          <w:rFonts w:ascii="Times New Roman" w:hAnsi="Times New Roman" w:hint="cs"/>
          <w:lang w:bidi="fa-IR"/>
          <w:rtl/>
        </w:rPr>
        <w:t>، ۱۹۶۸).</w:t>
      </w:r>
    </w:p>
    <w:p w14:paraId="4AC40FF0"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8" w:name="_Toc238572030"/>
      <w:r>
        <w:rPr>
          <w:rFonts w:ascii="Times New Roman" w:hAnsi="Times New Roman" w:cs="B Titr" w:eastAsia="Times New Roman"/>
          <w:b/>
          <w:bCs/>
          <w:color w:val="000000"/>
          <w:sz w:val="30"/>
          <w:szCs w:val="30"/>
          <w:rtl/>
          <w:cs/>
          <w:lang w:bidi="fa-IR"/>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eastAsia="Times New Roman" w:cs="Times New Roman"/>
          <w:lang w:bidi="fa-IR" w:val="en-US"/>
          <w:sz w:val="20"/>
          <w:szCs w:val="20"/>
          <w:vertAlign w:val="superscript"/>
          <w:rtl w:val="0"/>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9" w:name="_Toc238572031"/>
      <w:r>
        <w:rPr>
          <w:rFonts w:ascii="Times New Roman" w:hAnsi="Times New Roman" w:cs="B Titr" w:eastAsia="Times New Roman"/>
          <w:b/>
          <w:bCs/>
          <w:color w:val="000000"/>
          <w:sz w:val="30"/>
          <w:szCs w:val="30"/>
          <w:rtl/>
          <w:cs/>
          <w:lang w:bidi="fa-IR"/>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eastAsia="Times New Roman" w:cs="Times New Roman"/>
          <w:lang w:bidi="fa-IR" w:val="en-US"/>
          <w:sz w:val="20"/>
          <w:szCs w:val="20"/>
          <w:vertAlign w:val="superscript"/>
          <w:rtl w:val="0"/>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Style w:val="FootnoteReference"/>
          <w:rFonts w:ascii="Times New Roman" w:eastAsia="Times New Roman" w:hAnsi="Times New Roman" w:hint="cs" w:cs="Times New Roman"/>
          <w:lang w:bidi="fa-IR" w:val="en-US"/>
          <w:sz w:val="20"/>
          <w:szCs w:val="20"/>
          <w:vertAlign w:val="superscript"/>
          <w:rtl w:val="0"/>
        </w:rPr>
        <w:footnoteReference w:id="23"/>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pPr>
        <w:jc w:val="center"/>
        <w:bidi w:val="0"/>
      </w:pPr>
      <w:r>
        <w:drawing xmlns:a="http://schemas.openxmlformats.org/drawingml/2006/main" xmlns:pic="http://schemas.openxmlformats.org/drawingml/2006/picture">
          <wp:inline distT="0" distB="0" distL="0" distR="0">
            <wp:extent cx="5669280" cy="3526015"/>
            <wp:effectExtent l="0" t="0" r="0" b="0"/>
            <wp:docPr id="101" name="tree2.png" descr="درختواره اضطراب مرگ"/>
            <wp:cNvGraphicFramePr>
              <a:graphicFrameLocks noChangeAspect="1"/>
            </wp:cNvGraphicFramePr>
            <a:graphic>
              <a:graphicData uri="http://schemas.openxmlformats.org/drawingml/2006/picture">
                <pic:pic>
                  <pic:nvPicPr>
                    <pic:cNvPr id="0" name="tree2.png"/>
                    <pic:cNvPicPr>
                      <a:picLocks noChangeAspect="1" noChangeArrowheads="1"/>
                    </pic:cNvPicPr>
                  </pic:nvPicPr>
                  <pic:blipFill>
                    <a:blip r:embed="rIdTreePng2"/>
                    <a:stretch>
                      <a:fillRect/>
                    </a:stretch>
                  </pic:blipFill>
                  <pic:spPr bwMode="auto">
                    <a:xfrm>
                      <a:off x="0" y="0"/>
                      <a:ext cx="5669280" cy="3526015"/>
                    </a:xfrm>
                    <a:prstGeom prst="rect">
                      <a:avLst/>
                    </a:prstGeom>
                  </pic:spPr>
                </pic:pic>
              </a:graphicData>
            </a: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۲- درختواره اضطراب مرگ (نظریه‌ها، ابعاد، عوامل و پیامدها)</w:t>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30"/>
      </w:r>
      <w:r>
        <w:rPr>
          <w:rFonts w:ascii="Times New Roman" w:hAnsi="Times New Roman" w:hint="cs"/>
          <w:lang w:bidi="fa-IR"/>
          <w:rtl/>
        </w:rPr>
        <w:t xml:space="preserve"> و همکاران، ۲۰۲۳).</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Fonts w:ascii="Times New Roman" w:eastAsia="Times New Roman" w:hAnsi="Times New Roman" w:hint="cs" w:cs="Times New Roman"/>
          <w:lang w:bidi="fa-IR" w:val="en-US"/>
          <w:sz w:val="20"/>
          <w:szCs w:val="20"/>
          <w:vertAlign w:val="superscript"/>
          <w:rtl w:val="0"/>
        </w:rPr>
        <w:footnoteReference w:id="127"/>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پژوهش‌های متأخر کمتر از تبیین کاملاً ناهشیار فروید</w:t>
      </w:r>
      <w:r>
        <w:rPr>
          <w:rStyle w:val="FootnoteReference"/>
          <w:rFonts w:ascii="Times New Roman" w:eastAsia="Times New Roman" w:hAnsi="Times New Roman" w:hint="cs" w:cs="Times New Roman"/>
          <w:lang w:bidi="fa-IR" w:val="en-US"/>
          <w:sz w:val="20"/>
          <w:szCs w:val="20"/>
          <w:vertAlign w:val="superscript"/>
          <w:rtl w:val="0"/>
        </w:rPr>
        <w:footnoteReference w:id="31"/>
      </w:r>
      <w:r>
        <w:rPr>
          <w:rFonts w:ascii="Times New Roman" w:hAnsi="Times New Roman" w:eastAsia="Times New Roman" w:cs="B Lotus"/>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Style w:val="FootnoteReference"/>
          <w:rFonts w:ascii="Times New Roman" w:eastAsia="Times New Roman" w:hAnsi="Times New Roman" w:hint="cs" w:cs="Times New Roman"/>
          <w:lang w:bidi="fa-IR" w:val="en-US"/>
          <w:sz w:val="20"/>
          <w:szCs w:val="20"/>
          <w:vertAlign w:val="superscript"/>
          <w:rtl w:val="0"/>
        </w:rPr>
        <w:footnoteReference w:id="128"/>
      </w:r>
      <w:r>
        <w:rPr>
          <w:rFonts w:ascii="Times New Roman" w:hAnsi="Times New Roman" w:eastAsia="Times New Roman" w:cs="B Lotus"/>
          <w:sz w:val="28"/>
          <w:szCs w:val="28"/>
          <w:rtl/>
          <w:cs/>
          <w:lang w:bidi="fa-IR" w:val="en-US"/>
        </w:rPr>
        <w:t>، منزیس</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xml:space="preserve"> و منزیس</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رویکردهای وجودی معاصر همچنان بر چهار دغدغه یالوم</w:t>
      </w:r>
      <w:r>
        <w:rPr>
          <w:rStyle w:val="FootnoteReference"/>
          <w:rFonts w:ascii="Times New Roman" w:eastAsia="Times New Roman" w:hAnsi="Times New Roman" w:hint="cs" w:cs="Times New Roman"/>
          <w:lang w:bidi="fa-IR" w:val="en-US"/>
          <w:sz w:val="20"/>
          <w:szCs w:val="20"/>
          <w:vertAlign w:val="superscript"/>
          <w:rtl w:val="0"/>
        </w:rPr>
        <w:footnoteReference w:id="80"/>
      </w:r>
      <w:r>
        <w:rPr>
          <w:rFonts w:ascii="Times New Roman" w:hAnsi="Times New Roman" w:eastAsia="Times New Roman" w:cs="B Lotus"/>
          <w:sz w:val="28"/>
          <w:szCs w:val="28"/>
          <w:rtl/>
          <w:cs/>
          <w:lang w:bidi="fa-IR" w:val="en-US"/>
        </w:rPr>
        <w:t xml:space="preserve"> تأکید دارند؛ در کنار آن، نظریه مدیریت معنا</w:t>
      </w:r>
      <w:r>
        <w:rPr>
          <w:rStyle w:val="FootnoteReference"/>
          <w:rFonts w:ascii="Times New Roman" w:eastAsia="Times New Roman" w:hAnsi="Times New Roman" w:hint="cs" w:cs="Times New Roman"/>
          <w:lang w:bidi="fa-IR" w:val="en-US"/>
          <w:sz w:val="20"/>
          <w:szCs w:val="20"/>
          <w:vertAlign w:val="superscript"/>
          <w:rtl w:val="0"/>
        </w:rPr>
        <w:footnoteReference w:id="130"/>
      </w:r>
      <w:r>
        <w:rPr>
          <w:rFonts w:ascii="Times New Roman" w:hAnsi="Times New Roman" w:eastAsia="Times New Roman" w:cs="B Lotus"/>
          <w:sz w:val="28"/>
          <w:szCs w:val="28"/>
          <w:rtl/>
          <w:cs/>
          <w:lang w:bidi="fa-IR" w:val="en-US"/>
        </w:rPr>
        <w:t xml:space="preserve"> بیان می‌کند که معناجویی و پذیرش مرگ، مسیر سازگاری سالم‌تر در مواجهه با فناپذیری است (وانگ</w:t>
      </w:r>
      <w:r>
        <w:rPr>
          <w:rStyle w:val="FootnoteReference"/>
          <w:rFonts w:ascii="Times New Roman" w:eastAsia="Times New Roman" w:hAnsi="Times New Roman" w:hint="cs" w:cs="Times New Roman"/>
          <w:lang w:bidi="fa-IR" w:val="en-US"/>
          <w:sz w:val="20"/>
          <w:szCs w:val="20"/>
          <w:vertAlign w:val="superscript"/>
          <w:rtl w:val="0"/>
        </w:rPr>
        <w:footnoteReference w:id="131"/>
      </w:r>
      <w:r>
        <w:rPr>
          <w:rFonts w:ascii="Times New Roman" w:hAnsi="Times New Roman" w:eastAsia="Times New Roman" w:cs="B Lotus"/>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Fonts w:ascii="Times New Roman" w:eastAsia="Times New Roman" w:hAnsi="Times New Roman" w:hint="cs" w:cs="Times New Roman"/>
          <w:lang w:bidi="fa-IR" w:val="en-US"/>
          <w:sz w:val="20"/>
          <w:szCs w:val="20"/>
          <w:vertAlign w:val="superscript"/>
          <w:rtl w:val="0"/>
        </w:rPr>
        <w:footnoteReference w:id="127"/>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Fonts w:ascii="Times New Roman" w:eastAsia="Times New Roman" w:hAnsi="Times New Roman" w:hint="cs" w:cs="Times New Roman"/>
          <w:lang w:bidi="fa-IR" w:val="en-US"/>
          <w:sz w:val="20"/>
          <w:szCs w:val="20"/>
          <w:vertAlign w:val="superscript"/>
          <w:rtl w:val="0"/>
        </w:rPr>
        <w:footnoteReference w:id="128"/>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35"/>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37"/>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Fonts w:ascii="Times New Roman" w:eastAsia="Times New Roman" w:hAnsi="Times New Roman" w:hint="cs" w:cs="Times New Roman"/>
          <w:lang w:bidi="fa-IR" w:val="en-US"/>
          <w:sz w:val="20"/>
          <w:szCs w:val="20"/>
          <w:vertAlign w:val="superscript"/>
          <w:rtl w:val="0"/>
        </w:rPr>
        <w:footnoteReference w:id="128"/>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 منزیس</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xml:space="preserve"> و منزیس</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pPr>
        <w:jc w:val="center"/>
        <w:bidi w:val="0"/>
      </w:pPr>
      <w:r>
        <w:drawing xmlns:a="http://schemas.openxmlformats.org/drawingml/2006/main" xmlns:pic="http://schemas.openxmlformats.org/drawingml/2006/picture">
          <wp:inline distT="0" distB="0" distL="0" distR="0">
            <wp:extent cx="5669280" cy="3526015"/>
            <wp:effectExtent l="0" t="0" r="0" b="0"/>
            <wp:docPr id="102" name="tree3.png" descr="درختواره هوش معنوی"/>
            <wp:cNvGraphicFramePr>
              <a:graphicFrameLocks noChangeAspect="1"/>
            </wp:cNvGraphicFramePr>
            <a:graphic>
              <a:graphicData uri="http://schemas.openxmlformats.org/drawingml/2006/picture">
                <pic:pic>
                  <pic:nvPicPr>
                    <pic:cNvPr id="0" name="tree3.png"/>
                    <pic:cNvPicPr>
                      <a:picLocks noChangeAspect="1" noChangeArrowheads="1"/>
                    </pic:cNvPicPr>
                  </pic:nvPicPr>
                  <pic:blipFill>
                    <a:blip r:embed="rIdTreePng3"/>
                    <a:stretch>
                      <a:fillRect/>
                    </a:stretch>
                  </pic:blipFill>
                  <pic:spPr bwMode="auto">
                    <a:xfrm>
                      <a:off x="0" y="0"/>
                      <a:ext cx="5669280" cy="3526015"/>
                    </a:xfrm>
                    <a:prstGeom prst="rect">
                      <a:avLst/>
                    </a:prstGeom>
                  </pic:spPr>
                </pic:pic>
              </a:graphicData>
            </a: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۳- درختواره هوش معنوی (مفهوم، فضیلت‌گرایی، عوامل و مدل چهارعاملی کینگ)</w:t>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0"/>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w:t>
      </w:r>
      <w:r>
        <w:rPr>
          <w:rFonts w:ascii="Times New Roman" w:eastAsia="Times New Roman" w:hAnsi="Times New Roman" w:hint="cs"/>
          <w:lang w:bidi="fa-IR"/>
          <w:rtl/>
        </w:rPr>
        <w:t>سؤال</w:t>
      </w:r>
      <w:r>
        <w:rPr>
          <w:rFonts w:ascii="Times New Roman" w:eastAsia="Times New Roman" w:hAnsi="Times New Roman" w:hint="cs"/>
          <w:lang w:bidi="fa-IR"/>
          <w:rtl/>
        </w:rPr>
        <w:t xml:space="preserve">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w:t>
      </w:r>
      <w:r>
        <w:rPr>
          <w:rFonts w:ascii="Times New Roman" w:eastAsia="Times New Roman" w:hAnsi="Times New Roman" w:hint="cs"/>
          <w:lang w:bidi="fa-IR"/>
          <w:rtl/>
        </w:rPr>
        <w:t>هوش 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هوش 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w:t>
      </w:r>
      <w:r>
        <w:rPr>
          <w:rFonts w:ascii="Times New Roman" w:eastAsia="Times New Roman" w:hAnsi="Times New Roman" w:hint="cs"/>
          <w:lang w:bidi="fa-IR"/>
          <w:rtl/>
        </w:rPr>
        <w:t>هوش 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w:t>
      </w:r>
      <w:r>
        <w:rPr>
          <w:rFonts w:ascii="Times New Roman" w:eastAsia="Times New Roman" w:hAnsi="Times New Roman" w:hint="cs"/>
          <w:lang w:bidi="fa-IR"/>
          <w:rtl/>
        </w:rPr>
        <w:t>فرانکل، ۲۰۱۸</w:t>
      </w:r>
      <w:r>
        <w:rPr>
          <w:rFonts w:ascii="Times New Roman" w:eastAsia="Times New Roman" w:hAnsi="Times New Roman" w:hint="cs"/>
          <w:lang w:bidi="fa-IR"/>
          <w:rtl/>
        </w:rPr>
        <w:t>).</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w:t>
      </w:r>
      <w:r>
        <w:rPr>
          <w:rFonts w:ascii="Times New Roman" w:eastAsia="Times New Roman" w:hAnsi="Times New Roman" w:hint="cs"/>
          <w:lang w:bidi="fa-IR"/>
          <w:rtl/>
        </w:rPr>
        <w:t>بهزیستی هیجانی،</w:t>
      </w:r>
      <w:r>
        <w:rPr>
          <w:rFonts w:ascii="Times New Roman" w:eastAsia="Times New Roman" w:hAnsi="Times New Roman" w:hint="cs"/>
          <w:lang w:bidi="fa-IR"/>
          <w:rtl/>
        </w:rPr>
        <w:t xml:space="preserve">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w:t>
      </w:r>
      <w:r>
        <w:rPr>
          <w:rFonts w:ascii="Times New Roman" w:eastAsia="Times New Roman" w:hAnsi="Times New Roman" w:hint="cs"/>
          <w:lang w:bidi="fa-IR"/>
          <w:rtl/>
        </w:rPr>
        <w:t>نقطه مقابل شکوفایی است</w:t>
      </w:r>
      <w:r>
        <w:rPr>
          <w:rFonts w:ascii="Times New Roman" w:eastAsia="Times New Roman" w:hAnsi="Times New Roman" w:hint="cs"/>
          <w:lang w:bidi="fa-IR"/>
          <w:rtl/>
        </w:rPr>
        <w:t xml:space="preserve">.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مطلوب، همواره آرزوی بشر بوده و هست. در ابتدا رفاه و طول عمر بیشتر، معنی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بهتر را داشت. اما امروزه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در نقطه مقابل کمیت، قرار گرفته و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مفهومی پویا و وسیعتر از سلامتی است بر طبق مدل سلامتی،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 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w:t>
      </w:r>
      <w:r>
        <w:rPr>
          <w:rFonts w:ascii="Times New Roman" w:eastAsia="Times New Roman" w:hAnsi="Times New Roman" w:hint="cs"/>
          <w:lang w:bidi="fa-IR"/>
          <w:rtl/>
        </w:rPr>
        <w:t>و 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t xml:space="preserve">لذت گرایانه </w:t>
      </w:r>
      <w:r>
        <w:rPr>
          <w:rFonts w:ascii="Times New Roman" w:eastAsia="Times New Roman" w:hAnsi="Times New Roman" w:hint="cs"/>
          <w:lang w:bidi="fa-IR"/>
          <w:rtl/>
        </w:rPr>
        <w:t>اپیکوری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w:t>
      </w:r>
      <w:r>
        <w:rPr>
          <w:rFonts w:ascii="Times New Roman" w:eastAsia="Times New Roman" w:hAnsi="Times New Roman" w:hint="cs"/>
          <w:lang w:bidi="fa-IR"/>
          <w:rtl/>
        </w:rPr>
        <w:t>برای اولین بار 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 بر اساس</w:t>
      </w:r>
      <w:r>
        <w:rPr>
          <w:rFonts w:ascii="Times New Roman" w:eastAsia="Times New Roman" w:hAnsi="Times New Roman" w:hint="cs"/>
          <w:lang w:bidi="fa-IR"/>
          <w:rtl/>
        </w:rPr>
        <w:t xml:space="preserve">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w:t>
      </w:r>
      <w:r>
        <w:rPr>
          <w:rFonts w:ascii="Times New Roman" w:eastAsia="Times New Roman" w:hAnsi="Times New Roman" w:hint="cs"/>
          <w:lang w:bidi="fa-IR"/>
          <w:rtl/>
        </w:rPr>
        <w:t>استقلال ساختاری</w:t>
      </w:r>
      <w:r>
        <w:rPr>
          <w:rFonts w:ascii="Times New Roman" w:eastAsia="Times New Roman" w:hAnsi="Times New Roman" w:hint="cs"/>
          <w:lang w:bidi="fa-IR"/>
          <w:rtl/>
        </w:rPr>
        <w:t xml:space="preserve">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w:t>
      </w:r>
      <w:r>
        <w:rPr>
          <w:rFonts w:ascii="Times New Roman" w:eastAsia="Times New Roman" w:hAnsi="Times New Roman" w:hint="cs"/>
          <w:lang w:bidi="fa-IR"/>
          <w:rtl/>
        </w:rPr>
        <w:t>مطالعه‌ی</w:t>
      </w:r>
      <w:r>
        <w:rPr>
          <w:rFonts w:ascii="Times New Roman" w:eastAsia="Times New Roman" w:hAnsi="Times New Roman" w:hint="cs"/>
          <w:lang w:bidi="fa-IR"/>
          <w:rtl/>
        </w:rPr>
        <w:t xml:space="preserve">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تأکید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hAnsi="Times New Roman" w:eastAsia="Times New Roman" w:cs="B Lotus"/>
          <w:sz w:val="28"/>
          <w:szCs w:val="28"/>
          <w:rtl/>
          <w:cs/>
          <w:lang w:bidi="fa-IR" w:val="en-US"/>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Fonts w:ascii="Times New Roman" w:eastAsia="Times New Roman" w:hAnsi="Times New Roman" w:hint="cs" w:cs="Times New Roman"/>
          <w:lang w:bidi="fa-IR" w:val="en-US"/>
          <w:sz w:val="20"/>
          <w:szCs w:val="20"/>
          <w:vertAlign w:val="superscript"/>
          <w:rtl w:val="0"/>
        </w:rPr>
        <w:footnoteReference w:id="96"/>
      </w:r>
      <w:r>
        <w:rPr>
          <w:rFonts w:ascii="Times New Roman" w:hAnsi="Times New Roman" w:eastAsia="Times New Roman" w:cs="B Lotus"/>
          <w:sz w:val="28"/>
          <w:szCs w:val="28"/>
          <w:rtl/>
          <w:cs/>
          <w:lang w:bidi="fa-IR" w:val="en-US"/>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r>
        <w:rPr>
          <w:rFonts w:ascii="Times New Roman" w:hAnsi="Times New Roman" w:cs="B Titr" w:eastAsia="Times New Roman"/>
          <w:b/>
          <w:bCs/>
          <w:color w:val="000000"/>
          <w:kern w:val="32"/>
          <w:sz w:val="30"/>
          <w:szCs w:val="30"/>
          <w:rtl/>
          <w:cs/>
          <w:lang w:bidi="fa-IR"/>
        </w:rPr>
        <w:t>۲-۳-۳- عوامل مؤثر بر هوش معنوی</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w:t>
      </w:r>
      <w:r>
        <w:rPr>
          <w:rFonts w:ascii="Times New Roman" w:eastAsia="Times New Roman" w:hAnsi="Times New Roman" w:hint="cs"/>
          <w:lang w:bidi="fa-IR"/>
          <w:rtl/>
        </w:rPr>
        <w:t>،</w:t>
      </w:r>
      <w:r>
        <w:rPr>
          <w:rFonts w:ascii="Times New Roman" w:eastAsia="Times New Roman" w:hAnsi="Times New Roman" w:hint="cs"/>
          <w:lang w:bidi="fa-IR"/>
          <w:rtl/>
        </w:rPr>
        <w:t xml:space="preserve">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r>
        <w:rPr>
          <w:rFonts w:ascii="Times New Roman" w:hAnsi="Times New Roman" w:cs="B Titr" w:eastAsia="Times New Roman"/>
          <w:b/>
          <w:bCs/>
          <w:color w:val="000000"/>
          <w:kern w:val="32"/>
          <w:sz w:val="30"/>
          <w:szCs w:val="30"/>
          <w:rtl/>
          <w:cs/>
          <w:lang w:bidi="fa-IR"/>
        </w:rPr>
        <w:t>۲-۳-۴- مدل چهارعاملی هوش معنوی کینگ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کینگ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Style w:val="FootnoteReference"/>
          <w:rFonts w:ascii="Times New Roman" w:eastAsia="Times New Roman" w:hAnsi="Times New Roman" w:hint="cs" w:cs="Times New Roman"/>
          <w:lang w:bidi="fa-IR" w:val="en-US"/>
          <w:sz w:val="20"/>
          <w:szCs w:val="20"/>
          <w:vertAlign w:val="superscript"/>
          <w:rtl w:val="0"/>
        </w:rPr>
        <w:footnoteReference w:id="119"/>
      </w:r>
      <w:r>
        <w:rPr>
          <w:rFonts w:ascii="Times New Roman" w:eastAsia="Times New Roman" w:hAnsi="Times New Roman" w:hint="cs"/>
          <w:lang w:bidi="fa-IR"/>
          <w:rtl/>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pPr>
        <w:jc w:val="center"/>
        <w:bidi w:val="0"/>
      </w:pPr>
      <w:r>
        <w:drawing xmlns:a="http://schemas.openxmlformats.org/drawingml/2006/main" xmlns:pic="http://schemas.openxmlformats.org/drawingml/2006/picture">
          <wp:inline distT="0" distB="0" distL="0" distR="0">
            <wp:extent cx="5669280" cy="3526015"/>
            <wp:effectExtent l="0" t="0" r="0" b="0"/>
            <wp:docPr id="103" name="tree4.png" descr="درختواره اضطراب سلامت"/>
            <wp:cNvGraphicFramePr>
              <a:graphicFrameLocks noChangeAspect="1"/>
            </wp:cNvGraphicFramePr>
            <a:graphic>
              <a:graphicData uri="http://schemas.openxmlformats.org/drawingml/2006/picture">
                <pic:pic>
                  <pic:nvPicPr>
                    <pic:cNvPr id="0" name="tree4.png"/>
                    <pic:cNvPicPr>
                      <a:picLocks noChangeAspect="1" noChangeArrowheads="1"/>
                    </pic:cNvPicPr>
                  </pic:nvPicPr>
                  <pic:blipFill>
                    <a:blip r:embed="rIdTreePng4"/>
                    <a:stretch>
                      <a:fillRect/>
                    </a:stretch>
                  </pic:blipFill>
                  <pic:spPr bwMode="auto">
                    <a:xfrm>
                      <a:off x="0" y="0"/>
                      <a:ext cx="5669280" cy="3526015"/>
                    </a:xfrm>
                    <a:prstGeom prst="rect">
                      <a:avLst/>
                    </a:prstGeom>
                  </pic:spPr>
                </pic:pic>
              </a:graphicData>
            </a: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۴- درختواره اضطراب سلامت (مفهوم، مدل‌های نظری، عوامل و مداخلات)</w:t>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44"/>
      </w:r>
      <w:r>
        <w:rPr>
          <w:rStyle w:val="FootnoteReference"/>
          <w:rFonts w:ascii="Times New Roman" w:hAnsi="Times New Roman" w:hint="cs" w:eastAsia="Times New Roman" w:cs="Times New Roman"/>
          <w:lang w:bidi="fa-IR" w:val="en-US"/>
          <w:sz w:val="20"/>
          <w:szCs w:val="20"/>
          <w:vertAlign w:val="superscript"/>
          <w:rtl w:val="0"/>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Style w:val="FootnoteReference"/>
          <w:rFonts w:ascii="Times New Roman" w:eastAsia="Times New Roman" w:hAnsi="Times New Roman" w:hint="cs" w:cs="Times New Roman"/>
          <w:lang w:bidi="fa-IR" w:val="en-US"/>
          <w:sz w:val="20"/>
          <w:szCs w:val="20"/>
          <w:vertAlign w:val="superscript"/>
          <w:rtl w:val="0"/>
        </w:rPr>
        <w:footnoteReference w:id="105"/>
      </w:r>
      <w:r>
        <w:rPr>
          <w:rFonts w:ascii="Times New Roman" w:hAnsi="Times New Roman" w:eastAsia="Times New Roman" w:cs="B Lotus"/>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Style w:val="FootnoteReference"/>
          <w:rFonts w:ascii="Times New Roman" w:eastAsia="Times New Roman" w:hAnsi="Times New Roman" w:hint="cs" w:cs="Times New Roman"/>
          <w:lang w:bidi="fa-IR" w:val="en-US"/>
          <w:sz w:val="20"/>
          <w:szCs w:val="20"/>
          <w:vertAlign w:val="superscript"/>
          <w:rtl w:val="0"/>
        </w:rPr>
        <w:footnoteReference w:id="56"/>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۲۰۲۲؛ 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hAnsi="Times New Roman" w:eastAsia="Times New Roman" w:cs="B Lotus"/>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pPr>
        <w:spacing w:after="0" w:line="276" w:lineRule="auto"/>
        <w:ind w:firstLine="397"/>
        <w:jc w:val="both"/>
        <w:rPr>
          <w:rFonts w:ascii="Times New Roman" w:hAnsi="Times New Roman"/>
          <w:lang w:bidi="fa-IR"/>
        </w:rPr>
      </w:pPr>
      <w:r>
        <w:rPr>
          <w:rFonts w:ascii="Times New Roman" w:hAnsi="Times New Roman" w:hint="cs"/>
          <w:lang w:bidi="fa-IR"/>
          <w:rtl/>
        </w:rPr>
        <w:t>صورت‌بندی کلاسیک این مدل را سالکوویس</w:t>
      </w:r>
      <w:r>
        <w:rPr>
          <w:rFonts w:ascii="Times New Roman" w:hAnsi="Times New Roman" w:eastAsia="Times New Roman" w:cs="Times New Roman"/>
          <w:rStyle w:val="FootnoteReference"/>
          <w:sz w:val="20"/>
          <w:szCs w:val="20"/>
          <w:vertAlign w:val="superscript"/>
          <w:rtl w:val="0"/>
          <w:cs w:val="0"/>
          <w:lang w:val="en-US"/>
        </w:rPr>
        <w:footnoteReference w:id="87"/>
      </w:r>
      <w:r>
        <w:rPr>
          <w:rFonts w:ascii="Times New Roman" w:hAnsi="Times New Roman" w:hint="cs"/>
          <w:lang w:bidi="fa-IR"/>
          <w:rtl/>
        </w:rPr>
        <w:t xml:space="preserve"> و وارویک</w:t>
      </w:r>
      <w:r>
        <w:rPr>
          <w:rStyle w:val="FootnoteReference"/>
          <w:rFonts w:ascii="Times New Roman" w:eastAsia="Times New Roman" w:hAnsi="Times New Roman" w:hint="cs" w:cs="Times New Roman"/>
          <w:lang w:bidi="fa-IR" w:val="en-US"/>
          <w:sz w:val="20"/>
          <w:szCs w:val="20"/>
          <w:vertAlign w:val="superscript"/>
          <w:rtl w:val="0"/>
        </w:rPr>
        <w:footnoteReference w:id="106"/>
      </w:r>
      <w:r>
        <w:rPr>
          <w:rFonts w:ascii="Times New Roman" w:hAnsi="Times New Roman" w:hint="cs"/>
          <w:lang w:bidi="fa-IR"/>
          <w:rtl/>
        </w:rPr>
        <w:t xml:space="preserve"> ارائه کردند. اضطراب سلامت وقتی پایدار می‌شود که باورهای ناکارآمد درباره بیماری فعال شوند. این باورها معمولاً در چهار محور جای می‌گیرند:</w:t>
      </w:r>
    </w:p>
    <w:p>
      <w:pPr>
        <w:spacing w:after="0" w:line="276" w:lineRule="auto"/>
        <w:ind w:firstLine="397"/>
        <w:jc w:val="both"/>
        <w:rPr>
          <w:rFonts w:ascii="Times New Roman" w:hAnsi="Times New Roman"/>
          <w:lang w:bidi="fa-IR"/>
        </w:rPr>
      </w:pPr>
      <w:r>
        <w:rPr>
          <w:rFonts w:ascii="Times New Roman" w:hAnsi="Times New Roman" w:hint="cs"/>
          <w:lang w:bidi="fa-IR"/>
          <w:rtl/>
        </w:rPr>
        <w:t>۱- باور به احتمال بالا یا حتی قطعی بودن ابتلا به بیماری، یا وجود پنهان آن؛</w:t>
      </w:r>
    </w:p>
    <w:p>
      <w:pPr>
        <w:spacing w:after="0" w:line="276" w:lineRule="auto"/>
        <w:ind w:firstLine="397"/>
        <w:jc w:val="both"/>
        <w:rPr>
          <w:rFonts w:ascii="Times New Roman" w:hAnsi="Times New Roman"/>
          <w:lang w:bidi="fa-IR"/>
        </w:rPr>
      </w:pPr>
      <w:r>
        <w:rPr>
          <w:rFonts w:ascii="Times New Roman" w:hAnsi="Times New Roman" w:hint="cs"/>
          <w:lang w:bidi="fa-IR"/>
          <w:rtl/>
        </w:rPr>
        <w:t>۲- باور به وحشتناکی پیامدهای بیماری؛</w:t>
      </w:r>
    </w:p>
    <w:p>
      <w:pPr>
        <w:spacing w:after="0" w:line="276" w:lineRule="auto"/>
        <w:ind w:firstLine="397"/>
        <w:jc w:val="both"/>
        <w:rPr>
          <w:rFonts w:ascii="Times New Roman" w:hAnsi="Times New Roman"/>
          <w:lang w:bidi="fa-IR"/>
        </w:rPr>
      </w:pPr>
      <w:r>
        <w:rPr>
          <w:rFonts w:ascii="Times New Roman" w:hAnsi="Times New Roman" w:hint="cs"/>
          <w:lang w:bidi="fa-IR"/>
          <w:rtl/>
        </w:rPr>
        <w:t>۳- باور به ناتوانی فرد در مقابله با بیماری؛</w:t>
      </w:r>
    </w:p>
    <w:p>
      <w:pPr>
        <w:spacing w:after="0" w:line="276" w:lineRule="auto"/>
        <w:ind w:firstLine="397"/>
        <w:jc w:val="both"/>
        <w:rPr>
          <w:rFonts w:ascii="Times New Roman" w:hAnsi="Times New Roman"/>
          <w:lang w:bidi="fa-IR"/>
        </w:rPr>
      </w:pPr>
      <w:r>
        <w:rPr>
          <w:rFonts w:ascii="Times New Roman" w:hAnsi="Times New Roman" w:hint="cs"/>
          <w:lang w:bidi="fa-IR"/>
          <w:rtl/>
        </w:rPr>
        <w:t>۴- باور به ناکافی‌بودن یا غیرقابل‌اعتماد بودن خدمات پزشکی (سالکوویس و وارویک، ۱۹۹۰؛ تیلور و آسموندسون</w:t>
      </w:r>
      <w:r>
        <w:rPr>
          <w:rFonts w:ascii="Times New Roman" w:hAnsi="Times New Roman" w:eastAsia="Times New Roman" w:cs="Times New Roman"/>
          <w:rStyle w:val="FootnoteReference"/>
          <w:sz w:val="20"/>
          <w:szCs w:val="20"/>
          <w:vertAlign w:val="superscript"/>
          <w:rtl w:val="0"/>
          <w:cs w:val="0"/>
          <w:lang w:val="en-US"/>
        </w:rPr>
        <w:footnoteReference w:id="54"/>
      </w:r>
      <w:r>
        <w:rPr>
          <w:rFonts w:ascii="Times New Roman" w:hAnsi="Times New Roman" w:hint="cs"/>
          <w:lang w:bidi="fa-IR"/>
          <w:rtl/>
        </w:rPr>
        <w:t>، ۲۰۲۱).</w:t>
      </w:r>
    </w:p>
    <w:p>
      <w:pPr>
        <w:spacing w:after="0" w:line="276" w:lineRule="auto"/>
        <w:ind w:firstLine="397"/>
        <w:jc w:val="both"/>
        <w:rPr>
          <w:rFonts w:ascii="Times New Roman" w:hAnsi="Times New Roman"/>
          <w:lang w:bidi="fa-IR"/>
        </w:rPr>
      </w:pPr>
      <w:r>
        <w:rPr>
          <w:rFonts w:ascii="Times New Roman" w:hAnsi="Times New Roman" w:hint="cs"/>
          <w:lang w:bidi="fa-IR"/>
          <w:rtl/>
        </w:rPr>
        <w:t>این باورها با چهار سازوکار درهم‌تنیده تداوم می‌یابند. توجه انتخابی به حس‌های بدنی و سوگیری تأیید، اطلاعات ناسازگار با تهدید را کنار می‌گذارد. برانگیختگی فیزیولوژیک خودش به نشانهٔ تازه بدل می‌شود. ترس دامنهٔ پردازش را تنگ می‌کند. بررسی مکرر بدن، اطمینان‌خواهی پزشکی، اجتناب و جست‌وجوی اطلاعات اضطراب را کوتاه‌مدت کم می‌کنند، اما فرصت آزمون باور را می‌گیرند. اطمینان‌خواهی از این منظر تأمین اطلاعات نیست؛ رفتار ایمنی‌بخش است (هالدورسون</w:t>
      </w:r>
      <w:r>
        <w:rPr>
          <w:rStyle w:val="FootnoteReference"/>
          <w:rFonts w:ascii="Times New Roman" w:eastAsia="Times New Roman" w:hAnsi="Times New Roman" w:hint="cs" w:cs="Times New Roman"/>
          <w:lang w:bidi="fa-IR" w:val="en-US"/>
          <w:sz w:val="20"/>
          <w:szCs w:val="20"/>
          <w:vertAlign w:val="superscript"/>
          <w:rtl w:val="0"/>
        </w:rPr>
        <w:footnoteReference w:id="107"/>
      </w:r>
      <w:r>
        <w:rPr>
          <w:rFonts w:ascii="Times New Roman" w:hAnsi="Times New Roman" w:hint="cs"/>
          <w:lang w:bidi="fa-IR"/>
          <w:rtl/>
        </w:rPr>
        <w:t xml:space="preserve"> و سالکوویس، ۲۰۲۳؛ کیکاس</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hint="cs"/>
          <w:lang w:bidi="fa-IR"/>
          <w:rtl/>
        </w:rPr>
        <w:t xml:space="preserve"> و همکاران، ۲۰۲۴).</w:t>
      </w:r>
    </w:p>
    <w:p>
      <w:pPr>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در سالمندی همین چرخه غالباً بر بستر نشانه‌های جسمانی واقعی، بیماری مزمن و مراجعات پزشکی مکرر عمل می‌کند؛ بنابراین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Fonts w:ascii="Times New Roman" w:eastAsia="Times New Roman" w:hAnsi="Times New Roman" w:hint="cs" w:cs="Times New Roman"/>
          <w:lang w:bidi="fa-IR" w:val="en-US"/>
          <w:sz w:val="20"/>
          <w:szCs w:val="20"/>
          <w:vertAlign w:val="superscript"/>
          <w:rtl w:val="0"/>
        </w:rPr>
        <w:footnoteReference w:id="47"/>
      </w:r>
      <w:r>
        <w:rPr>
          <w:rFonts w:ascii="Times New Roman" w:hAnsi="Times New Roman" w:eastAsia="Times New Roman" w:cs="B Lotus"/>
          <w:sz w:val="28"/>
          <w:szCs w:val="28"/>
          <w:rtl/>
          <w:cs/>
          <w:lang w:bidi="fa-IR" w:val="en-US"/>
        </w:rPr>
        <w:t xml:space="preserve"> و برادوک</w:t>
      </w:r>
      <w:r>
        <w:rPr>
          <w:rStyle w:val="FootnoteReference"/>
          <w:rFonts w:ascii="Times New Roman" w:eastAsia="Times New Roman" w:hAnsi="Times New Roman" w:hint="cs" w:cs="Times New Roman"/>
          <w:lang w:bidi="fa-IR" w:val="en-US"/>
          <w:sz w:val="20"/>
          <w:szCs w:val="20"/>
          <w:vertAlign w:val="superscript"/>
          <w:rtl w:val="0"/>
        </w:rPr>
        <w:footnoteReference w:id="132"/>
      </w:r>
      <w:r>
        <w:rPr>
          <w:rFonts w:ascii="Times New Roman" w:hAnsi="Times New Roman" w:eastAsia="Times New Roman" w:cs="B Lotus"/>
          <w:sz w:val="28"/>
          <w:szCs w:val="28"/>
          <w:rtl/>
          <w:cs/>
          <w:lang w:bidi="fa-IR" w:val="en-US"/>
        </w:rPr>
        <w:t>، ۲۰۲۳؛ گولد</w:t>
      </w:r>
      <w:r>
        <w:rPr>
          <w:rStyle w:val="FootnoteReference"/>
          <w:rFonts w:ascii="Times New Roman" w:eastAsia="Times New Roman" w:hAnsi="Times New Roman" w:hint="cs" w:cs="Times New Roman"/>
          <w:lang w:bidi="fa-IR" w:val="en-US"/>
          <w:sz w:val="20"/>
          <w:szCs w:val="20"/>
          <w:vertAlign w:val="superscript"/>
          <w:rtl w:val="0"/>
        </w:rPr>
        <w:footnoteReference w:id="64"/>
      </w:r>
      <w:r>
        <w:rPr>
          <w:rFonts w:ascii="Times New Roman" w:hAnsi="Times New Roman" w:eastAsia="Times New Roman" w:cs="B Lotus"/>
          <w:sz w:val="28"/>
          <w:szCs w:val="28"/>
          <w:rtl/>
          <w:cs/>
          <w:lang w:bidi="fa-IR" w:val="en-US"/>
        </w:rPr>
        <w:t xml:space="preserve"> و همکاران، ۲۰۲۲؛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 بک</w:t>
      </w:r>
      <w:r>
        <w:rPr>
          <w:rStyle w:val="FootnoteReference"/>
          <w:rFonts w:ascii="Times New Roman" w:eastAsia="Times New Roman" w:hAnsi="Times New Roman" w:hint="cs" w:cs="Times New Roman"/>
          <w:lang w:bidi="fa-IR" w:val="en-US"/>
          <w:sz w:val="20"/>
          <w:szCs w:val="20"/>
          <w:vertAlign w:val="superscript"/>
          <w:rtl w:val="0"/>
        </w:rPr>
        <w:footnoteReference w:id="63"/>
      </w:r>
      <w:r>
        <w:rPr>
          <w:rFonts w:ascii="Times New Roman" w:hAnsi="Times New Roman" w:eastAsia="Times New Roman" w:cs="B Lotus"/>
          <w:sz w:val="28"/>
          <w:szCs w:val="28"/>
          <w:rtl/>
          <w:cs/>
          <w:lang w:bidi="fa-IR" w:val="en-US"/>
        </w:rPr>
        <w:t xml:space="preserve"> و هایگ</w:t>
      </w:r>
      <w:r>
        <w:rPr>
          <w:rStyle w:val="FootnoteReference"/>
          <w:rFonts w:ascii="Times New Roman" w:eastAsia="Times New Roman" w:hAnsi="Times New Roman" w:hint="cs" w:cs="Times New Roman"/>
          <w:lang w:bidi="fa-IR" w:val="en-US"/>
          <w:sz w:val="20"/>
          <w:szCs w:val="20"/>
          <w:vertAlign w:val="superscript"/>
          <w:rtl w:val="0"/>
        </w:rPr>
        <w:footnoteReference w:id="133"/>
      </w:r>
      <w:r>
        <w:rPr>
          <w:rFonts w:ascii="Times New Roman" w:hAnsi="Times New Roman" w:eastAsia="Times New Roman" w:cs="B Lotus"/>
          <w:sz w:val="28"/>
          <w:szCs w:val="28"/>
          <w:rtl/>
          <w:cs/>
          <w:lang w:bidi="fa-IR" w:val="en-US"/>
        </w:rPr>
        <w:t>، ۲۰۱۴).</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Style w:val="FootnoteReference"/>
          <w:rFonts w:ascii="Times New Roman" w:eastAsia="Times New Roman" w:hAnsi="Times New Roman" w:hint="cs" w:cs="Times New Roman"/>
          <w:lang w:bidi="fa-IR" w:val="en-US"/>
          <w:sz w:val="20"/>
          <w:szCs w:val="20"/>
          <w:vertAlign w:val="superscript"/>
          <w:rtl w:val="0"/>
        </w:rPr>
        <w:footnoteReference w:id="47"/>
      </w:r>
      <w:r>
        <w:rPr>
          <w:rFonts w:ascii="Times New Roman" w:hAnsi="Times New Roman" w:eastAsia="Times New Roman" w:cs="B Lotus"/>
          <w:sz w:val="28"/>
          <w:szCs w:val="28"/>
          <w:rtl/>
          <w:cs/>
          <w:lang w:bidi="fa-IR" w:val="en-US"/>
        </w:rPr>
        <w:t xml:space="preserve"> و برادوک</w:t>
      </w:r>
      <w:r>
        <w:rPr>
          <w:rStyle w:val="FootnoteReference"/>
          <w:rFonts w:ascii="Times New Roman" w:eastAsia="Times New Roman" w:hAnsi="Times New Roman" w:hint="cs" w:cs="Times New Roman"/>
          <w:lang w:bidi="fa-IR" w:val="en-US"/>
          <w:sz w:val="20"/>
          <w:szCs w:val="20"/>
          <w:vertAlign w:val="superscript"/>
          <w:rtl w:val="0"/>
        </w:rPr>
        <w:footnoteReference w:id="132"/>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۲۰۲۳؛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w:t>
      </w:r>
    </w:p>
    <w:p>
      <w:pPr>
        <w:spacing w:after="0" w:line="276" w:lineRule="auto"/>
        <w:ind w:firstLine="397"/>
        <w:jc w:val="both"/>
        <w:rPr>
          <w:rFonts w:ascii="Times New Roman" w:hAnsi="Times New Roman"/>
          <w:lang w:bidi="fa-IR"/>
        </w:rPr>
      </w:pPr>
      <w:r>
        <w:rPr>
          <w:rFonts w:ascii="Times New Roman" w:hAnsi="Times New Roman" w:hint="cs"/>
          <w:lang w:bidi="fa-IR"/>
          <w:rtl/>
        </w:rPr>
        <w:t>برای روشن شدن چرخه، سالمندی را در نظر بگیرید که پس از یک تپش قلب ساده چند بار به اورژانس می‌رود. هر بار با شنیدن «قلب‌تان مشکلی ندارد» آرام می‌شود، ولی تا نوبت بعد همان ترس برمی‌گردد. پایش پزشکی لازم است؛ تکرار مراجعه فقط برای خاموش کردن ترس، رفتار ایمنی‌بخش است نه مراقبت ضروری.</w:t>
      </w:r>
    </w:p>
    <w:p>
      <w:pPr>
        <w:spacing w:after="0" w:line="276" w:lineRule="auto"/>
        <w:ind w:firstLine="397"/>
        <w:jc w:val="both"/>
        <w:rPr>
          <w:rFonts w:ascii="Times New Roman" w:hAnsi="Times New Roman"/>
          <w:lang w:bidi="fa-IR"/>
        </w:rPr>
      </w:pPr>
      <w:r>
        <w:rPr>
          <w:rFonts w:ascii="Times New Roman" w:hAnsi="Times New Roman" w:hint="cs"/>
          <w:lang w:bidi="fa-IR"/>
          <w:rtl/>
        </w:rPr>
        <w:t>در سالمندی همین چرخه غالباً روی نشانه‌های جسمانی واقعی و بیماری مزمن سوار می‌شود. تمایز پایش ضروری از رفتار ایمنی‌بخش دشوارتر است و اصلاح تفسیر فاجعه‌آمیز نباید به معنای نادیده‌گرفتن بیماری باشد. بازسازی همان چهار باور، کاهش تدریجی رفتارهای ایمنی‌بخش و آزمایش‌های رفتاری، محور مداخله‌اند. درمان شناختی ـ رفتاری در اضطراب اواخر عمر مؤثر گزارش شده، هرچند همبودی پزشکی و چنددارویی کار را کندتر می‌کند (آبراموویتز و برادوک</w:t>
      </w:r>
      <w:r>
        <w:rPr>
          <w:rFonts w:ascii="Times New Roman" w:hAnsi="Times New Roman" w:eastAsia="Times New Roman" w:cs="Times New Roman"/>
          <w:rStyle w:val="FootnoteReference"/>
          <w:sz w:val="20"/>
          <w:szCs w:val="20"/>
          <w:vertAlign w:val="superscript"/>
          <w:rtl w:val="0"/>
          <w:cs w:val="0"/>
          <w:lang w:val="en-US"/>
        </w:rPr>
        <w:footnoteReference w:id="53"/>
      </w:r>
      <w:r>
        <w:rPr>
          <w:rFonts w:ascii="Times New Roman" w:hAnsi="Times New Roman" w:hint="cs"/>
          <w:lang w:bidi="fa-IR"/>
          <w:rtl/>
        </w:rPr>
        <w:t>، ۲۰۲۳؛ گولد</w:t>
      </w:r>
      <w:r>
        <w:rPr>
          <w:rFonts w:ascii="Times New Roman" w:hAnsi="Times New Roman" w:eastAsia="Times New Roman" w:cs="Times New Roman"/>
          <w:rStyle w:val="FootnoteReference"/>
          <w:sz w:val="20"/>
          <w:szCs w:val="20"/>
          <w:vertAlign w:val="superscript"/>
          <w:rtl w:val="0"/>
          <w:cs w:val="0"/>
          <w:lang w:val="en-US"/>
        </w:rPr>
        <w:footnoteReference w:id="64"/>
      </w:r>
      <w:r>
        <w:rPr>
          <w:rFonts w:ascii="Times New Roman" w:hAnsi="Times New Roman" w:hint="cs"/>
          <w:lang w:bidi="fa-IR"/>
          <w:rtl/>
        </w:rPr>
        <w:t xml:space="preserve"> و همکاران، ۲۰۲۲؛ انجمن روان‌شناسی آمریکا</w:t>
      </w:r>
      <w:r>
        <w:rPr>
          <w:rFonts w:ascii="Times New Roman" w:hAnsi="Times New Roman" w:eastAsia="Times New Roman" w:cs="Times New Roman"/>
          <w:rStyle w:val="FootnoteReference"/>
          <w:sz w:val="20"/>
          <w:szCs w:val="20"/>
          <w:vertAlign w:val="superscript"/>
          <w:rtl w:val="0"/>
          <w:cs w:val="0"/>
          <w:lang w:val="en-US"/>
        </w:rPr>
        <w:footnoteReference w:id="101"/>
      </w:r>
      <w:r>
        <w:rPr>
          <w:rFonts w:ascii="Times New Roman" w:hAnsi="Times New Roman" w:hint="cs"/>
          <w:lang w:bidi="fa-IR"/>
          <w:rtl/>
        </w:rPr>
        <w:t>، ۲۰۲۳؛ بک و هایگ</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hAnsi="Times New Roman" w:hint="cs"/>
          <w:lang w:bidi="fa-IR"/>
          <w:rtl/>
        </w:rPr>
        <w:t>، ۲۰۱۴).</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w:t>
      </w:r>
      <w:r>
        <w:rPr>
          <w:rFonts w:ascii="Times New Roman" w:hAnsi="Times New Roman" w:hint="cs"/>
          <w:lang w:bidi="fa-IR"/>
          <w:rtl/>
        </w:rPr>
        <w:t xml:space="preserve">، بررسی </w:t>
      </w:r>
      <w:r>
        <w:rPr>
          <w:rFonts w:ascii="Times New Roman" w:hAnsi="Times New Roman" w:hint="cs"/>
          <w:lang w:bidi="fa-IR"/>
          <w:rtl/>
        </w:rPr>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Style w:val="FootnoteReference"/>
          <w:rFonts w:ascii="Times New Roman" w:eastAsia="Times New Roman" w:hAnsi="Times New Roman" w:hint="cs" w:cs="Times New Roman"/>
          <w:lang w:bidi="fa-IR" w:val="en-US"/>
          <w:sz w:val="20"/>
          <w:szCs w:val="20"/>
          <w:vertAlign w:val="superscript"/>
          <w:rtl w:val="0"/>
        </w:rPr>
        <w:footnoteReference w:id="109"/>
      </w:r>
      <w:r>
        <w:rPr>
          <w:rFonts w:ascii="Times New Roman" w:hAnsi="Times New Roman" w:hint="cs"/>
          <w:lang w:bidi="fa-IR"/>
          <w:rtl/>
        </w:rPr>
        <w:t xml:space="preserve"> و </w:t>
      </w:r>
      <w:r>
        <w:rPr>
          <w:rFonts w:ascii="Times New Roman" w:hAnsi="Times New Roman" w:hint="cs"/>
          <w:lang w:bidi="fa-IR"/>
          <w:rtl/>
        </w:rPr>
        <w:t>ایشیک</w:t>
      </w:r>
      <w:r>
        <w:rPr>
          <w:rStyle w:val="FootnoteReference"/>
          <w:rFonts w:ascii="Times New Roman" w:eastAsia="Times New Roman" w:hAnsi="Times New Roman" w:hint="cs" w:cs="Times New Roman"/>
          <w:lang w:bidi="fa-IR" w:val="en-US"/>
          <w:sz w:val="20"/>
          <w:szCs w:val="20"/>
          <w:vertAlign w:val="superscript"/>
          <w:rtl w:val="0"/>
        </w:rPr>
        <w:footnoteReference w:id="110"/>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48"/>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Style w:val="FootnoteReference"/>
          <w:rFonts w:ascii="Times New Roman" w:eastAsia="Times New Roman" w:hAnsi="Times New Roman" w:hint="cs" w:cs="Times New Roman"/>
          <w:lang w:bidi="fa-IR" w:val="en-US"/>
          <w:sz w:val="20"/>
          <w:szCs w:val="20"/>
          <w:vertAlign w:val="superscript"/>
          <w:rtl w:val="0"/>
        </w:rPr>
        <w:footnoteReference w:id="109"/>
      </w:r>
      <w:r>
        <w:rPr>
          <w:rFonts w:ascii="Times New Roman" w:hAnsi="Times New Roman" w:eastAsia="Times New Roman" w:cs="B Lotus"/>
          <w:sz w:val="28"/>
          <w:szCs w:val="28"/>
          <w:rtl/>
          <w:cs/>
          <w:lang w:bidi="fa-IR" w:val="en-US"/>
        </w:rPr>
        <w:t xml:space="preserve"> و ایشیک</w:t>
      </w:r>
      <w:r>
        <w:rPr>
          <w:rStyle w:val="FootnoteReference"/>
          <w:rFonts w:ascii="Times New Roman" w:eastAsia="Times New Roman" w:hAnsi="Times New Roman" w:hint="cs" w:cs="Times New Roman"/>
          <w:lang w:bidi="fa-IR" w:val="en-US"/>
          <w:sz w:val="20"/>
          <w:szCs w:val="20"/>
          <w:vertAlign w:val="superscript"/>
          <w:rtl w:val="0"/>
        </w:rPr>
        <w:footnoteReference w:id="110"/>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w:t>
      </w:r>
    </w:p>
    <w:p>
      <w:pPr>
        <w:spacing w:after="0" w:line="276" w:lineRule="auto"/>
        <w:ind w:firstLine="397"/>
        <w:jc w:val="both"/>
        <w:rPr>
          <w:rFonts w:ascii="Times New Roman" w:hAnsi="Times New Roman"/>
          <w:lang w:bidi="fa-IR"/>
        </w:rPr>
      </w:pPr>
      <w:r>
        <w:rPr>
          <w:rFonts w:ascii="Times New Roman" w:hAnsi="Times New Roman" w:hint="cs"/>
          <w:lang w:bidi="fa-IR"/>
          <w:rtl/>
        </w:rPr>
        <w:t>نظریه دلبستگی بالبی</w:t>
      </w:r>
      <w:r>
        <w:rPr>
          <w:rFonts w:ascii="Times New Roman" w:hAnsi="Times New Roman" w:eastAsia="Times New Roman" w:cs="Times New Roman"/>
          <w:rStyle w:val="FootnoteReference"/>
          <w:sz w:val="20"/>
          <w:szCs w:val="20"/>
          <w:vertAlign w:val="superscript"/>
          <w:rtl w:val="0"/>
          <w:cs w:val="0"/>
          <w:lang w:val="en-US"/>
        </w:rPr>
        <w:footnoteReference w:id="98"/>
      </w:r>
      <w:r>
        <w:rPr>
          <w:rFonts w:ascii="Times New Roman" w:hAnsi="Times New Roman" w:hint="cs"/>
          <w:lang w:bidi="fa-IR"/>
          <w:rtl/>
        </w:rPr>
        <w:t xml:space="preserve"> نظام دلبستگی را در برابر تهدید فعال می‌داند؛ ابهام درباره بیماری هم می‌تواند همین نظام را برانگیزد. این تبیین برای اضطراب سلامت است و با نقش دلبستگی در تحمل اضطراب مرگ که پیش‌تر آمد یکی گرفته نمی‌شود. دو مسیر ناایمن قابل تمایز است:</w:t>
      </w:r>
    </w:p>
    <w:p>
      <w:pPr>
        <w:spacing w:after="0" w:line="276" w:lineRule="auto"/>
        <w:ind w:firstLine="397"/>
        <w:jc w:val="both"/>
        <w:rPr>
          <w:rFonts w:ascii="Times New Roman" w:hAnsi="Times New Roman"/>
          <w:lang w:bidi="fa-IR"/>
        </w:rPr>
      </w:pPr>
      <w:r>
        <w:rPr>
          <w:rFonts w:ascii="Times New Roman" w:hAnsi="Times New Roman" w:hint="cs"/>
          <w:lang w:bidi="fa-IR"/>
          <w:rtl/>
        </w:rPr>
        <w:t>۱- مسیر اضطرابی با بیش‌فعال‌سازی همراه است: فرد در ابهام بدنی به مراقبت‌طلبی و اطمینان‌خواهی از نزدیکان و پزشک روی می‌آورد و حمایت را غالباً ناکافی می‌بیند؛</w:t>
      </w:r>
    </w:p>
    <w:p>
      <w:pPr>
        <w:spacing w:after="0" w:line="276" w:lineRule="auto"/>
        <w:ind w:firstLine="397"/>
        <w:jc w:val="both"/>
        <w:rPr>
          <w:rFonts w:ascii="Times New Roman" w:hAnsi="Times New Roman"/>
          <w:lang w:bidi="fa-IR"/>
        </w:rPr>
      </w:pPr>
      <w:r>
        <w:rPr>
          <w:rFonts w:ascii="Times New Roman" w:hAnsi="Times New Roman" w:hint="cs"/>
          <w:lang w:bidi="fa-IR"/>
          <w:rtl/>
        </w:rPr>
        <w:t>۲- مسیر اجتنابی با غیرفعال‌سازی نیاز به نزدیکی همراه است: کمک‌طلبی به تأخیر می‌افتد، ناراحتی انکار می‌شود یا نگرانی بیشتر به‌صورت شکایت بدنی دیده می‌شود تا درخواست آشکار مراقبت.</w:t>
      </w:r>
    </w:p>
    <w:p>
      <w:pPr>
        <w:spacing w:after="0" w:line="276" w:lineRule="auto"/>
        <w:ind w:firstLine="397"/>
        <w:jc w:val="both"/>
        <w:rPr>
          <w:rFonts w:ascii="Times New Roman" w:hAnsi="Times New Roman"/>
          <w:lang w:bidi="fa-IR"/>
        </w:rPr>
      </w:pPr>
      <w:r>
        <w:rPr>
          <w:rFonts w:ascii="Times New Roman" w:hAnsi="Times New Roman" w:hint="cs"/>
          <w:lang w:bidi="fa-IR"/>
          <w:rtl/>
        </w:rPr>
        <w:t>مدل بین‌فردی خودبیمارانگاری که استوارت</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hint="cs"/>
          <w:lang w:bidi="fa-IR"/>
          <w:rtl/>
        </w:rPr>
        <w:t xml:space="preserve"> و نویز</w:t>
      </w:r>
      <w:r>
        <w:rPr>
          <w:rFonts w:ascii="Times New Roman" w:hAnsi="Times New Roman" w:eastAsia="Times New Roman" w:cs="Times New Roman"/>
          <w:rStyle w:val="FootnoteReference"/>
          <w:sz w:val="20"/>
          <w:szCs w:val="20"/>
          <w:vertAlign w:val="superscript"/>
          <w:rtl w:val="0"/>
          <w:cs w:val="0"/>
          <w:lang w:val="en-US"/>
        </w:rPr>
        <w:footnoteReference w:id="78"/>
      </w:r>
      <w:r>
        <w:rPr>
          <w:rFonts w:ascii="Times New Roman" w:hAnsi="Times New Roman" w:hint="cs"/>
          <w:lang w:bidi="fa-IR"/>
          <w:rtl/>
        </w:rPr>
        <w:t xml:space="preserve"> صورت‌بندی کردند، شکایت از بیماری را نوعی ارتباط مراقبت‌طلب می‌داند. اطمینان‌خواهی مکرر در درازمدت به ادراک طرد از دیگران ــ حتی پزشک ــ می‌انجامد و نگرانی را دوباره بالا می‌برد. در بیماران مراقبت اولیه، نشانه‌های خودبیمارانگاری با دلبستگی ناایمن، به‌ویژه سبک ترسناک، و با نارضایتی از رابطهٔ درمانی همبسته بود (استوارت و نویز، ۱۹۹۹؛ نویز و همکاران، ۲۰۰۳).</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xml:space="preserve"> و نویز</w:t>
      </w:r>
      <w:r>
        <w:rPr>
          <w:rStyle w:val="FootnoteReference"/>
          <w:rFonts w:ascii="Times New Roman" w:eastAsia="Times New Roman" w:hAnsi="Times New Roman" w:hint="cs" w:cs="Times New Roman"/>
          <w:lang w:bidi="fa-IR" w:val="en-US"/>
          <w:sz w:val="20"/>
          <w:szCs w:val="20"/>
          <w:vertAlign w:val="superscript"/>
          <w:rtl w:val="0"/>
        </w:rPr>
        <w:footnoteReference w:id="85"/>
      </w:r>
      <w:r>
        <w:rPr>
          <w:rFonts w:ascii="Times New Roman" w:hAnsi="Times New Roman" w:eastAsia="Times New Roman" w:cs="B Lotus"/>
          <w:sz w:val="28"/>
          <w:szCs w:val="28"/>
          <w:rtl/>
          <w:cs/>
          <w:lang w:bidi="fa-IR" w:val="en-US"/>
        </w:rPr>
        <w:t>، ۱۹۹۹؛ نویز و همکاران، ۲۰۰۳).</w:t>
      </w:r>
    </w:p>
    <w:p>
      <w:pPr>
        <w:spacing w:after="0" w:line="276" w:lineRule="auto"/>
        <w:ind w:firstLine="397"/>
        <w:jc w:val="both"/>
        <w:rPr>
          <w:rFonts w:ascii="Times New Roman" w:hAnsi="Times New Roman"/>
          <w:lang w:bidi="fa-IR"/>
        </w:rPr>
      </w:pPr>
      <w:r>
        <w:rPr>
          <w:rFonts w:ascii="Times New Roman" w:hAnsi="Times New Roman" w:hint="cs"/>
          <w:lang w:bidi="fa-IR"/>
          <w:rtl/>
        </w:rPr>
        <w:t>سالمندی که همسرش را از دست داده، ممکن است پزشک درمانگاه را تنها مأمن بداند و با هر تپش یا درد مبهم به او زنگ بزند. دیگری شاید همان درد را هفته‌ها برای فرزندش نگوید تا «سربار» نشود. اولی مسیر اضطرابی است؛ دومی اجتنابی. کارکرد بین‌فردی اطمینان‌خواهی مراقبت‌طلبی است و با تبیین شناختی ـ رفتاری آن به‌عنوان رفتار ایمنی‌بخش جمع‌پذیر است (استوارت و نویز، ۱۹۹۹؛ نویز و همکاران، ۲۰۰۳).</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50"/>
      </w:r>
    </w:p>
    <w:p>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t xml:space="preserve">سطوح بالاتر اضطراب سلامت در سالمندان ارتباط دارد؛ </w:t>
      </w:r>
      <w:r>
        <w:rPr>
          <w:rFonts w:ascii="Times New Roman" w:hAnsi="Times New Roman" w:hint="cs"/>
          <w:lang w:bidi="fa-IR"/>
          <w:rtl/>
        </w:rPr>
        <w:t xml:space="preserve">،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شفیعی و همکاران، ۲۰۲۵).</w:t>
      </w:r>
    </w:p>
    <w:p>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w:t>
      </w:r>
      <w:r>
        <w:rPr>
          <w:rFonts w:ascii="Times New Roman" w:hAnsi="Times New Roman" w:hint="cs"/>
          <w:lang w:bidi="fa-IR"/>
          <w:rtl/>
        </w:rPr>
        <w:t xml:space="preserve"> </w:t>
      </w:r>
      <w:r>
        <w:rPr>
          <w:rFonts w:ascii="Times New Roman" w:hAnsi="Times New Roman" w:hint="cs"/>
          <w:lang w:bidi="fa-IR"/>
          <w:rtl/>
        </w:rPr>
        <w:t xml:space="preserve">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w:t>
      </w:r>
      <w:r>
        <w:rPr>
          <w:rFonts w:ascii="Times New Roman" w:hAnsi="Times New Roman" w:hint="cs"/>
          <w:lang w:bidi="fa-IR"/>
          <w:rtl/>
        </w:rPr>
        <w:t xml:space="preserve">،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w:t>
      </w:r>
      <w:r>
        <w:rPr>
          <w:rFonts w:ascii="Times New Roman" w:hAnsi="Times New Roman" w:hint="cs"/>
          <w:lang w:bidi="fa-IR"/>
          <w:rtl/>
        </w:rPr>
        <w:t xml:space="preserve">،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53"/>
      </w:r>
      <w:r>
        <w:rPr>
          <w:rStyle w:val="FootnoteReference"/>
          <w:rFonts w:hint="cs" w:ascii="Times New Roman" w:hAnsi="Times New Roman" w:eastAsia="Times New Roman" w:cs="Times New Roman"/>
          <w:sz w:val="20"/>
          <w:szCs w:val="20"/>
          <w:vertAlign w:val="superscript"/>
          <w:lang w:val="en-US"/>
          <w:rtl w:val="0"/>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w:t>
      </w:r>
      <w:r>
        <w:rPr>
          <w:rFonts w:ascii="Times New Roman" w:hAnsi="Times New Roman" w:hint="cs"/>
          <w:lang w:bidi="fa-IR"/>
          <w:rtl/>
        </w:rPr>
        <w:t xml:space="preserve">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4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58"/>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60"/>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62"/>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64"/>
      </w:r>
      <w:r>
        <w:rPr>
          <w:rFonts w:ascii="Times New Roman" w:hAnsi="Times New Roman" w:hint="cs"/>
          <w:lang w:bidi="fa-IR"/>
          <w:rtl/>
        </w:rPr>
        <w:t xml:space="preserve"> و همکاران، ۲۰۲۲).</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w:t>
      </w:r>
      <w:r>
        <w:rPr>
          <w:rFonts w:ascii="Times New Roman" w:eastAsia="Times New Roman" w:hAnsi="Times New Roman" w:hint="cs"/>
          <w:lang w:bidi="fa-IR"/>
          <w:rtl/>
        </w:rPr>
        <w:t xml:space="preserve"> </w:t>
      </w:r>
      <w:r>
        <w:rPr>
          <w:rFonts w:ascii="Times New Roman" w:eastAsia="Times New Roman" w:hAnsi="Times New Roman" w:hint="cs"/>
          <w:lang w:bidi="fa-IR"/>
          <w:rtl/>
        </w:rPr>
        <w:t>یافته ها حاکی از این بودند که هوش معنوی به طور مثبتی با سلامت عمومی رابطه دارد.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hAnsi="Times New Roman" w:eastAsia="Times New Roman" w:cs="B Lotus"/>
          <w:sz w:val="28"/>
          <w:szCs w:val="28"/>
          <w:rtl/>
          <w:cs/>
          <w:lang w:bidi="fa-IR" w:val="en-US"/>
        </w:rPr>
        <w:t xml:space="preserve"> است.</w:t>
      </w:r>
    </w:p>
    <w:p w14:paraId="0DFF80FF"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78" w:name="_Toc238572059"/>
      <w:r>
        <w:rPr>
          <w:rFonts w:ascii="Times New Roman" w:hAnsi="Times New Roman" w:cs="B Titr" w:eastAsia="Times New Roman"/>
          <w:b/>
          <w:bCs/>
          <w:color w:val="000000"/>
          <w:sz w:val="56"/>
          <w:szCs w:val="56"/>
          <w:rtl/>
          <w:cs/>
          <w:lang w:bidi="fa-IR"/>
        </w:rPr>
        <w:lastRenderedPageBreak/>
        <w:t>فصل سوم: روش پژوهش</w:t>
      </w:r>
      <w:bookmarkEnd w:id="78"/>
    </w:p>
    <w:p w14:paraId="1E04641F"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9" w:name="_Toc238572060"/>
      <w:r>
        <w:rPr>
          <w:rFonts w:ascii="Times New Roman" w:hAnsi="Times New Roman" w:cs="B Titr" w:eastAsia="Times New Roman"/>
          <w:b/>
          <w:bCs/>
          <w:color w:val="000000"/>
          <w:sz w:val="30"/>
          <w:szCs w:val="30"/>
          <w:rtl/>
          <w:cs/>
          <w:lang w:bidi="fa-IR"/>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tl/>
        </w:rPr>
        <w:t xml:space="preserve">پژوهش حاضر با توجه به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۳-۲- جامعه، نمونه و روش نمونه‌گیری</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Fonts w:ascii="Times New Roman" w:eastAsia="Times New Roman" w:hAnsi="Times New Roman" w:hint="cs" w:cs="Times New Roman"/>
          <w:vertAlign w:val="superscript"/>
          <w:lang w:bidi="fa-IR" w:val="en-US"/>
          <w:sz w:val="20"/>
          <w:szCs w:val="20"/>
          <w:rtl w:val="0"/>
        </w:rPr>
        <w:footnoteReference w:id="81"/>
      </w:r>
      <w:r>
        <w:rPr>
          <w:rFonts w:ascii="Times New Roman" w:eastAsia="Times New Roman" w:hAnsi="Times New Roman" w:hint="cs"/>
          <w:lang w:bidi="fa-IR"/>
          <w:rtl/>
        </w:rPr>
        <w:t xml:space="preserve"> و مورگان ۱۹۷۰ استفاده شد. بر اساس این جدول و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حجم جامعه آماری ۱۰۰ نفر، حجم نمونه ۸۰ نفر به روش نمونه گیری در دسترس در نظر گرفته شد.</w:t>
      </w:r>
    </w:p>
    <w:p w14:paraId="607D4DDA"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1" w:name="_Toc238572062"/>
      <w:r>
        <w:rPr>
          <w:rFonts w:ascii="Times New Roman" w:hAnsi="Times New Roman" w:cs="B Titr" w:eastAsia="Times New Roman"/>
          <w:b/>
          <w:bCs/>
          <w:color w:val="000000"/>
          <w:sz w:val="30"/>
          <w:szCs w:val="30"/>
          <w:rtl/>
          <w:cs/>
          <w:lang w:bidi="fa-IR"/>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82" w:name="_Toc238572063"/>
      <w:r>
        <w:rPr>
          <w:rFonts w:ascii="Times New Roman" w:hAnsi="Times New Roman" w:cs="B Titr" w:eastAsia="Times New Roman"/>
          <w:b/>
          <w:bCs/>
          <w:color w:val="000000"/>
          <w:sz w:val="30"/>
          <w:szCs w:val="30"/>
          <w:rtl/>
          <w:cs/>
          <w:lang w:bidi="fa-IR"/>
        </w:rPr>
        <w:t>۳-۳-۱- پرسشنامه هوش معنوی کینگ:</w:t>
      </w:r>
      <w:bookmarkEnd w:id="82"/>
    </w:p>
    <w:p>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همچنین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w:t>
      </w:r>
      <w:r>
        <w:rPr>
          <w:rFonts w:ascii="Times New Roman" w:hAnsi="Times New Roman" w:hint="cs"/>
          <w:lang w:bidi="fa-IR"/>
          <w:rtl/>
        </w:rPr>
        <w:t xml:space="preserve"> </w:t>
      </w:r>
      <w:r>
        <w:rPr>
          <w:rFonts w:ascii="Times New Roman" w:hAnsi="Times New Roman" w:hint="cs"/>
          <w:lang w:bidi="fa-IR"/>
          <w:rtl/>
        </w:rPr>
        <w:t xml:space="preserve">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۳-۳-۲- پرسشنامه اضطراب مرگ (DAS)</w:t>
      </w:r>
    </w:p>
    <w:p w14:paraId="5A9676E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val="en-US"/>
          <w:sz w:val="20"/>
          <w:szCs w:val="20"/>
          <w:vertAlign w:val="superscript"/>
          <w:rtl w:val="0"/>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۳-۳-۳- پرسشنامه اضطراب سلامتی (HAI)</w:t>
      </w:r>
    </w:p>
    <w:p w14:paraId="228F810E"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val="en-US"/>
          <w:sz w:val="20"/>
          <w:szCs w:val="20"/>
          <w:vertAlign w:val="superscript"/>
          <w:rtl w:val="0"/>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5" w:name="_Toc107794912"/>
      <w:bookmarkStart w:id="86" w:name="_Toc238572066"/>
      <w:r>
        <w:rPr>
          <w:rFonts w:ascii="Times New Roman" w:hAnsi="Times New Roman" w:cs="B Titr" w:eastAsia="Times New Roman"/>
          <w:b/>
          <w:bCs/>
          <w:color w:val="000000"/>
          <w:sz w:val="30"/>
          <w:szCs w:val="30"/>
          <w:rtl/>
          <w:cs/>
          <w:lang w:bidi="fa-IR"/>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tl/>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lastRenderedPageBreak/>
        <w:t xml:space="preserve"/>
      </w:r>
    </w:p>
    <w:p w14:paraId="0D5FE1E8"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8" w:name="_Toc238572067"/>
      <w:r>
        <w:rPr>
          <w:rFonts w:ascii="Times New Roman" w:hAnsi="Times New Roman" w:cs="B Titr" w:eastAsia="Times New Roman"/>
          <w:b/>
          <w:bCs/>
          <w:color w:val="000000"/>
          <w:sz w:val="30"/>
          <w:szCs w:val="30"/>
          <w:rtl/>
          <w:cs/>
          <w:lang w:bidi="fa-IR"/>
        </w:rPr>
        <w:t xml:space="preserve">۳-۵- روش تجزیه و تحلیل داده‌ها</w:t>
      </w:r>
      <w:bookmarkEnd w:id="87"/>
      <w:bookmarkEnd w:id="88"/>
    </w:p>
    <w:p w14:paraId="326A488A"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(با توجه به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89" w:name="_Toc238572068"/>
      <w:r>
        <w:rPr>
          <w:rFonts w:ascii="Times New Roman" w:hAnsi="Times New Roman" w:cs="B Titr" w:eastAsia="Times New Roman"/>
          <w:b/>
          <w:bCs/>
          <w:color w:val="000000"/>
          <w:sz w:val="56"/>
          <w:szCs w:val="56"/>
          <w:rtl/>
          <w:cs/>
          <w:lang w:bidi="fa-IR"/>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۴-۱- یافته‌های توصیفی</w:t>
      </w:r>
    </w:p>
    <w:p w14:paraId="03618880" w14:textId="77777777">
      <w:pPr>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1" w:name="_Toc106471882"/>
      <w:bookmarkStart w:id="92" w:name="_Toc238572104"/>
      <w:bookmarkEnd w:id="91"/>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t>۱</w:t>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شاخص‌های</w:t>
      </w:r>
      <w:r>
        <w:rPr>
          <w:rFonts w:cs="B Lotus" w:ascii="Times New Roman" w:hAnsi="Times New Roman" w:eastAsia="Times New Roman"/>
          <w:b/>
          <w:bCs/>
          <w:color w:val="000000"/>
          <w:sz w:val="24"/>
          <w:szCs w:val="24"/>
          <w:rtl/>
          <w:cs/>
          <w:lang w:bidi="fa-IR"/>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132E64DC"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3" w:name="_Toc106471883"/>
      <w:bookmarkStart w:id="94" w:name="_Toc238572105"/>
      <w:bookmarkEnd w:id="93"/>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۲</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شاخص‌های</w:t>
      </w:r>
      <w:r>
        <w:rPr>
          <w:rFonts w:cs="B Lotus" w:ascii="Times New Roman" w:hAnsi="Times New Roman" w:eastAsia="Times New Roman"/>
          <w:b/>
          <w:bCs/>
          <w:color w:val="000000"/>
          <w:sz w:val="24"/>
          <w:szCs w:val="24"/>
          <w:rtl/>
          <w:cs/>
          <w:lang w:bidi="fa-IR"/>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bidi/>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1563" w:type="pct"/>
            <w:vAlign w:val="center"/>
          </w:tcPr>
          <w:p w14:paraId="7A21A8A7"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641" w:type="pct"/>
            <w:vAlign w:val="center"/>
          </w:tcPr>
          <w:p w14:paraId="784FFF82"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0CAED133"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5" w:name="_Toc238572106"/>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۳</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فراوانی و درصد شرکت </w:t>
      </w:r>
      <w:r>
        <w:rPr>
          <w:rFonts w:cs="B Lotus" w:ascii="Times New Roman" w:hAnsi="Times New Roman" w:eastAsia="Times New Roman"/>
          <w:b/>
          <w:bCs/>
          <w:color w:val="000000"/>
          <w:sz w:val="24"/>
          <w:szCs w:val="24"/>
          <w:rtl/>
          <w:cs/>
          <w:lang w:bidi="fa-IR"/>
        </w:rPr>
        <w:t>کنندگان</w:t>
      </w:r>
      <w:r>
        <w:rPr>
          <w:rFonts w:cs="B Lotus" w:ascii="Times New Roman" w:hAnsi="Times New Roman" w:eastAsia="Times New Roman"/>
          <w:b/>
          <w:bCs/>
          <w:color w:val="000000"/>
          <w:sz w:val="24"/>
          <w:szCs w:val="24"/>
          <w:rtl/>
          <w:cs/>
          <w:lang w:bidi="fa-IR"/>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26455BE8" w14:textId="77777777">
      <w:pPr>
        <w:keepNext/>
        <w:autoSpaceDE/>
        <w:autoSpaceDN/>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7" w:name="_Toc238572107"/>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۴</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شاخص‌های</w:t>
      </w:r>
      <w:r>
        <w:rPr>
          <w:rFonts w:cs="B Lotus" w:ascii="Times New Roman" w:hAnsi="Times New Roman" w:eastAsia="Times New Roman"/>
          <w:b/>
          <w:bCs/>
          <w:color w:val="000000"/>
          <w:sz w:val="24"/>
          <w:szCs w:val="24"/>
          <w:rtl/>
          <w:cs/>
          <w:lang w:bidi="fa-IR"/>
        </w:rPr>
        <w:t xml:space="preserve"> توصیفی مربوط به سن شرکت </w:t>
      </w:r>
      <w:r>
        <w:rPr>
          <w:rFonts w:cs="B Lotus" w:ascii="Times New Roman" w:hAnsi="Times New Roman" w:eastAsia="Times New Roman"/>
          <w:b/>
          <w:bCs/>
          <w:color w:val="000000"/>
          <w:sz w:val="24"/>
          <w:szCs w:val="24"/>
          <w:rtl/>
          <w:cs/>
          <w:lang w:bidi="fa-IR"/>
        </w:rPr>
        <w:t>کنندگان</w:t>
      </w:r>
      <w:r>
        <w:rPr>
          <w:rFonts w:cs="B Lotus" w:ascii="Times New Roman" w:hAnsi="Times New Roman" w:eastAsia="Times New Roman"/>
          <w:b/>
          <w:bCs/>
          <w:color w:val="000000"/>
          <w:sz w:val="24"/>
          <w:szCs w:val="24"/>
          <w:rtl/>
          <w:cs/>
          <w:lang w:bidi="fa-IR"/>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۸۵</w:t>
            </w:r>
          </w:p>
        </w:tc>
      </w:tr>
    </w:tbl>
    <w:p w14:paraId="7159037D" w14:textId="77777777">
      <w:pPr>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13" w:name="_Toc238572108"/>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۵</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bidi/>
              <w:spacing w:after="0" w:line="240" w:lineRule="auto"/>
              <w:jc w:val="right"/>
              <w:rPr>
                <w:b/>
                <w:bCs/>
                <w:color w:val="auto"/>
                <w:lang w:bidi="fa-IR"/>
              </w:rPr>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bidi/>
              <w:spacing w:after="0" w:line="240" w:lineRule="auto"/>
              <w:jc w:val="right"/>
              <w:rPr>
                <w:b/>
                <w:bCs/>
                <w:color w:val="auto"/>
                <w:lang w:bidi="fa-IR"/>
              </w:rPr>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bidi/>
              <w:spacing w:after="0" w:line="240" w:lineRule="auto"/>
              <w:jc w:val="right"/>
              <w:rPr>
                <w:b/>
                <w:bCs/>
                <w:color w:val="auto"/>
                <w:lang w:bidi="fa-IR"/>
              </w:rPr>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bidi/>
              <w:spacing w:after="0" w:line="240" w:lineRule="auto"/>
              <w:jc w:val="right"/>
              <w:rPr>
                <w:b/>
                <w:bCs/>
                <w:color w:val="auto"/>
                <w:lang w:bidi="fa-IR"/>
              </w:rPr>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bidi/>
              <w:spacing w:after="0" w:line="240" w:lineRule="auto"/>
              <w:jc w:val="right"/>
              <w:rPr>
                <w:b/>
                <w:bCs/>
                <w:color w:val="auto"/>
                <w:lang w:bidi="fa-IR"/>
              </w:rPr>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bidi/>
              <w:spacing w:after="0" w:line="240" w:lineRule="auto"/>
              <w:jc w:val="right"/>
              <w:rPr>
                <w:b/>
                <w:bCs/>
                <w:color w:val="auto"/>
                <w:lang w:bidi="fa-IR"/>
              </w:rPr>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bidi/>
              <w:spacing w:after="0" w:line="240" w:lineRule="auto"/>
              <w:jc w:val="center"/>
              <w:rPr>
                <w:b/>
                <w:bCs/>
                <w:color w:val="auto"/>
                <w:lang w:bidi="fa-IR"/>
              </w:rPr>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bidi/>
              <w:spacing w:after="0" w:line="240" w:lineRule="auto"/>
              <w:jc w:val="center"/>
              <w:rPr>
                <w:b/>
                <w:bCs/>
                <w:color w:val="auto"/>
                <w:lang w:bidi="fa-IR"/>
              </w:rPr>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bidi/>
              <w:spacing w:after="0" w:line="240" w:lineRule="auto"/>
              <w:jc w:val="center"/>
              <w:rPr>
                <w:b/>
                <w:bCs/>
                <w:color w:val="auto"/>
                <w:lang w:bidi="fa-IR"/>
              </w:rPr>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bidi/>
              <w:spacing w:after="0" w:line="240" w:lineRule="auto"/>
              <w:jc w:val="center"/>
              <w:rPr>
                <w:b/>
                <w:bCs/>
                <w:color w:val="auto"/>
                <w:lang w:bidi="fa-IR"/>
              </w:rPr>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bidi/>
              <w:spacing w:after="0" w:line="240" w:lineRule="auto"/>
              <w:jc w:val="right"/>
              <w:rPr>
                <w:b/>
                <w:bCs/>
                <w:color w:val="auto"/>
                <w:lang w:bidi="fa-IR"/>
              </w:rPr>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bidi/>
              <w:spacing w:after="0" w:line="240" w:lineRule="auto"/>
              <w:jc w:val="center"/>
              <w:rPr>
                <w:b/>
                <w:bCs/>
                <w:color w:val="auto"/>
                <w:lang w:bidi="fa-IR"/>
              </w:rPr>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bidi/>
              <w:spacing w:after="0" w:line="240" w:lineRule="auto"/>
              <w:jc w:val="center"/>
              <w:rPr>
                <w:b/>
                <w:bCs/>
                <w:color w:val="auto"/>
                <w:lang w:bidi="fa-IR"/>
              </w:rPr>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bidi/>
              <w:spacing w:after="0" w:line="240" w:lineRule="auto"/>
              <w:jc w:val="center"/>
              <w:rPr>
                <w:b/>
                <w:bCs/>
                <w:color w:val="auto"/>
                <w:lang w:bidi="fa-IR"/>
              </w:rPr>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bidi/>
              <w:spacing w:after="0" w:line="240" w:lineRule="auto"/>
              <w:jc w:val="center"/>
              <w:rPr>
                <w:b/>
                <w:bCs/>
                <w:color w:val="auto"/>
                <w:lang w:bidi="fa-IR"/>
              </w:rPr>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bidi/>
              <w:spacing w:after="0" w:line="240" w:lineRule="auto"/>
              <w:jc w:val="right"/>
              <w:rPr>
                <w:b/>
                <w:bCs/>
                <w:color w:val="auto"/>
                <w:lang w:bidi="fa-IR"/>
              </w:rPr>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bidi/>
              <w:spacing w:after="0" w:line="240" w:lineRule="auto"/>
              <w:jc w:val="center"/>
              <w:rPr>
                <w:b/>
                <w:bCs/>
                <w:color w:val="auto"/>
                <w:lang w:bidi="fa-IR"/>
              </w:rPr>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bidi/>
              <w:spacing w:after="0" w:line="240" w:lineRule="auto"/>
              <w:jc w:val="center"/>
              <w:rPr>
                <w:b/>
                <w:bCs/>
                <w:color w:val="auto"/>
                <w:lang w:bidi="fa-IR"/>
              </w:rPr>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bidi/>
              <w:spacing w:after="0" w:line="240" w:lineRule="auto"/>
              <w:jc w:val="center"/>
              <w:rPr>
                <w:b/>
                <w:bCs/>
                <w:color w:val="auto"/>
                <w:lang w:bidi="fa-IR"/>
              </w:rPr>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bidi/>
              <w:spacing w:after="0" w:line="240" w:lineRule="auto"/>
              <w:jc w:val="center"/>
              <w:rPr>
                <w:b/>
                <w:bCs/>
                <w:color w:val="auto"/>
                <w:lang w:bidi="fa-IR"/>
              </w:rPr>
            </w:pPr>
            <w:bookmarkStart w:id="133" w:name="_Toc238572089"/>
            <w:r>
              <w:rPr>
                <w:rFonts w:ascii="Times New Roman" w:hAnsi="Times New Roman" w:hint="cs"/>
                <w:sz w:val="24"/>
                <w:szCs w:val="24"/>
                <w:lang w:bidi="fa-IR"/>
                <w:rtl/>
              </w:rPr>
              <w:t>۷۰</w:t>
            </w:r>
            <w:bookmarkEnd w:id="133"/>
          </w:p>
        </w:tc>
      </w:tr>
    </w:tbl>
    <w:p w14:paraId="55108278" w14:textId="77777777">
      <w:pPr>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pPr>
        <w:pStyle w:val="Heading2"/>
        <w:bidi w:val="1"/>
        <w:spacing w:before="240" w:after="100" w:line="276" w:lineRule="auto"/>
        <w:ind w:firstLine="397"/>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۴-۲- یافته‌های استنباطی</w:t>
      </w:r>
    </w:p>
    <w:p w14:paraId="0151E1D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138" w:name="_Toc238572092"/>
      <w:r>
        <w:rPr>
          <w:rFonts w:ascii="Times New Roman" w:hAnsi="Times New Roman" w:cs="B Titr" w:eastAsia="Times New Roman"/>
          <w:b/>
          <w:bCs/>
          <w:color w:val="000000"/>
          <w:sz w:val="30"/>
          <w:szCs w:val="30"/>
          <w:rtl/>
          <w:cs/>
          <w:lang w:bidi="fa-IR"/>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39" w:name="_Toc238572109"/>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۶</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ضرایب</w:t>
      </w:r>
      <w:r>
        <w:rPr>
          <w:rFonts w:cs="B Lotus" w:ascii="Times New Roman" w:hAnsi="Times New Roman" w:eastAsia="Times New Roman"/>
          <w:b/>
          <w:bCs/>
          <w:color w:val="000000"/>
          <w:sz w:val="24"/>
          <w:szCs w:val="24"/>
          <w:rtl/>
          <w:cs/>
          <w:lang w:bidi="fa-IR"/>
        </w:rPr>
        <w:t xml:space="preserve"> همبستگی </w:t>
      </w:r>
      <w:r>
        <w:rPr>
          <w:rFonts w:cs="B Lotus" w:ascii="Times New Roman" w:hAnsi="Times New Roman" w:eastAsia="Times New Roman"/>
          <w:b/>
          <w:bCs/>
          <w:color w:val="000000"/>
          <w:sz w:val="24"/>
          <w:szCs w:val="24"/>
          <w:rtl/>
          <w:cs/>
          <w:lang w:bidi="fa-IR"/>
        </w:rPr>
        <w:t>پیرسون</w:t>
      </w:r>
      <w:r>
        <w:rPr>
          <w:rFonts w:cs="B Lotus" w:ascii="Times New Roman" w:hAnsi="Times New Roman" w:eastAsia="Times New Roman"/>
          <w:b/>
          <w:bCs/>
          <w:color w:val="000000"/>
          <w:sz w:val="24"/>
          <w:szCs w:val="24"/>
          <w:rtl/>
          <w:cs/>
          <w:lang w:bidi="fa-IR"/>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bidi/>
              <w:spacing w:after="0" w:line="240" w:lineRule="auto"/>
              <w:jc w:val="right"/>
              <w:rPr>
                <w:color w:val="auto"/>
                <w:lang w:bidi="fa-IR"/>
              </w:rPr>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bidi/>
              <w:spacing w:after="0" w:line="240" w:lineRule="auto"/>
              <w:jc w:val="center"/>
              <w:rPr>
                <w:color w:val="auto"/>
                <w:lang w:bidi="fa-IR"/>
              </w:rPr>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bidi/>
              <w:spacing w:after="0" w:line="240" w:lineRule="auto"/>
              <w:jc w:val="center"/>
              <w:rPr>
                <w:color w:val="auto"/>
                <w:lang w:bidi="fa-IR"/>
              </w:rPr>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bidi/>
              <w:spacing w:after="0" w:line="240" w:lineRule="auto"/>
              <w:jc w:val="center"/>
              <w:rPr>
                <w:color w:val="auto"/>
                <w:lang w:bidi="fa-IR"/>
              </w:rPr>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bidi/>
              <w:spacing w:after="0" w:line="240" w:lineRule="auto"/>
              <w:jc w:val="center"/>
              <w:rPr>
                <w:color w:val="auto"/>
                <w:lang w:bidi="fa-IR"/>
              </w:rPr>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bidi/>
              <w:spacing w:after="0" w:line="240" w:lineRule="auto"/>
              <w:jc w:val="center"/>
              <w:rPr>
                <w:color w:val="auto"/>
                <w:lang w:bidi="fa-IR"/>
              </w:rPr>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bidi/>
              <w:spacing w:after="0" w:line="240" w:lineRule="auto"/>
              <w:jc w:val="center"/>
              <w:rPr>
                <w:color w:val="auto"/>
                <w:lang w:bidi="fa-IR"/>
              </w:rPr>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bidi/>
              <w:spacing w:after="0" w:line="240" w:lineRule="auto"/>
              <w:jc w:val="right"/>
              <w:rPr>
                <w:rFonts w:ascii="B Lotus" w:hAnsi="Times New Roman"/>
                <w:color w:val="auto"/>
                <w:lang w:bidi="fa-IR"/>
              </w:rPr>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7C6D0717" w14:textId="77777777">
            <w:pPr>
              <w:bidi/>
              <w:spacing w:after="0" w:line="240" w:lineRule="auto"/>
              <w:jc w:val="center"/>
              <w:rPr>
                <w:color w:val="auto"/>
                <w:lang w:bidi="fa-IR"/>
              </w:rPr>
            </w:pPr>
          </w:p>
        </w:tc>
        <w:tc>
          <w:tcPr>
            <w:tcW w:w="663" w:type="pct"/>
            <w:shd w:val="clear" w:color="auto" w:fill="E6EED5"/>
            <w:vAlign w:val="center"/>
          </w:tcPr>
          <w:p w14:paraId="7DB5F982" w14:textId="77777777">
            <w:pPr>
              <w:bidi/>
              <w:spacing w:after="0" w:line="240" w:lineRule="auto"/>
              <w:jc w:val="center"/>
              <w:rPr>
                <w:color w:val="auto"/>
                <w:lang w:bidi="fa-IR"/>
              </w:rPr>
            </w:pPr>
          </w:p>
        </w:tc>
        <w:tc>
          <w:tcPr>
            <w:tcW w:w="663" w:type="pct"/>
            <w:shd w:val="clear" w:color="auto" w:fill="E6EED5"/>
            <w:vAlign w:val="center"/>
          </w:tcPr>
          <w:p w14:paraId="4931EFAE" w14:textId="77777777">
            <w:pPr>
              <w:bidi/>
              <w:spacing w:after="0" w:line="240" w:lineRule="auto"/>
              <w:jc w:val="center"/>
              <w:rPr>
                <w:color w:val="auto"/>
                <w:lang w:bidi="fa-IR"/>
              </w:rPr>
            </w:pPr>
          </w:p>
        </w:tc>
        <w:tc>
          <w:tcPr>
            <w:tcW w:w="663" w:type="pct"/>
            <w:shd w:val="clear" w:color="auto" w:fill="E6EED5"/>
            <w:vAlign w:val="center"/>
          </w:tcPr>
          <w:p w14:paraId="1BC4BF01" w14:textId="77777777">
            <w:pPr>
              <w:bidi/>
              <w:spacing w:after="0" w:line="240" w:lineRule="auto"/>
              <w:jc w:val="center"/>
              <w:rPr>
                <w:color w:val="auto"/>
                <w:lang w:bidi="fa-IR"/>
              </w:rPr>
            </w:pPr>
          </w:p>
        </w:tc>
        <w:tc>
          <w:tcPr>
            <w:tcW w:w="410" w:type="pct"/>
            <w:shd w:val="clear" w:color="auto" w:fill="E6EED5"/>
            <w:vAlign w:val="center"/>
          </w:tcPr>
          <w:p w14:paraId="65E04634" w14:textId="77777777">
            <w:pPr>
              <w:bidi/>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bidi/>
              <w:spacing w:after="0" w:line="240" w:lineRule="auto"/>
              <w:jc w:val="right"/>
              <w:rPr>
                <w:color w:val="auto"/>
                <w:lang w:bidi="fa-IR"/>
              </w:rPr>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5B2D75B" w14:textId="77777777">
            <w:pPr>
              <w:bidi/>
              <w:spacing w:after="0" w:line="240" w:lineRule="auto"/>
              <w:jc w:val="center"/>
              <w:rPr>
                <w:color w:val="auto"/>
                <w:lang w:bidi="fa-IR"/>
              </w:rPr>
            </w:pPr>
          </w:p>
        </w:tc>
        <w:tc>
          <w:tcPr>
            <w:tcW w:w="663" w:type="pct"/>
            <w:vAlign w:val="center"/>
          </w:tcPr>
          <w:p w14:paraId="58FC7C9F" w14:textId="77777777">
            <w:pPr>
              <w:bidi/>
              <w:spacing w:after="0" w:line="240" w:lineRule="auto"/>
              <w:jc w:val="center"/>
              <w:rPr>
                <w:color w:val="auto"/>
                <w:lang w:bidi="fa-IR"/>
              </w:rPr>
            </w:pPr>
          </w:p>
        </w:tc>
        <w:tc>
          <w:tcPr>
            <w:tcW w:w="663" w:type="pct"/>
            <w:vAlign w:val="center"/>
          </w:tcPr>
          <w:p w14:paraId="6945D34D" w14:textId="77777777">
            <w:pPr>
              <w:bidi/>
              <w:spacing w:after="0" w:line="240" w:lineRule="auto"/>
              <w:jc w:val="center"/>
              <w:rPr>
                <w:color w:val="auto"/>
                <w:lang w:bidi="fa-IR"/>
              </w:rPr>
            </w:pPr>
          </w:p>
        </w:tc>
        <w:tc>
          <w:tcPr>
            <w:tcW w:w="410" w:type="pct"/>
            <w:vAlign w:val="center"/>
          </w:tcPr>
          <w:p w14:paraId="36C80E42" w14:textId="77777777">
            <w:pPr>
              <w:bidi/>
              <w:spacing w:after="0" w:line="240" w:lineRule="auto"/>
              <w:jc w:val="center"/>
              <w:rPr>
                <w:color w:val="auto"/>
                <w:lang w:bidi="fa-IR"/>
              </w:rPr>
            </w:pPr>
          </w:p>
        </w:tc>
      </w:tr>
      <w:tr w14:paraId="2013374B" w14:textId="77777777">
        <w:trPr>
          <w:cantSplit/>
          <w:jc w:val="center"/>
        </w:trPr>
        <w:tc>
          <w:tcPr>
            <w:tcW w:w="1276" w:type="pct"/>
            <w:shd w:val="clear" w:color="auto" w:fill="E6EED5"/>
            <w:vAlign w:val="center"/>
          </w:tcPr>
          <w:p w14:paraId="7AB7A127" w14:textId="77777777">
            <w:pPr>
              <w:bidi/>
              <w:spacing w:after="0" w:line="240" w:lineRule="auto"/>
              <w:jc w:val="right"/>
              <w:rPr>
                <w:color w:val="auto"/>
                <w:lang w:bidi="fa-IR"/>
              </w:rPr>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667F5150" w14:textId="77777777">
            <w:pPr>
              <w:bidi/>
              <w:spacing w:after="0" w:line="240" w:lineRule="auto"/>
              <w:jc w:val="center"/>
              <w:rPr>
                <w:color w:val="auto"/>
                <w:lang w:bidi="fa-IR"/>
              </w:rPr>
            </w:pPr>
          </w:p>
        </w:tc>
        <w:tc>
          <w:tcPr>
            <w:tcW w:w="663" w:type="pct"/>
            <w:shd w:val="clear" w:color="auto" w:fill="E6EED5"/>
            <w:vAlign w:val="center"/>
          </w:tcPr>
          <w:p w14:paraId="3D5F5D3A" w14:textId="77777777">
            <w:pPr>
              <w:bidi/>
              <w:spacing w:after="0" w:line="240" w:lineRule="auto"/>
              <w:jc w:val="center"/>
              <w:rPr>
                <w:color w:val="auto"/>
                <w:lang w:bidi="fa-IR"/>
              </w:rPr>
            </w:pPr>
          </w:p>
        </w:tc>
        <w:tc>
          <w:tcPr>
            <w:tcW w:w="410" w:type="pct"/>
            <w:shd w:val="clear" w:color="auto" w:fill="E6EED5"/>
            <w:vAlign w:val="center"/>
          </w:tcPr>
          <w:p w14:paraId="0E885AE2" w14:textId="77777777">
            <w:pPr>
              <w:bidi/>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bidi/>
              <w:spacing w:after="0" w:line="240" w:lineRule="auto"/>
              <w:jc w:val="right"/>
              <w:rPr>
                <w:color w:val="auto"/>
                <w:lang w:bidi="fa-IR"/>
              </w:rPr>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735C885" w14:textId="77777777">
            <w:pPr>
              <w:bidi/>
              <w:spacing w:after="0" w:line="240" w:lineRule="auto"/>
              <w:jc w:val="center"/>
              <w:rPr>
                <w:color w:val="auto"/>
                <w:lang w:bidi="fa-IR"/>
              </w:rPr>
            </w:pPr>
          </w:p>
        </w:tc>
        <w:tc>
          <w:tcPr>
            <w:tcW w:w="410" w:type="pct"/>
            <w:vAlign w:val="center"/>
          </w:tcPr>
          <w:p w14:paraId="555A5CE6" w14:textId="77777777">
            <w:pPr>
              <w:bidi/>
              <w:spacing w:after="0" w:line="240" w:lineRule="auto"/>
              <w:jc w:val="center"/>
              <w:rPr>
                <w:color w:val="auto"/>
                <w:lang w:bidi="fa-IR"/>
              </w:rPr>
            </w:pPr>
          </w:p>
        </w:tc>
      </w:tr>
      <w:tr w14:paraId="67A7CE23" w14:textId="77777777">
        <w:trPr>
          <w:cantSplit/>
          <w:jc w:val="center"/>
        </w:trPr>
        <w:tc>
          <w:tcPr>
            <w:tcW w:w="1276" w:type="pct"/>
            <w:shd w:val="clear" w:color="auto" w:fill="E6EED5"/>
            <w:vAlign w:val="center"/>
          </w:tcPr>
          <w:p w14:paraId="5FCBD661" w14:textId="77777777">
            <w:pPr>
              <w:bidi/>
              <w:spacing w:after="0" w:line="240" w:lineRule="auto"/>
              <w:jc w:val="right"/>
              <w:rPr>
                <w:color w:val="auto"/>
                <w:lang w:bidi="fa-IR"/>
              </w:rPr>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410" w:type="pct"/>
            <w:shd w:val="clear" w:color="auto" w:fill="E6EED5"/>
            <w:vAlign w:val="center"/>
          </w:tcPr>
          <w:p w14:paraId="4B32670A" w14:textId="77777777">
            <w:pPr>
              <w:bidi/>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bidi/>
              <w:spacing w:after="0" w:line="240" w:lineRule="auto"/>
              <w:jc w:val="right"/>
              <w:rPr>
                <w:color w:val="auto"/>
                <w:lang w:bidi="fa-IR"/>
              </w:rPr>
            </w:pPr>
            <w:r>
              <w:rPr>
                <w:rFonts w:ascii="Times New Roman" w:hAnsi="Times New Roman" w:hint="cs"/>
                <w:sz w:val="24"/>
                <w:szCs w:val="24"/>
                <w:lang w:bidi="fa-IR"/>
                <w:rtl/>
              </w:rPr>
              <w:t>۶. اضطراب مرگ</w:t>
            </w:r>
          </w:p>
        </w:tc>
        <w:tc>
          <w:tcPr>
            <w:tcW w:w="663" w:type="pct"/>
            <w:vAlign w:val="center"/>
          </w:tcPr>
          <w:p w14:paraId="195D80C7"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bidi/>
              <w:spacing w:after="0" w:line="240" w:lineRule="auto"/>
              <w:jc w:val="center"/>
              <w:rPr>
                <w:color w:val="auto"/>
                <w:vertAlign w:val="superscript"/>
                <w:lang w:bidi="fa-IR"/>
              </w:rPr>
            </w:pPr>
            <w:r>
              <w:rPr>
                <w:rFonts w:ascii="Times New Roman" w:hAnsi="Times New Roman" w:hint="cs"/>
                <w:sz w:val="24"/>
                <w:szCs w:val="24"/>
                <w:lang w:bidi="fa-IR"/>
                <w:rtl/>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r)</w:t>
      </w:r>
      <w:r>
        <w:rPr>
          <w:rFonts w:ascii="Times New Roman" w:hAnsi="Times New Roman" w:hint="cs"/>
          <w:lang w:bidi="fa-IR"/>
          <w:rtl/>
        </w:rPr>
        <w:t>، ایجاد معنای شخصی (۴۵/۰-=</w:t>
      </w:r>
      <w:r>
        <w:rPr>
          <w:rFonts w:ascii="Times New Roman" w:hAnsi="Times New Roman" w:hint="cs"/>
          <w:lang w:bidi="fa-IR" w:val="en-US"/>
          <w:rtl w:val="0"/>
        </w:rPr>
        <w:t>r)</w:t>
      </w:r>
      <w:r>
        <w:rPr>
          <w:rFonts w:ascii="Times New Roman" w:hAnsi="Times New Roman" w:hint="cs"/>
          <w:lang w:bidi="fa-IR"/>
          <w:rtl/>
        </w:rPr>
        <w:t>، آگاهی متعالی (۳۱/۰-=</w:t>
      </w:r>
      <w:r>
        <w:rPr>
          <w:rFonts w:ascii="Times New Roman" w:hAnsi="Times New Roman" w:hint="cs"/>
          <w:lang w:bidi="fa-IR" w:val="en-US"/>
          <w:rtl w:val="0"/>
        </w:rPr>
        <w:t>r)</w:t>
      </w:r>
      <w:r>
        <w:rPr>
          <w:rFonts w:ascii="Times New Roman" w:hAnsi="Times New Roman" w:hint="cs"/>
          <w:lang w:bidi="fa-IR"/>
          <w:rtl/>
        </w:rPr>
        <w:t>، و گسترش حالت هوشیاری (۲۹/۰-=</w:t>
      </w:r>
      <w:r>
        <w:rPr>
          <w:rFonts w:ascii="Times New Roman" w:hAnsi="Times New Roman" w:hint="cs"/>
          <w:lang w:bidi="fa-IR" w:val="en-US"/>
          <w:rtl w:val="0"/>
        </w:rPr>
        <w:t>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w:t>
      </w:r>
      <w:r>
        <w:rPr>
          <w:rFonts w:ascii="Times New Roman" w:hAnsi="Times New Roman" w:hint="cs"/>
          <w:lang w:bidi="fa-IR"/>
          <w:rtl/>
        </w:rPr>
        <w:t xml:space="preserve"> </w:t>
      </w:r>
      <w:r>
        <w:rPr>
          <w:rFonts w:ascii="Times New Roman" w:hAnsi="Times New Roman" w:hint="cs"/>
          <w:lang w:bidi="fa-IR"/>
          <w:rtl/>
        </w:rPr>
        <w:t xml:space="preserve">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بنابراین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140" w:name="_Toc238572093"/>
      <w:r>
        <w:rPr>
          <w:rFonts w:ascii="Times New Roman" w:hAnsi="Times New Roman" w:cs="B Titr" w:eastAsia="Times New Roman"/>
          <w:b/>
          <w:bCs/>
          <w:color w:val="000000"/>
          <w:sz w:val="30"/>
          <w:szCs w:val="30"/>
          <w:rtl/>
          <w:cs/>
          <w:lang w:bidi="fa-IR"/>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45" w:name="_Toc238572110"/>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۷</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bidi/>
              <w:spacing w:after="0" w:line="240" w:lineRule="auto"/>
              <w:jc w:val="center"/>
              <w:rPr>
                <w:rFonts w:ascii="Times New Roman" w:eastAsia="Times New Roman" w:hAnsi="Times New Roman"/>
                <w:color w:val="auto"/>
                <w:lang w:bidi="fa-IR"/>
              </w:rPr>
            </w:pPr>
          </w:p>
        </w:tc>
        <w:tc>
          <w:tcPr>
            <w:tcW w:w="1733" w:type="dxa"/>
            <w:shd w:val="clear" w:color="auto" w:fill="E6EED5"/>
            <w:vAlign w:val="center"/>
          </w:tcPr>
          <w:p w14:paraId="317D13FE" w14:textId="77777777">
            <w:pPr>
              <w:bidi/>
              <w:spacing w:after="0" w:line="240" w:lineRule="auto"/>
              <w:jc w:val="center"/>
              <w:rPr>
                <w:rFonts w:ascii="Times New Roman" w:eastAsia="Times New Roman" w:hAnsi="Times New Roman"/>
                <w:color w:val="auto"/>
                <w:lang w:bidi="fa-IR"/>
              </w:rPr>
            </w:pPr>
          </w:p>
        </w:tc>
        <w:tc>
          <w:tcPr>
            <w:tcW w:w="1734" w:type="dxa"/>
            <w:shd w:val="clear" w:color="auto" w:fill="E6EED5"/>
            <w:vAlign w:val="center"/>
          </w:tcPr>
          <w:p w14:paraId="2674CD38" w14:textId="77777777">
            <w:pPr>
              <w:bidi/>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bidi/>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vAlign w:val="center"/>
          </w:tcPr>
          <w:p w14:paraId="0B0341B9" w14:textId="77777777">
            <w:pPr>
              <w:bidi/>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bidi/>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shd w:val="clear" w:color="auto" w:fill="E6EED5"/>
            <w:vAlign w:val="center"/>
          </w:tcPr>
          <w:p w14:paraId="7129122C"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bidi/>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spacing w:after="0" w:line="276" w:lineRule="auto"/>
        <w:ind w:firstLine="397"/>
        <w:jc w:val="both"/>
        <w:rPr>
          <w:color w:val="auto"/>
          <w:sz w:val="26"/>
          <w:szCs w:val="26"/>
          <w:lang w:bidi="fa-IR"/>
        </w:rPr>
      </w:pPr>
      <w:r>
        <w:rPr>
          <w:rFonts w:ascii="Times New Roman" w:hAnsi="Times New Roman" w:hint="cs"/>
          <w:lang w:bidi="fa-IR"/>
          <w:rtl/>
        </w:rPr>
        <w:t>بر اساس نتایج جدول ۴-۷ بین اضطراب مرگ سالمندان با احتمال ابتلا به بیماری (۴۹/۰=</w:t>
      </w:r>
      <w:r>
        <w:rPr>
          <w:rFonts w:ascii="Times New Roman" w:hAnsi="Times New Roman" w:hint="cs"/>
          <w:lang w:bidi="fa-IR" w:val="en-US"/>
          <w:rtl w:val="0"/>
        </w:rPr>
        <w:t>r)</w:t>
      </w:r>
      <w:r>
        <w:rPr>
          <w:rFonts w:ascii="Times New Roman" w:hAnsi="Times New Roman" w:hint="cs"/>
          <w:lang w:bidi="fa-IR"/>
          <w:rtl/>
        </w:rPr>
        <w:t>، پیامدهای منفی بیماری (۵۵/۰=</w:t>
      </w:r>
      <w:r>
        <w:rPr>
          <w:rFonts w:ascii="Times New Roman" w:hAnsi="Times New Roman" w:hint="cs"/>
          <w:lang w:bidi="fa-IR" w:val="en-US"/>
          <w:rtl w:val="0"/>
        </w:rPr>
        <w:t xml:space="preserve">r) </w:t>
      </w:r>
      <w:r>
        <w:rPr>
          <w:rFonts w:ascii="Times New Roman" w:hAnsi="Times New Roman" w:hint="cs"/>
          <w:lang w:bidi="fa-IR"/>
          <w:rtl/>
        </w:rPr>
        <w:t>و اضطراب سلامتی کل(۵۸/۰=</w:t>
      </w:r>
      <w:r>
        <w:rPr>
          <w:rFonts w:ascii="Times New Roman" w:hAnsi="Times New Roman" w:hint="cs"/>
          <w:lang w:bidi="fa-IR" w:val="en-US"/>
          <w:rtl w:val="0"/>
        </w:rPr>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w:t>
      </w:r>
      <w:r>
        <w:rPr>
          <w:rFonts w:ascii="Times New Roman" w:hAnsi="Times New Roman" w:hint="cs"/>
          <w:lang w:bidi="fa-IR"/>
          <w:rtl/>
        </w:rPr>
        <w:t xml:space="preserve"> </w:t>
      </w:r>
      <w:r>
        <w:rPr>
          <w:rFonts w:ascii="Times New Roman" w:hAnsi="Times New Roman" w:hint="cs"/>
          <w:lang w:bidi="fa-IR"/>
          <w:rtl/>
        </w:rPr>
        <w:t xml:space="preserve">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بنابراین 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146" w:name="_Toc238572094"/>
      <w:r>
        <w:rPr>
          <w:rFonts w:ascii="Times New Roman" w:hAnsi="Times New Roman" w:cs="B Titr" w:eastAsia="Times New Roman"/>
          <w:b/>
          <w:bCs/>
          <w:color w:val="000000"/>
          <w:sz w:val="30"/>
          <w:szCs w:val="30"/>
          <w:rtl/>
          <w:cs/>
          <w:lang w:bidi="fa-IR"/>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بنابراین 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همچنین 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49" w:name="_Toc238572111"/>
      <w:r>
        <w:rPr>
          <w:rFonts w:cs="B Lotus" w:ascii="Times New Roman" w:hAnsi="Times New Roman" w:eastAsia="Times New Roman"/>
          <w:b/>
          <w:bCs/>
          <w:color w:val="000000"/>
          <w:sz w:val="24"/>
          <w:szCs w:val="24"/>
          <w:rtl/>
          <w:cs/>
          <w:lang w:bidi="fa-IR"/>
        </w:rPr>
        <w:lastRenderedPageBreak/>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۸</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bidi/>
              <w:spacing w:after="0" w:line="240" w:lineRule="auto"/>
              <w:jc w:val="right"/>
              <w:rPr>
                <w:color w:val="auto"/>
                <w:lang w:bidi="fa-IR"/>
              </w:rPr>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bidi/>
              <w:spacing w:after="0" w:line="240" w:lineRule="auto"/>
              <w:jc w:val="right"/>
              <w:rPr>
                <w:color w:val="auto"/>
                <w:lang w:bidi="fa-IR"/>
              </w:rPr>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1298" w:type="dxa"/>
            <w:vAlign w:val="center"/>
          </w:tcPr>
          <w:p w14:paraId="7512E0D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bidi/>
              <w:spacing w:after="0" w:line="240" w:lineRule="auto"/>
              <w:jc w:val="center"/>
              <w:rPr>
                <w:color w:val="auto"/>
                <w:lang w:bidi="fa-IR"/>
              </w:rPr>
            </w:pPr>
          </w:p>
        </w:tc>
        <w:tc>
          <w:tcPr>
            <w:tcW w:w="1298" w:type="dxa"/>
            <w:vAlign w:val="center"/>
          </w:tcPr>
          <w:p w14:paraId="096975BC"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bidi/>
              <w:spacing w:after="0" w:line="240" w:lineRule="auto"/>
              <w:jc w:val="center"/>
              <w:rPr>
                <w:color w:val="auto"/>
                <w:lang w:bidi="fa-IR"/>
              </w:rPr>
            </w:pPr>
            <w:r>
              <w:rPr>
                <w:rFonts w:ascii="Times New Roman" w:hAnsi="Times New Roman" w:hint="cs"/>
                <w:sz w:val="24"/>
                <w:szCs w:val="24"/>
                <w:lang w:bidi="fa-IR"/>
                <w:rtl/>
              </w:rPr>
              <w:t>۲</w:t>
            </w:r>
          </w:p>
        </w:tc>
        <w:tc>
          <w:tcPr>
            <w:tcW w:w="1298" w:type="dxa"/>
            <w:vAlign w:val="center"/>
          </w:tcPr>
          <w:p w14:paraId="5D71AA3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bidi/>
              <w:spacing w:after="0" w:line="240" w:lineRule="auto"/>
              <w:jc w:val="center"/>
              <w:rPr>
                <w:color w:val="auto"/>
                <w:lang w:bidi="fa-IR"/>
              </w:rPr>
            </w:pPr>
          </w:p>
        </w:tc>
        <w:tc>
          <w:tcPr>
            <w:tcW w:w="1298" w:type="dxa"/>
            <w:vAlign w:val="center"/>
          </w:tcPr>
          <w:p w14:paraId="6703FC15"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bidi/>
              <w:spacing w:after="0" w:line="240" w:lineRule="auto"/>
              <w:jc w:val="center"/>
              <w:rPr>
                <w:color w:val="auto"/>
                <w:lang w:bidi="fa-IR"/>
              </w:rPr>
            </w:pPr>
            <w:r>
              <w:rPr>
                <w:rFonts w:ascii="Times New Roman" w:hAnsi="Times New Roman" w:hint="cs"/>
                <w:sz w:val="24"/>
                <w:szCs w:val="24"/>
                <w:lang w:bidi="fa-IR"/>
                <w:rtl/>
              </w:rPr>
              <w:t>۳</w:t>
            </w:r>
          </w:p>
        </w:tc>
        <w:tc>
          <w:tcPr>
            <w:tcW w:w="1298" w:type="dxa"/>
            <w:vAlign w:val="center"/>
          </w:tcPr>
          <w:p w14:paraId="34255E55"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bidi/>
              <w:spacing w:after="0" w:line="240" w:lineRule="auto"/>
              <w:jc w:val="center"/>
              <w:rPr>
                <w:color w:val="auto"/>
                <w:lang w:bidi="fa-IR"/>
              </w:rPr>
            </w:pPr>
          </w:p>
        </w:tc>
        <w:tc>
          <w:tcPr>
            <w:tcW w:w="1298" w:type="dxa"/>
            <w:vAlign w:val="center"/>
          </w:tcPr>
          <w:p w14:paraId="4FAB5638"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bidi/>
              <w:spacing w:after="0" w:line="240" w:lineRule="auto"/>
              <w:jc w:val="center"/>
              <w:rPr>
                <w:color w:val="auto"/>
                <w:lang w:bidi="fa-IR"/>
              </w:rPr>
            </w:pPr>
            <w:r>
              <w:rPr>
                <w:rFonts w:ascii="Times New Roman" w:hAnsi="Times New Roman" w:hint="cs"/>
                <w:sz w:val="24"/>
                <w:szCs w:val="24"/>
                <w:lang w:bidi="fa-IR"/>
                <w:rtl/>
              </w:rPr>
              <w:t>۴</w:t>
            </w:r>
          </w:p>
        </w:tc>
        <w:tc>
          <w:tcPr>
            <w:tcW w:w="1298" w:type="dxa"/>
            <w:vAlign w:val="center"/>
          </w:tcPr>
          <w:p w14:paraId="66CD90AC"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bidi/>
              <w:spacing w:after="0" w:line="240" w:lineRule="auto"/>
              <w:jc w:val="center"/>
              <w:rPr>
                <w:color w:val="auto"/>
                <w:lang w:bidi="fa-IR"/>
              </w:rPr>
            </w:pPr>
          </w:p>
        </w:tc>
        <w:tc>
          <w:tcPr>
            <w:tcW w:w="1298" w:type="dxa"/>
            <w:vAlign w:val="center"/>
          </w:tcPr>
          <w:p w14:paraId="030257E2"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keepNext/>
        <w:autoSpaceDE/>
        <w:autoSpaceDN/>
        <w:bidi w:val="1"/>
        <w:adjustRightInd/>
        <w:spacing w:line="276" w:lineRule="auto"/>
        <w:ind w:firstLine="397"/>
        <w:jc w:val="right"/>
        <w:rPr>
          <w:rFonts w:cs="B Lotus" w:ascii="Times New Roman" w:hAnsi="Times New Roman" w:eastAsia="Times New Roman"/>
          <w:b/>
          <w:bCs/>
          <w:color w:val="000000"/>
          <w:sz w:val="24"/>
          <w:szCs w:val="24"/>
          <w:rtl/>
          <w:cs/>
          <w:lang w:bidi="fa-IR" w:val="en-US"/>
        </w:rPr>
      </w:pPr>
      <w:bookmarkStart w:id="150" w:name="_Toc238572112"/>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۹</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14:paraId="5FFD327B" w14:textId="6E6EF8CE">
      <w:pPr>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 xml:space="preserve">با توجه به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همچنین 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توجه به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b/>
          <w:bCs/>
          <w:color w:val="000000"/>
          <w:sz w:val="56"/>
          <w:szCs w:val="56"/>
          <w:rtl/>
          <w:cs/>
          <w:lang w:bidi="fa-IR"/>
        </w:rPr>
        <w:lastRenderedPageBreak/>
        <w:t>فصل پنجم: بحث و نتیجه‌گیری</w:t>
      </w:r>
      <w:bookmarkEnd w:id="154"/>
    </w:p>
    <w:p w14:paraId="6C2E88EF" w14:textId="77777777">
      <w:pPr>
        <w:pStyle w:val="Heading2"/>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color w:val="000000"/>
          <w:sz w:val="30"/>
          <w:szCs w:val="30"/>
          <w:rtl/>
          <w:cs/>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Style w:val="FootnoteReference"/>
          <w:rFonts w:ascii="Times New Roman" w:eastAsia="Times New Roman" w:hAnsi="Times New Roman" w:hint="cs" w:cs="Times New Roman"/>
          <w:vertAlign w:val="superscript"/>
          <w:lang w:bidi="fa-IR" w:val="en-US"/>
          <w:sz w:val="20"/>
          <w:szCs w:val="20"/>
          <w:rtl w:val="0"/>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pPr>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Style w:val="FootnoteReference"/>
          <w:rFonts w:ascii="Times New Roman" w:hAnsi="Times New Roman" w:hint="cs" w:eastAsia="Times New Roman" w:cs="Times New Roman"/>
          <w:vertAlign w:val="superscript"/>
          <w:lang w:bidi="fa-IR" w:val="en-US"/>
          <w:sz w:val="20"/>
          <w:szCs w:val="20"/>
          <w:rtl w:val="0"/>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Style w:val="FootnoteReference"/>
          <w:rFonts w:ascii="Times New Roman" w:hAnsi="Times New Roman" w:hint="cs" w:eastAsia="Times New Roman" w:cs="Times New Roman"/>
          <w:vertAlign w:val="superscript"/>
          <w:lang w:bidi="fa-IR" w:val="en-US"/>
          <w:sz w:val="20"/>
          <w:szCs w:val="20"/>
          <w:rtl w:val="0"/>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لرزش، لرزیدن، تحریک پذیری، تعریق، حالت تهوع و... است.</w:t>
      </w:r>
      <w:r>
        <w:rPr>
          <w:rFonts w:ascii="Times New Roman" w:hAnsi="Times New Roman" w:hint="cs"/>
          <w:lang w:bidi="fa-IR"/>
          <w:rtl/>
        </w:rPr>
        <w:t xml:space="preserve"> </w:t>
      </w:r>
      <w:r>
        <w:rPr>
          <w:rFonts w:ascii="Times New Roman" w:hAnsi="Times New Roman" w:hint="cs"/>
          <w:lang w:bidi="fa-IR"/>
          <w:rtl/>
        </w:rPr>
        <w:t xml:space="preserve">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r>
        <w:rPr>
          <w:rFonts w:ascii="Times New Roman" w:eastAsia="Times New Roman" w:hAnsi="Times New Roman" w:hint="cs"/>
          <w:lang w:bidi="fa-IR"/>
          <w:rtl/>
        </w:rPr>
        <w:t>،</w:t>
      </w:r>
      <w:r>
        <w:rPr>
          <w:rFonts w:ascii="Times New Roman" w:eastAsia="Times New Roman" w:hAnsi="Times New Roman" w:hint="cs"/>
          <w:lang w:bidi="fa-IR"/>
          <w:rtl/>
        </w:rPr>
        <w:t xml:space="preserve"> از منظر نظری و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pPr>
        <w:pStyle w:val="Heading2"/>
        <w:bidi w:val="1"/>
        <w:spacing w:before="240" w:after="100" w:line="276" w:lineRule="auto"/>
        <w:jc w:val="right"/>
        <w:rPr>
          <w:rFonts w:ascii="Times New Roman" w:hAnsi="Times New Roman" w:eastAsia="Times New Roman" w:cs="B Titr"/>
          <w:b/>
          <w:bCs/>
          <w:color w:val="000000"/>
          <w:sz w:val="30"/>
          <w:szCs w:val="30"/>
          <w:rtl/>
          <w:cs/>
          <w:lang w:bidi="fa-IR" w:val="en-US"/>
        </w:rPr>
      </w:pPr>
      <w:r>
        <w:rPr>
          <w:rFonts w:ascii="Times New Roman" w:hAnsi="Times New Roman" w:cs="B Titr" w:eastAsia="Times New Roman"/>
          <w:b/>
          <w:bCs/>
          <w:color w:val="000000"/>
          <w:sz w:val="30"/>
          <w:szCs w:val="30"/>
          <w:rtl/>
          <w:cs/>
          <w:lang w:bidi="fa-IR"/>
        </w:rPr>
        <w:t>۵-۲- محدودیت‌های تحقیق</w:t>
      </w:r>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از جمله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w:t>
      </w:r>
      <w:r>
        <w:rPr>
          <w:rFonts w:ascii="Times New Roman" w:eastAsia="Times New Roman" w:hAnsi="Times New Roman" w:hint="cs"/>
          <w:lang w:bidi="fa-IR"/>
          <w:rtl/>
        </w:rPr>
        <w:t xml:space="preserve">، 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color w:val="000000"/>
          <w:sz w:val="30"/>
          <w:szCs w:val="30"/>
          <w:rtl/>
          <w:cs/>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color w:val="000000"/>
          <w:sz w:val="30"/>
          <w:szCs w:val="30"/>
          <w:rtl/>
          <w:cs/>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color w:val="000000"/>
          <w:sz w:val="30"/>
          <w:szCs w:val="30"/>
          <w:rtl/>
          <w:cs/>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pPr>
        <w:spacing w:after="0" w:line="276" w:lineRule="auto"/>
        <w:ind w:firstLine="397"/>
        <w:jc w:val="both"/>
        <w:rPr>
          <w:lang w:bidi="fa-IR"/>
        </w:rPr>
      </w:pPr>
      <w:r>
        <w:rPr>
          <w:rFonts w:ascii="Times New Roman" w:hAnsi="Times New Roman" w:hint="cs"/>
          <w:lang w:bidi="fa-IR"/>
          <w:rtl/>
        </w:rPr>
        <w:t xml:space="preserve">_ </w:t>
      </w:r>
      <w:r>
        <w:rPr>
          <w:rFonts w:ascii="Times New Roman" w:hAnsi="Times New Roman" w:hint="cs"/>
          <w:lang w:bidi="fa-IR"/>
          <w:rtl/>
        </w:rPr>
        <w:t>بر اساس</w:t>
      </w:r>
      <w:r>
        <w:rPr>
          <w:rFonts w:ascii="Times New Roman" w:hAnsi="Times New Roman" w:hint="cs"/>
          <w:lang w:bidi="fa-IR"/>
          <w:rtl/>
        </w:rPr>
        <w:t xml:space="preserve"> </w:t>
      </w:r>
      <w:r>
        <w:rPr>
          <w:rFonts w:ascii="Times New Roman" w:hAnsi="Times New Roman" w:hint="cs"/>
          <w:lang w:bidi="fa-IR"/>
          <w:rtl/>
        </w:rPr>
        <w:t xml:space="preserve">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bidi w:val="1"/>
        <w:spacing w:after="100" w:line="276" w:lineRule="auto" w:before="0"/>
        <w:jc w:val="right"/>
        <w:rPr>
          <w:rFonts w:ascii="Times New Roman" w:hAnsi="Times New Roman" w:eastAsia="Times New Roman" w:cs="B Titr"/>
          <w:b/>
          <w:bCs/>
          <w:color w:val="000000"/>
          <w:sz w:val="56"/>
          <w:szCs w:val="56"/>
          <w:rtl/>
          <w:cs/>
          <w:lang w:bidi="fa-IR" w:val="en-US"/>
        </w:rPr>
      </w:pPr>
      <w:bookmarkStart w:id="235" w:name="_Toc238572101"/>
      <w:r>
        <w:rPr>
          <w:rFonts w:ascii="Times New Roman" w:hAnsi="Times New Roman" w:cs="B Titr" w:eastAsia="Times New Roman"/>
          <w:b/>
          <w:bCs/>
          <w:color w:val="000000"/>
          <w:sz w:val="56"/>
          <w:szCs w:val="56"/>
          <w:rtl/>
          <w:cs/>
          <w:lang w:bidi="fa-IR"/>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pageBreakBefore/>
        <w:autoSpaceDE/>
        <w:autoSpaceDN/>
        <w:bidi w:val="1"/>
        <w:adjustRightInd/>
        <w:spacing w:after="0" w:line="276" w:lineRule="auto" w:before="0"/>
        <w:ind w:firstLine="397"/>
        <w:jc w:val="right"/>
        <w:rPr>
          <w:rFonts w:ascii="Times New Roman" w:hAnsi="Times New Roman" w:eastAsia="Times New Roman" w:cs="B Titr"/>
          <w:b/>
          <w:bCs/>
          <w:color w:val="000000"/>
          <w:sz w:val="56"/>
          <w:szCs w:val="56"/>
          <w:rtl/>
          <w:cs/>
          <w:lang w:bidi="fa-IR" w:val="en-US"/>
        </w:rPr>
      </w:pPr>
      <w:bookmarkStart w:id="236" w:name="_Toc238572102"/>
      <w:r>
        <w:rPr>
          <w:rFonts w:ascii="Times New Roman" w:hAnsi="Times New Roman" w:cs="B Titr" w:eastAsia="Times New Roman"/>
          <w:b/>
          <w:bCs/>
          <w:color w:val="000000"/>
          <w:sz w:val="56"/>
          <w:szCs w:val="56"/>
          <w:rtl/>
          <w:cs/>
          <w:lang w:bidi="fa-IR"/>
        </w:rPr>
        <w:t>منابع لاتین</w:t>
      </w:r>
      <w:bookmarkEnd w:id="236"/>
    </w:p>
    <w:p w14:paraId="0D7FF25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Abramowitz, J. S., &amp; Braddock, A. E. (2023). Psychological Treatment of Health Anxiety and Illness Anxiety Disorder. Guilford Press.</w:t>
      </w:r>
    </w:p>
    <w:p w14:paraId="0080DE3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Psychiatric Association (2022). Diagnostic and Statistical Manual of Mental Disorders (5th ed., Text Revision; DSM-5-TR). Washington, DC: American Psychiatric Association.</w:t>
      </w:r>
    </w:p>
    <w:p w14:paraId="6ADA431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Psychological Association. (2023). Clinical Practice Guideline for the Treatment of Depression and Anxiety in Older Adults.</w:t>
      </w:r>
    </w:p>
    <w:p w14:paraId="524DACE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Amiri, S., </w:t>
      </w:r>
      <w:r>
        <w:rPr>
          <w:rFonts w:ascii="Times New Roman" w:eastAsia="Times New Roman" w:hAnsi="Times New Roman" w:cs="Times New Roman"/>
          <w:sz w:val="24"/>
          <w:szCs w:val="24"/>
          <w:rtl w:val="0"/>
          <w:cs w:val="0"/>
          <w:lang w:val="en-US"/>
        </w:rPr>
        <w:t>Ghaffari</w:t>
      </w:r>
      <w:r>
        <w:rPr>
          <w:rFonts w:ascii="Times New Roman" w:eastAsia="Times New Roman" w:hAnsi="Times New Roman" w:cs="Times New Roman"/>
          <w:sz w:val="24"/>
          <w:szCs w:val="24"/>
          <w:rtl w:val="0"/>
          <w:cs w:val="0"/>
          <w:lang w:val="en-US"/>
        </w:rPr>
        <w:t xml:space="preserve">, M., &amp; </w:t>
      </w:r>
      <w:r>
        <w:rPr>
          <w:rFonts w:ascii="Times New Roman" w:eastAsia="Times New Roman" w:hAnsi="Times New Roman" w:cs="Times New Roman"/>
          <w:sz w:val="24"/>
          <w:szCs w:val="24"/>
          <w:rtl w:val="0"/>
          <w:cs w:val="0"/>
          <w:lang w:val="en-US"/>
        </w:rPr>
        <w:t>Shafiei</w:t>
      </w:r>
      <w:r>
        <w:rPr>
          <w:rFonts w:ascii="Times New Roman" w:eastAsia="Times New Roman" w:hAnsi="Times New Roman" w:cs="Times New Roman"/>
          <w:sz w:val="24"/>
          <w:szCs w:val="24"/>
          <w:rtl w:val="0"/>
          <w:cs w:val="0"/>
          <w:lang w:val="en-US"/>
        </w:rPr>
        <w:t>, M. (2016). The effect of spiritual intelligence on psychological health among elderly people. Aging &amp; Mental Health, 20(6), 610-617.</w:t>
      </w:r>
    </w:p>
    <w:p w14:paraId="08EE87D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Atchison, K; et al. (2024). Detection of anxiety symptoms and disorders in older adults: A diagnostic accuracy systematic review. Age and Ageing. </w:t>
      </w:r>
      <w:hyperlink r:id="rIdU100">
        <w:r>
          <w:rPr>
            <w:rStyle w:val="Hyperlink"/>
            <w:rFonts w:ascii="Times New Roman" w:eastAsia="Times New Roman" w:hAnsi="Times New Roman" w:cs="Times New Roman"/>
            <w:sz w:val="24"/>
            <w:szCs w:val="24"/>
            <w:rtl w:val="0"/>
            <w:lang w:val="en-US"/>
          </w:rPr>
          <w:t xml:space="preserve">https://doi.org/10.1093/ageing/afae122</w:t>
        </w:r>
      </w:hyperlink>
    </w:p>
    <w:p w14:paraId="41DEE56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Atchley, R. C. (1989). A Continuity Theory of Normal Aging. The Gerontologist, 29(2), 183–190.</w:t>
      </w:r>
      <w:r>
        <w:t xml:space="preserve"> </w:t>
      </w:r>
      <w:hyperlink r:id="rIdDoiAtchley89" w:history="1">
        <w:r>
          <w:rPr>
            <w:rFonts w:ascii="Times New Roman" w:hAnsi="Times New Roman" w:eastAsia="Times New Roman" w:cs="B Lotus"/>
            <w:rStyle w:val="Hyperlink"/>
            <w:sz w:val="28"/>
            <w:szCs w:val="28"/>
            <w:rtl w:val="0"/>
            <w:cs w:val="0"/>
            <w:lang w:val="en-US"/>
          </w:rPr>
          <w:t>https://doi.org/10.1093/geront/29.2.183</w:t>
        </w:r>
      </w:hyperlink>
    </w:p>
    <w:p w14:paraId="1F1287A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Atchley, R. C. (2016). Social Forces and Aging: An Introduction to Social Gerontology (14 </w:t>
      </w:r>
      <w:r>
        <w:rPr>
          <w:rFonts w:ascii="Times New Roman" w:eastAsia="Times New Roman" w:hAnsi="Times New Roman" w:cs="Times New Roman"/>
          <w:sz w:val="24"/>
          <w:szCs w:val="24"/>
          <w:rtl w:val="0"/>
          <w:cs w:val="0"/>
          <w:lang w:val="en-US"/>
        </w:rPr>
        <w:t>thed</w:t>
      </w:r>
      <w:r>
        <w:rPr>
          <w:rFonts w:ascii="Times New Roman" w:eastAsia="Times New Roman" w:hAnsi="Times New Roman" w:cs="Times New Roman"/>
          <w:sz w:val="24"/>
          <w:szCs w:val="24"/>
          <w:rtl w:val="0"/>
          <w:cs w:val="0"/>
          <w:lang w:val="en-US"/>
        </w:rPr>
        <w:t>). Cengage Learning.</w:t>
      </w:r>
    </w:p>
    <w:p w14:paraId="24EA6A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Beck, J. S., &amp; Haigh, E. A. P. (2014). Advances in Cognitive Theory and Therapy: The Generic Cognitive Model. Annual Review of Clinical Psychology, 10, 1–24.</w:t>
      </w:r>
    </w:p>
    <w:p w14:paraId="5000EAB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Bolton, D; &amp; Gillett, G. (2019). The biopsychosocial model of health and disease: New philosophical and scientific developments. Palgrave Macmillan. </w:t>
      </w:r>
      <w:hyperlink r:id="rIdU101">
        <w:r>
          <w:rPr>
            <w:rStyle w:val="Hyperlink"/>
            <w:rFonts w:ascii="Times New Roman" w:eastAsia="Times New Roman" w:hAnsi="Times New Roman" w:cs="Times New Roman"/>
            <w:sz w:val="24"/>
            <w:szCs w:val="24"/>
            <w:rtl w:val="0"/>
            <w:lang w:val="en-US"/>
          </w:rPr>
          <w:t xml:space="preserve">https://doi.org/10.1007/978-3-030-11899-0</w:t>
        </w:r>
      </w:hyperlink>
    </w:p>
    <w:p w14:paraId="4E39BE5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Campisi</w:t>
      </w:r>
      <w:r>
        <w:rPr>
          <w:rFonts w:ascii="Times New Roman" w:eastAsia="Times New Roman" w:hAnsi="Times New Roman" w:cs="Times New Roman"/>
          <w:sz w:val="24"/>
          <w:szCs w:val="24"/>
          <w:rtl w:val="0"/>
          <w:cs w:val="0"/>
          <w:lang w:val="en-US"/>
        </w:rPr>
        <w:t>,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sz w:val="28"/>
            <w:szCs w:val="28"/>
            <w:rtl w:val="0"/>
            <w:cs w:val="0"/>
            <w:lang w:val="en-US"/>
          </w:rPr>
          <w:t xml:space="preserve">https://doi.org/10.1037/0003-066X.54.3.165</w:t>
        </w:r>
      </w:hyperlink>
    </w:p>
    <w:p w14:paraId="184797C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Chen, Y; et al. (2023). Effects of Progressive Muscle Relaxation on anxiety, sleep quality, and quality of life in older adults: A systematic review and meta-analysis. Complementary Therapies in Medicine.</w:t>
      </w:r>
    </w:p>
    <w:p w14:paraId="0D96590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Chlan</w:t>
      </w:r>
      <w:r>
        <w:rPr>
          <w:rFonts w:ascii="Times New Roman" w:eastAsia="Times New Roman" w:hAnsi="Times New Roman" w:cs="Times New Roman"/>
          <w:sz w:val="24"/>
          <w:szCs w:val="24"/>
          <w:rtl w:val="0"/>
          <w:cs w:val="0"/>
          <w:lang w:val="en-US"/>
        </w:rPr>
        <w:t xml:space="preserve">, K.M. </w:t>
      </w:r>
      <w:r>
        <w:rPr>
          <w:rFonts w:ascii="Times New Roman" w:eastAsia="Times New Roman" w:hAnsi="Times New Roman" w:cs="Times New Roman"/>
          <w:sz w:val="24"/>
          <w:szCs w:val="24"/>
          <w:rtl w:val="0"/>
          <w:cs w:val="0"/>
          <w:lang w:val="en-US"/>
        </w:rPr>
        <w:t>Zebracki</w:t>
      </w:r>
      <w:r>
        <w:rPr>
          <w:rFonts w:ascii="Times New Roman" w:eastAsia="Times New Roman" w:hAnsi="Times New Roman" w:cs="Times New Roman"/>
          <w:sz w:val="24"/>
          <w:szCs w:val="24"/>
          <w:rtl w:val="0"/>
          <w:cs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cs w:val="0"/>
          <w:lang w:val="en-US"/>
        </w:rPr>
        <w:t>injory</w:t>
      </w:r>
      <w:r>
        <w:rPr>
          <w:rFonts w:ascii="Times New Roman" w:eastAsia="Times New Roman" w:hAnsi="Times New Roman" w:cs="Times New Roman"/>
          <w:sz w:val="24"/>
          <w:szCs w:val="24"/>
          <w:rtl w:val="0"/>
          <w:cs w:val="0"/>
          <w:lang w:val="en-US"/>
        </w:rPr>
        <w:t>. Retrieved from</w:t>
      </w:r>
    </w:p>
    <w:p w14:paraId="5BE3248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Cumming, E; &amp; Henry, W. E. (1961). Growing Old: The Process of Disengagement. New York: Basic Books.</w:t>
      </w:r>
    </w:p>
    <w:p w14:paraId="33FE5DD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Diener, E., Oishi, S., &amp; Tay, L. (2018). Advances in subjective well-being research. Nature Human </w:t>
      </w:r>
      <w:r>
        <w:rPr>
          <w:rFonts w:ascii="Times New Roman" w:eastAsia="Times New Roman" w:hAnsi="Times New Roman" w:cs="Times New Roman"/>
          <w:sz w:val="24"/>
          <w:szCs w:val="24"/>
          <w:rtl w:val="0"/>
          <w:cs w:val="0"/>
          <w:lang w:val="en-US"/>
        </w:rPr>
        <w:t>Behaviour</w:t>
      </w:r>
      <w:r>
        <w:rPr>
          <w:rFonts w:ascii="Times New Roman" w:eastAsia="Times New Roman" w:hAnsi="Times New Roman" w:cs="Times New Roman"/>
          <w:sz w:val="24"/>
          <w:szCs w:val="24"/>
          <w:rtl w:val="0"/>
          <w:cs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://doi.org/10.1038/s41562-018-0307-6</w:t>
      </w:r>
    </w:p>
    <w:p w14:paraId="4061C29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Dowd, J. J. (1975). Aging as Exchange: A Preface to Theory. Journal of Gerontology, 30(5), 584–594.</w:t>
      </w:r>
    </w:p>
    <w:p w14:paraId="0171EB8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(1982). The Life Cycle Completed. New York: W. W. Norton.</w:t>
      </w:r>
    </w:p>
    <w:p w14:paraId="0A654C06"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Erikson, E. H; Erikson, J. M; &amp; </w:t>
      </w:r>
      <w:r>
        <w:rPr>
          <w:rFonts w:ascii="Times New Roman" w:eastAsia="Times New Roman" w:hAnsi="Times New Roman" w:cs="Times New Roman"/>
          <w:sz w:val="24"/>
          <w:szCs w:val="24"/>
          <w:rtl w:val="0"/>
          <w:cs w:val="0"/>
          <w:lang w:val="en-US"/>
        </w:rPr>
        <w:t>Kivnick</w:t>
      </w:r>
      <w:r>
        <w:rPr>
          <w:rFonts w:ascii="Times New Roman" w:eastAsia="Times New Roman" w:hAnsi="Times New Roman" w:cs="Times New Roman"/>
          <w:sz w:val="24"/>
          <w:szCs w:val="24"/>
          <w:rtl w:val="0"/>
          <w:cs w:val="0"/>
          <w:lang w:val="en-US"/>
        </w:rPr>
        <w:t>, H. Q. (1986). Vital Involvement in Old Age. New York: W. W. Norton.</w:t>
      </w:r>
    </w:p>
    <w:p w14:paraId="6B223B9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Fergus, T. A; &amp; </w:t>
      </w:r>
      <w:r>
        <w:rPr>
          <w:rFonts w:ascii="Times New Roman" w:eastAsia="Times New Roman" w:hAnsi="Times New Roman" w:cs="Times New Roman"/>
          <w:sz w:val="24"/>
          <w:szCs w:val="24"/>
          <w:rtl w:val="0"/>
          <w:cs w:val="0"/>
          <w:lang w:val="en-US"/>
        </w:rPr>
        <w:t>Valentiner</w:t>
      </w:r>
      <w:r>
        <w:rPr>
          <w:rFonts w:ascii="Times New Roman" w:eastAsia="Times New Roman" w:hAnsi="Times New Roman" w:cs="Times New Roman"/>
          <w:sz w:val="24"/>
          <w:szCs w:val="24"/>
          <w:rtl w:val="0"/>
          <w:cs w:val="0"/>
          <w:lang w:val="en-US"/>
        </w:rPr>
        <w:t>, D. P. (2022). Health anxiety and illness anxiety disorder: Contemporary perspectives and clinical implications.</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c18" w:history="1">
        <w:r>
          <w:rPr>
            <w:rFonts w:ascii="Times New Roman" w:hAnsi="Times New Roman" w:eastAsia="Times New Roman" w:cs="B Lotus"/>
            <w:rStyle w:val="Hyperlink"/>
            <w:sz w:val="28"/>
            <w:szCs w:val="28"/>
            <w:rtl w:val="0"/>
            <w:cs w:val="0"/>
            <w:lang w:val="en-US"/>
          </w:rPr>
          <w:t xml:space="preserve">https://doi.org/10.1038/s41574-018-0059-4</w:t>
        </w:r>
      </w:hyperlink>
    </w:p>
    <w:p w14:paraId="1B5460F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Fulop</w:t>
      </w:r>
      <w:r>
        <w:rPr>
          <w:rFonts w:ascii="Times New Roman" w:eastAsia="Times New Roman" w:hAnsi="Times New Roman" w:cs="Times New Roman"/>
          <w:sz w:val="24"/>
          <w:szCs w:val="24"/>
          <w:rtl w:val="0"/>
          <w:cs w:val="0"/>
          <w:lang w:val="en-US"/>
        </w:rPr>
        <w:t xml:space="preserve">, T; Larbi, A; Dupuis, G., et al. (2023). </w:t>
      </w:r>
      <w:r>
        <w:rPr>
          <w:rFonts w:ascii="Times New Roman" w:eastAsia="Times New Roman" w:hAnsi="Times New Roman" w:cs="Times New Roman"/>
          <w:sz w:val="24"/>
          <w:szCs w:val="24"/>
          <w:rtl w:val="0"/>
          <w:cs w:val="0"/>
          <w:lang w:val="en-US"/>
        </w:rPr>
        <w:t>Immunosenescence</w:t>
      </w:r>
      <w:r>
        <w:rPr>
          <w:rFonts w:ascii="Times New Roman" w:eastAsia="Times New Roman" w:hAnsi="Times New Roman" w:cs="Times New Roman"/>
          <w:sz w:val="24"/>
          <w:szCs w:val="24"/>
          <w:rtl w:val="0"/>
          <w:cs w:val="0"/>
          <w:lang w:val="en-US"/>
        </w:rPr>
        <w:t xml:space="preserve"> and Inflammaging as Two Sides of the Same Coin: Friends or Foes? Frontiers in Immunology.</w:t>
      </w:r>
    </w:p>
    <w:p w14:paraId="0F199F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Gladyshev</w:t>
      </w:r>
      <w:r>
        <w:rPr>
          <w:rFonts w:ascii="Times New Roman" w:eastAsia="Times New Roman" w:hAnsi="Times New Roman" w:cs="Times New Roman"/>
          <w:sz w:val="24"/>
          <w:szCs w:val="24"/>
          <w:rtl w:val="0"/>
          <w:cs w:val="0"/>
          <w:lang w:val="en-US"/>
        </w:rPr>
        <w:t>, V. N. (2024). The Biology of Aging. Nature Reviews Molecular Cell Biology.</w:t>
      </w:r>
    </w:p>
    <w:p w14:paraId="650515E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Goodarzi</w:t>
      </w:r>
      <w:r>
        <w:rPr>
          <w:rFonts w:ascii="Times New Roman" w:eastAsia="Times New Roman" w:hAnsi="Times New Roman" w:cs="Times New Roman"/>
          <w:sz w:val="24"/>
          <w:szCs w:val="24"/>
          <w:rtl w:val="0"/>
          <w:cs w:val="0"/>
          <w:lang w:val="en-US"/>
        </w:rPr>
        <w:t xml:space="preserve">, F; </w:t>
      </w:r>
      <w:r>
        <w:rPr>
          <w:rFonts w:ascii="Times New Roman" w:eastAsia="Times New Roman" w:hAnsi="Times New Roman" w:cs="Times New Roman"/>
          <w:sz w:val="24"/>
          <w:szCs w:val="24"/>
          <w:rtl w:val="0"/>
          <w:cs w:val="0"/>
          <w:lang w:val="en-US"/>
        </w:rPr>
        <w:t>Khoshravesh</w:t>
      </w:r>
      <w:r>
        <w:rPr>
          <w:rFonts w:ascii="Times New Roman" w:eastAsia="Times New Roman" w:hAnsi="Times New Roman" w:cs="Times New Roman"/>
          <w:sz w:val="24"/>
          <w:szCs w:val="24"/>
          <w:rtl w:val="0"/>
          <w:cs w:val="0"/>
          <w:lang w:val="en-US"/>
        </w:rPr>
        <w:t xml:space="preserve">, S., </w:t>
      </w:r>
      <w:r>
        <w:rPr>
          <w:rFonts w:ascii="Times New Roman" w:eastAsia="Times New Roman" w:hAnsi="Times New Roman" w:cs="Times New Roman"/>
          <w:sz w:val="24"/>
          <w:szCs w:val="24"/>
          <w:rtl w:val="0"/>
          <w:cs w:val="0"/>
          <w:lang w:val="en-US"/>
        </w:rPr>
        <w:t>Ayubi</w:t>
      </w:r>
      <w:r>
        <w:rPr>
          <w:rFonts w:ascii="Times New Roman" w:eastAsia="Times New Roman" w:hAnsi="Times New Roman" w:cs="Times New Roman"/>
          <w:sz w:val="24"/>
          <w:szCs w:val="24"/>
          <w:rtl w:val="0"/>
          <w:cs w:val="0"/>
          <w:lang w:val="en-US"/>
        </w:rPr>
        <w:t xml:space="preserve">, E; </w:t>
      </w:r>
      <w:r>
        <w:rPr>
          <w:rFonts w:ascii="Times New Roman" w:eastAsia="Times New Roman" w:hAnsi="Times New Roman" w:cs="Times New Roman"/>
          <w:sz w:val="24"/>
          <w:szCs w:val="24"/>
          <w:rtl w:val="0"/>
          <w:cs w:val="0"/>
          <w:lang w:val="en-US"/>
        </w:rPr>
        <w:t>Bashirian</w:t>
      </w:r>
      <w:r>
        <w:rPr>
          <w:rFonts w:ascii="Times New Roman" w:eastAsia="Times New Roman" w:hAnsi="Times New Roman" w:cs="Times New Roman"/>
          <w:sz w:val="24"/>
          <w:szCs w:val="24"/>
          <w:rtl w:val="0"/>
          <w:cs w:val="0"/>
          <w:lang w:val="en-US"/>
        </w:rPr>
        <w:t xml:space="preserve">, S; &amp; </w:t>
      </w:r>
      <w:r>
        <w:rPr>
          <w:rFonts w:ascii="Times New Roman" w:eastAsia="Times New Roman" w:hAnsi="Times New Roman" w:cs="Times New Roman"/>
          <w:sz w:val="24"/>
          <w:szCs w:val="24"/>
          <w:rtl w:val="0"/>
          <w:cs w:val="0"/>
          <w:lang w:val="en-US"/>
        </w:rPr>
        <w:t>Barati</w:t>
      </w:r>
      <w:r>
        <w:rPr>
          <w:rFonts w:ascii="Times New Roman" w:eastAsia="Times New Roman" w:hAnsi="Times New Roman" w:cs="Times New Roman"/>
          <w:sz w:val="24"/>
          <w:szCs w:val="24"/>
          <w:rtl w:val="0"/>
          <w:cs w:val="0"/>
          <w:lang w:val="en-US"/>
        </w:rPr>
        <w:t>, M. (2024). Psychosocial determinants of functional independence among older adults: A systematic review and meta-analysis. Health Promotion Perspectives, 14(1), 32–43. </w:t>
      </w:r>
      <w:hyperlink r:id="rIdU103">
        <w:r>
          <w:rPr>
            <w:rStyle w:val="Hyperlink"/>
            <w:rFonts w:ascii="Times New Roman" w:eastAsia="Times New Roman" w:hAnsi="Times New Roman" w:cs="Times New Roman"/>
            <w:sz w:val="24"/>
            <w:szCs w:val="24"/>
            <w:rtl w:val="0"/>
            <w:lang w:val="en-US"/>
          </w:rPr>
          <w:t xml:space="preserve">https://doi.org/10.34172/hpp.42354</w:t>
        </w:r>
      </w:hyperlink>
      <w:hyperlink r:id="rId12" w:history="1">
        <w:r>
          <w:rPr>
            <w:rStyle w:val="Hyperlink"/>
            <w:rFonts w:ascii="Times New Roman" w:eastAsia="Times New Roman" w:hAnsi="Times New Roman"/>
            <w:color w:val="000000"/>
            <w:rtl w:val="0"/>
            <w:lang w:val="en-US"/>
          </w:rPr>
          <w:t>https://doi.org/10.1007/s11920-024-01507-2</w:t>
        </w:r>
      </w:hyperlink>
    </w:p>
    <w:p w14:paraId="0F26E0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Gould, R. L., et al. (2022).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therapy for depression and anxiety in older people: A systematic review and meta-analysis. Age and Ageing.</w:t>
      </w:r>
    </w:p>
    <w:p w14:paraId="6191429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Halldórsson</w:t>
      </w:r>
      <w:r>
        <w:rPr>
          <w:rFonts w:ascii="Times New Roman" w:eastAsia="Times New Roman" w:hAnsi="Times New Roman" w:cs="Times New Roman"/>
          <w:sz w:val="24"/>
          <w:szCs w:val="24"/>
          <w:rtl w:val="0"/>
          <w:cs w:val="0"/>
          <w:lang w:val="en-US"/>
        </w:rPr>
        <w:t xml:space="preserve">, B; &amp; </w:t>
      </w:r>
      <w:r>
        <w:rPr>
          <w:rFonts w:ascii="Times New Roman" w:eastAsia="Times New Roman" w:hAnsi="Times New Roman" w:cs="Times New Roman"/>
          <w:sz w:val="24"/>
          <w:szCs w:val="24"/>
          <w:rtl w:val="0"/>
          <w:cs w:val="0"/>
          <w:lang w:val="en-US"/>
        </w:rPr>
        <w:t>Salkovskis</w:t>
      </w:r>
      <w:r>
        <w:rPr>
          <w:rFonts w:ascii="Times New Roman" w:eastAsia="Times New Roman" w:hAnsi="Times New Roman" w:cs="Times New Roman"/>
          <w:sz w:val="24"/>
          <w:szCs w:val="24"/>
          <w:rtl w:val="0"/>
          <w:cs w:val="0"/>
          <w:lang w:val="en-US"/>
        </w:rPr>
        <w:t xml:space="preserve">, P. M. (2023). Reassurance and its alternatives: Overview and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w:t>
      </w:r>
      <w:r>
        <w:rPr>
          <w:rFonts w:ascii="Times New Roman" w:eastAsia="Times New Roman" w:hAnsi="Times New Roman" w:cs="Times New Roman"/>
          <w:sz w:val="24"/>
          <w:szCs w:val="24"/>
          <w:rtl w:val="0"/>
          <w:cs w:val="0"/>
          <w:lang w:val="en-US"/>
        </w:rPr>
        <w:t>conceptualisation</w:t>
      </w:r>
      <w:r>
        <w:rPr>
          <w:rFonts w:ascii="Times New Roman" w:eastAsia="Times New Roman" w:hAnsi="Times New Roman" w:cs="Times New Roman"/>
          <w:sz w:val="24"/>
          <w:szCs w:val="24"/>
          <w:rtl w:val="0"/>
          <w:cs w:val="0"/>
          <w:lang w:val="en-US"/>
        </w:rPr>
        <w:t>. Journal of Obsessive-Compulsive and Related Disorders, 36, 100783. </w:t>
      </w:r>
      <w:hyperlink r:id="rIdU104">
        <w:r>
          <w:rPr>
            <w:rStyle w:val="Hyperlink"/>
            <w:rFonts w:ascii="Times New Roman" w:eastAsia="Times New Roman" w:hAnsi="Times New Roman" w:cs="Times New Roman"/>
            <w:sz w:val="24"/>
            <w:szCs w:val="24"/>
            <w:rtl w:val="0"/>
            <w:lang w:val="en-US"/>
          </w:rPr>
          <w:t xml:space="preserve">https://doi.org/10.1016/j.jocrd.2023.100783</w:t>
        </w:r>
      </w:hyperlink>
    </w:p>
    <w:p w14:paraId="1CB4730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cs w:val="0"/>
          <w:lang w:val="en-US"/>
        </w:rPr>
        <w:t>centre</w:t>
      </w:r>
      <w:r>
        <w:rPr>
          <w:rFonts w:ascii="Times New Roman" w:eastAsia="Times New Roman" w:hAnsi="Times New Roman" w:cs="Times New Roman"/>
          <w:sz w:val="24"/>
          <w:szCs w:val="24"/>
          <w:rtl w:val="0"/>
          <w:cs w:val="0"/>
          <w:lang w:val="en-US"/>
        </w:rPr>
        <w:t>. Palliative Medicine, 19(6), 556–562.</w:t>
      </w:r>
    </w:p>
    <w:p w14:paraId="51AE652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(1961). Successful Aging. In The Gerontologist.</w:t>
      </w:r>
      <w:r>
        <w:rPr>
          <w:rFonts w:ascii="Times New Roman" w:eastAsia="Times New Roman" w:hAnsi="Times New Roman" w:cs="Times New Roman"/>
          <w:sz w:val="24"/>
          <w:szCs w:val="24"/>
          <w:rtl w:val="0"/>
          <w:cs w:val="0"/>
          <w:lang w:val="en-US"/>
        </w:rPr>
        <w:t/>
      </w:r>
      <w:r>
        <w:rPr>
          <w:rFonts w:ascii="Times New Roman" w:eastAsia="Times New Roman" w:hAnsi="Times New Roman"/>
          <w:rtl w:val="0"/>
          <w:lang w:val="en-US"/>
        </w:rPr>
        <w:t/>
      </w:r>
      <w:r>
        <w:rPr>
          <w:rFonts w:ascii="Times New Roman" w:eastAsia="Times New Roman" w:hAnsi="Times New Roman"/>
          <w:rtl w:val="0"/>
          <w:lang w:val="en-US"/>
        </w:rPr>
        <w:t/>
      </w:r>
      <w:r>
        <w:t xml:space="preserve"> </w:t>
      </w:r>
      <w:hyperlink r:id="rIdDoiHav61" w:history="1">
        <w:r>
          <w:rPr>
            <w:rFonts w:ascii="Times New Roman" w:hAnsi="Times New Roman" w:eastAsia="Times New Roman" w:cs="B Lotus"/>
            <w:rStyle w:val="Hyperlink"/>
            <w:sz w:val="28"/>
            <w:szCs w:val="28"/>
            <w:rtl w:val="0"/>
            <w:cs w:val="0"/>
            <w:lang w:val="en-US"/>
          </w:rPr>
          <w:t>https://doi.org/10.1093/geront/1.1.8</w:t>
        </w:r>
      </w:hyperlink>
    </w:p>
    <w:p w14:paraId="2A6C7D0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w:t>
      </w:r>
      <w:r>
        <w:rPr>
          <w:rFonts w:ascii="Times New Roman" w:eastAsia="Times New Roman" w:hAnsi="Times New Roman" w:cs="Times New Roman"/>
          <w:sz w:val="24"/>
          <w:szCs w:val="24"/>
          <w:rtl w:val="0"/>
          <w:cs w:val="0"/>
          <w:lang w:val="en-US"/>
        </w:rPr>
        <w:t>Neugarten</w:t>
      </w:r>
      <w:r>
        <w:rPr>
          <w:rFonts w:ascii="Times New Roman" w:eastAsia="Times New Roman" w:hAnsi="Times New Roman" w:cs="Times New Roman"/>
          <w:sz w:val="24"/>
          <w:szCs w:val="24"/>
          <w:rtl w:val="0"/>
          <w:cs w:val="0"/>
          <w:lang w:val="en-US"/>
        </w:rPr>
        <w:t>, B. L., &amp; Tobin, S. S. (1968). Disengagement and Patterns of Aging. In Middle Age and Aging.</w:t>
      </w:r>
    </w:p>
    <w:p w14:paraId="1F05AE9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Hill, S; &amp; Watts, D. (2024). Googling and health anxiety in older age—A case study of CBT incorporating a single case experimental design. Clinical Case Reports, 12(8), e9316. </w:t>
      </w:r>
      <w:hyperlink r:id="rIdU105">
        <w:r>
          <w:rPr>
            <w:rStyle w:val="Hyperlink"/>
            <w:rFonts w:ascii="Times New Roman" w:eastAsia="Times New Roman" w:hAnsi="Times New Roman" w:cs="Times New Roman"/>
            <w:sz w:val="24"/>
            <w:szCs w:val="24"/>
            <w:rtl w:val="0"/>
            <w:lang w:val="en-US"/>
          </w:rPr>
          <w:t xml:space="preserve">https://doi.org/10.1002/ccr3.9316</w:t>
        </w:r>
      </w:hyperlink>
      <w:r>
        <w:rPr>
          <w:rFonts w:ascii="Times New Roman" w:eastAsia="Times New Roman" w:hAnsi="Times New Roman" w:cs="Times New Roman"/>
          <w:sz w:val="24"/>
          <w:szCs w:val="24"/>
          <w:rtl w:val="0"/>
          <w:cs w:val="0"/>
          <w:lang w:val="en-US"/>
        </w:rPr>
        <w:t>https://doi.org/10.1002/ccr3.9316</w:t>
      </w:r>
    </w:p>
    <w:p w14:paraId="3808AFE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Hooyman</w:t>
      </w:r>
      <w:r>
        <w:rPr>
          <w:rFonts w:ascii="Times New Roman" w:eastAsia="Times New Roman" w:hAnsi="Times New Roman" w:cs="Times New Roman"/>
          <w:sz w:val="24"/>
          <w:szCs w:val="24"/>
          <w:rtl w:val="0"/>
          <w:cs w:val="0"/>
          <w:lang w:val="en-US"/>
        </w:rPr>
        <w:t xml:space="preserve">, N. R., &amp; </w:t>
      </w:r>
      <w:r>
        <w:rPr>
          <w:rFonts w:ascii="Times New Roman" w:eastAsia="Times New Roman" w:hAnsi="Times New Roman" w:cs="Times New Roman"/>
          <w:sz w:val="24"/>
          <w:szCs w:val="24"/>
          <w:rtl w:val="0"/>
          <w:cs w:val="0"/>
          <w:lang w:val="en-US"/>
        </w:rPr>
        <w:t>Kiyak</w:t>
      </w:r>
      <w:r>
        <w:rPr>
          <w:rFonts w:ascii="Times New Roman" w:eastAsia="Times New Roman" w:hAnsi="Times New Roman" w:cs="Times New Roman"/>
          <w:sz w:val="24"/>
          <w:szCs w:val="24"/>
          <w:rtl w:val="0"/>
          <w:cs w:val="0"/>
          <w:lang w:val="en-US"/>
        </w:rPr>
        <w:t>, H. A. (2015). Social Gerontology: A Multidisciplinary Perspective (10th ed.).</w:t>
      </w:r>
    </w:p>
    <w:p w14:paraId="4050F5D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Huang, Y; et al. (2023). Meaning in life, spirituality, and death anxiety among older adults: The mediating role of psychological adjustment.</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14" w:history="1">
        <w:r>
          <w:rPr>
            <w:rFonts w:ascii="Times New Roman" w:hAnsi="Times New Roman" w:eastAsia="Times New Roman" w:cs="B Lotus"/>
            <w:rStyle w:val="Hyperlink"/>
            <w:sz w:val="28"/>
            <w:szCs w:val="28"/>
            <w:rtl w:val="0"/>
            <w:cs w:val="0"/>
            <w:lang w:val="en-US"/>
          </w:rPr>
          <w:t xml:space="preserve">https://doi.org/10.1016/j.cpr.2014.09.002</w:t>
        </w:r>
      </w:hyperlink>
    </w:p>
    <w:p w14:paraId="7CF48A3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Jafari-</w:t>
      </w:r>
      <w:r>
        <w:rPr>
          <w:rFonts w:ascii="Times New Roman" w:eastAsia="Times New Roman" w:hAnsi="Times New Roman" w:cs="Times New Roman"/>
          <w:sz w:val="24"/>
          <w:szCs w:val="24"/>
          <w:rtl w:val="0"/>
          <w:cs w:val="0"/>
          <w:lang w:val="en-US"/>
        </w:rPr>
        <w:t>Koulaee</w:t>
      </w:r>
      <w:r>
        <w:rPr>
          <w:rFonts w:ascii="Times New Roman" w:eastAsia="Times New Roman" w:hAnsi="Times New Roman" w:cs="Times New Roman"/>
          <w:sz w:val="24"/>
          <w:szCs w:val="24"/>
          <w:rtl w:val="0"/>
          <w:cs w:val="0"/>
          <w:lang w:val="en-US"/>
        </w:rPr>
        <w:t xml:space="preserve">, A; Mohammadi, E., Fox, M. T., </w:t>
      </w:r>
      <w:r>
        <w:rPr>
          <w:rFonts w:ascii="Times New Roman" w:eastAsia="Times New Roman" w:hAnsi="Times New Roman" w:cs="Times New Roman"/>
          <w:sz w:val="24"/>
          <w:szCs w:val="24"/>
          <w:rtl w:val="0"/>
          <w:cs w:val="0"/>
          <w:lang w:val="en-US"/>
        </w:rPr>
        <w:t>Rasekhi</w:t>
      </w:r>
      <w:r>
        <w:rPr>
          <w:rFonts w:ascii="Times New Roman" w:eastAsia="Times New Roman" w:hAnsi="Times New Roman" w:cs="Times New Roman"/>
          <w:sz w:val="24"/>
          <w:szCs w:val="24"/>
          <w:rtl w:val="0"/>
          <w:cs w:val="0"/>
          <w:lang w:val="en-US"/>
        </w:rPr>
        <w:t>, A., &amp; Akha, O. (2024). Predictors of basic and instrumental activities of daily living among older adults with multiple chronic conditions. BMC Geriatrics, 24, 383. </w:t>
      </w:r>
      <w:hyperlink r:id="rIdU106">
        <w:r>
          <w:rPr>
            <w:rStyle w:val="Hyperlink"/>
            <w:rFonts w:ascii="Times New Roman" w:eastAsia="Times New Roman" w:hAnsi="Times New Roman" w:cs="Times New Roman"/>
            <w:sz w:val="24"/>
            <w:szCs w:val="24"/>
            <w:rtl w:val="0"/>
            <w:lang w:val="en-US"/>
          </w:rPr>
          <w:t xml:space="preserve">https://doi.org/10.1186/s12877-024-04947-w</w:t>
        </w:r>
      </w:hyperlink>
      <w:r>
        <w:rPr>
          <w:rFonts w:ascii="Times New Roman" w:eastAsia="Times New Roman" w:hAnsi="Times New Roman" w:cs="Times New Roman"/>
          <w:sz w:val="24"/>
          <w:szCs w:val="24"/>
          <w:rtl w:val="0"/>
          <w:cs w:val="0"/>
          <w:lang w:val="en-US"/>
        </w:rPr>
        <w:t>https://doi.org/10.1186/s12877-024-04947-w</w:t>
      </w:r>
    </w:p>
    <w:p w14:paraId="4C67D1B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Jain, M., &amp; Purohit, </w:t>
      </w:r>
      <w:r>
        <w:rPr>
          <w:rFonts w:ascii="Times New Roman" w:eastAsia="Times New Roman" w:hAnsi="Times New Roman" w:cs="Times New Roman"/>
          <w:sz w:val="24"/>
          <w:szCs w:val="24"/>
          <w:rtl w:val="0"/>
          <w:cs w:val="0"/>
          <w:lang w:val="en-US"/>
        </w:rPr>
        <w:t>P.(</w:t>
      </w:r>
      <w:r>
        <w:rPr>
          <w:rFonts w:ascii="Times New Roman" w:eastAsia="Times New Roman" w:hAnsi="Times New Roman" w:cs="Times New Roman"/>
          <w:sz w:val="24"/>
          <w:szCs w:val="24"/>
          <w:rtl w:val="0"/>
          <w:cs w:val="0"/>
          <w:lang w:val="en-US"/>
        </w:rPr>
        <w:t>2006). Spiritual intelligence: A contemporary concern about the living conditions of the elderly. Indian journal of psychology, 81(1-2), 60-65.</w:t>
      </w:r>
    </w:p>
    <w:p w14:paraId="45E498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Johnco</w:t>
      </w:r>
      <w:r>
        <w:rPr>
          <w:rFonts w:ascii="Times New Roman" w:eastAsia="Times New Roman" w:hAnsi="Times New Roman" w:cs="Times New Roman"/>
          <w:sz w:val="24"/>
          <w:szCs w:val="24"/>
          <w:rtl w:val="0"/>
          <w:cs w:val="0"/>
          <w:lang w:val="en-US"/>
        </w:rPr>
        <w:t xml:space="preserve">, C. J; </w:t>
      </w:r>
      <w:r>
        <w:rPr>
          <w:rFonts w:ascii="Times New Roman" w:eastAsia="Times New Roman" w:hAnsi="Times New Roman" w:cs="Times New Roman"/>
          <w:sz w:val="24"/>
          <w:szCs w:val="24"/>
          <w:rtl w:val="0"/>
          <w:cs w:val="0"/>
          <w:lang w:val="en-US"/>
        </w:rPr>
        <w:t>Matovic</w:t>
      </w:r>
      <w:r>
        <w:rPr>
          <w:rFonts w:ascii="Times New Roman" w:eastAsia="Times New Roman" w:hAnsi="Times New Roman" w:cs="Times New Roman"/>
          <w:sz w:val="24"/>
          <w:szCs w:val="24"/>
          <w:rtl w:val="0"/>
          <w:cs w:val="0"/>
          <w:lang w:val="en-US"/>
        </w:rPr>
        <w:t>, D; &amp; Wuthrich, V. M. (2024). Anxiety disorders in later life. Psychiatric Clinics of North America, 47(4), 741–752. </w:t>
      </w:r>
      <w:hyperlink r:id="rIdU107">
        <w:r>
          <w:rPr>
            <w:rStyle w:val="Hyperlink"/>
            <w:rFonts w:ascii="Times New Roman" w:eastAsia="Times New Roman" w:hAnsi="Times New Roman" w:cs="Times New Roman"/>
            <w:sz w:val="24"/>
            <w:szCs w:val="24"/>
            <w:rtl w:val="0"/>
            <w:lang w:val="en-US"/>
          </w:rPr>
          <w:t xml:space="preserve">https://doi.org/10.1016/j.psc.2024.04.015</w:t>
        </w:r>
      </w:hyperlink>
      <w:r>
        <w:rPr>
          <w:rFonts w:ascii="Times New Roman" w:eastAsia="Times New Roman" w:hAnsi="Times New Roman" w:cs="Times New Roman"/>
          <w:sz w:val="24"/>
          <w:szCs w:val="24"/>
          <w:rtl w:val="0"/>
          <w:cs w:val="0"/>
          <w:lang w:val="en-US"/>
        </w:rPr>
        <w:t>https://doi.org/10.1016/j.psc.2024.04.015</w:t>
      </w:r>
      <w:hyperlink r:id="rId14" w:history="1">
        <w:r>
          <w:rPr>
            <w:rFonts w:ascii="Times New Roman" w:eastAsia="Times New Roman" w:hAnsi="Times New Roman"/>
            <w:rtl w:val="0"/>
            <w:lang w:val="en-US"/>
          </w:rPr>
          <w:t>https://doi.org/10.1016/j.jamda.2024.105334</w:t>
        </w:r>
      </w:hyperlink>
    </w:p>
    <w:p w14:paraId="6DCD2CD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Kaplan, S; et al. (2024). Non-pharmacological interventions for anxiety in older adults: An updated systematic review. Age and Ageing.</w:t>
      </w:r>
    </w:p>
    <w:p w14:paraId="733F4B7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cs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14:paraId="5E3FEA9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Kikas</w:t>
      </w:r>
      <w:r>
        <w:rPr>
          <w:rFonts w:ascii="Times New Roman" w:eastAsia="Times New Roman" w:hAnsi="Times New Roman" w:cs="Times New Roman"/>
          <w:sz w:val="24"/>
          <w:szCs w:val="24"/>
          <w:rtl w:val="0"/>
          <w:cs w:val="0"/>
          <w:lang w:val="en-US"/>
        </w:rPr>
        <w:t>, K; Werner-Seidler, A; Upton, E., &amp; Newby, J. M. (2024). Illness anxiety disorder: A review of the current research and future directions. Current Psychiatry Reports, 26(7), 331–339. </w:t>
      </w:r>
      <w:hyperlink r:id="rIdU109">
        <w:r>
          <w:rPr>
            <w:rStyle w:val="Hyperlink"/>
            <w:rFonts w:ascii="Times New Roman" w:eastAsia="Times New Roman" w:hAnsi="Times New Roman" w:cs="Times New Roman"/>
            <w:sz w:val="24"/>
            <w:szCs w:val="24"/>
            <w:rtl w:val="0"/>
            <w:lang w:val="en-US"/>
          </w:rPr>
          <w:t xml:space="preserve">https://doi.org/10.1007/s11920-024-01507-2</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://doi.org/10.1007/s11920-024-01507-2</w:t>
      </w:r>
    </w:p>
    <w:p w14:paraId="5517067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Killingsworth, B; et al. (2023). Intolerance for uncertainty mediates death anxiety and hypochondriasis in older adults. Innovation in Aging, 7(Supplement_1).</w:t>
      </w:r>
    </w:p>
    <w:p w14:paraId="6F5F9669"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(2021). Rethinking spiritual intelligence: A cognitive approach to spiritual abilities.</w:t>
      </w:r>
    </w:p>
    <w:p w14:paraId="411A272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King, D. B; &amp; </w:t>
      </w:r>
      <w:r>
        <w:rPr>
          <w:rFonts w:ascii="Times New Roman" w:eastAsia="Times New Roman" w:hAnsi="Times New Roman" w:cs="Times New Roman"/>
          <w:sz w:val="24"/>
          <w:szCs w:val="24"/>
          <w:rtl w:val="0"/>
          <w:cs w:val="0"/>
          <w:lang w:val="en-US"/>
        </w:rPr>
        <w:t>DeCicco</w:t>
      </w:r>
      <w:r>
        <w:rPr>
          <w:rFonts w:ascii="Times New Roman" w:eastAsia="Times New Roman" w:hAnsi="Times New Roman" w:cs="Times New Roman"/>
          <w:sz w:val="24"/>
          <w:szCs w:val="24"/>
          <w:rtl w:val="0"/>
          <w:cs w:val="0"/>
          <w:lang w:val="en-US"/>
        </w:rPr>
        <w:t>, T. L. (2009). A viable model and self-report measure of spiritual intelligence. International Journal of Transpersonal Studies, 28, 68–85.</w:t>
      </w:r>
    </w:p>
    <w:p w14:paraId="235D5B3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cs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Krejcie</w:t>
      </w:r>
      <w:r>
        <w:rPr>
          <w:rFonts w:ascii="Times New Roman" w:eastAsia="Times New Roman" w:hAnsi="Times New Roman" w:cs="Times New Roman"/>
          <w:sz w:val="24"/>
          <w:szCs w:val="24"/>
          <w:rtl w:val="0"/>
          <w:cs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14:paraId="7E971D5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Levin, J; Chatters, L. M; &amp; Taylor, R. J. (2011). Theory in religion, aging, and health: An overview. Journal of Religion and Health, 50(2), 389–406.</w:t>
      </w:r>
    </w:p>
    <w:p w14:paraId="064CB21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Liu, Y; Zhang, X; Fu, X; Li, W; Wang, Y; &amp; Lu, W. (2025). Successful aging rates of global older adults: A systematic review and meta-analysis. Journal of the American Medical Directors Association, 26(6), 105334. </w:t>
      </w:r>
      <w:hyperlink r:id="rIdU111">
        <w:r>
          <w:rPr>
            <w:rStyle w:val="Hyperlink"/>
            <w:rFonts w:ascii="Times New Roman" w:eastAsia="Times New Roman" w:hAnsi="Times New Roman" w:cs="Times New Roman"/>
            <w:sz w:val="24"/>
            <w:szCs w:val="24"/>
            <w:rtl w:val="0"/>
            <w:lang w:val="en-US"/>
          </w:rPr>
          <w:lastRenderedPageBreak/>
          <w:t xml:space="preserve">https://doi.org/10.1016/j.jamda.2024.105334</w:t>
        </w:r>
      </w:hyperlink>
      <w:r>
        <w:rPr>
          <w:rFonts w:ascii="Times New Roman" w:eastAsia="Times New Roman" w:hAnsi="Times New Roman" w:cs="Times New Roman"/>
          <w:sz w:val="24"/>
          <w:szCs w:val="24"/>
          <w:rtl w:val="0"/>
          <w:cs w:val="0"/>
          <w:lang w:val="en-US"/>
        </w:rPr>
        <w:lastRenderedPageBreak/>
        <w:t>https://doi.org/10.1016/j.jamda.2024.105334.</w:t>
      </w:r>
    </w:p>
    <w:p w14:paraId="475944B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Lou, Y; Yang, &amp; Ma. (2025). A network meta-analysis of different psychological therapies for death anxiety in older adults. OMEGA—Journal of Death and Dying. </w:t>
      </w:r>
      <w:hyperlink r:id="rIdU112">
        <w:r>
          <w:rPr>
            <w:rStyle w:val="Hyperlink"/>
            <w:rFonts w:ascii="Times New Roman" w:eastAsia="Times New Roman" w:hAnsi="Times New Roman" w:cs="Times New Roman"/>
            <w:sz w:val="24"/>
            <w:szCs w:val="24"/>
            <w:rtl w:val="0"/>
            <w:lang w:val="en-US"/>
          </w:rPr>
          <w:t xml:space="preserve">https://pubmed.ncbi.nlm.nih.gov/39900466/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://pubmed.ncbi.nlm.nih.gov/39900466/</w:t>
      </w:r>
    </w:p>
    <w:p w14:paraId="46AE264D"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López-</w:t>
      </w:r>
      <w:r>
        <w:rPr>
          <w:rFonts w:ascii="Times New Roman" w:hAnsi="Times New Roman" w:cs="Times New Roman" w:eastAsia="Times New Roman"/>
          <w:sz w:val="24"/>
          <w:szCs w:val="24"/>
          <w:rtl w:val="0"/>
          <w:cs w:val="0"/>
          <w:lang w:val="en-US"/>
        </w:rPr>
        <w:t>Otín</w:t>
      </w:r>
      <w:r>
        <w:rPr>
          <w:rFonts w:ascii="Times New Roman" w:hAnsi="Times New Roman" w:cs="Times New Roman" w:eastAsia="Times New Roman"/>
          <w:sz w:val="24"/>
          <w:szCs w:val="24"/>
          <w:rtl w:val="0"/>
          <w:cs w:val="0"/>
          <w:lang w:val="en-US"/>
        </w:rPr>
        <w:t xml:space="preserve">, C; </w:t>
      </w:r>
      <w:r>
        <w:rPr>
          <w:rFonts w:ascii="Times New Roman" w:hAnsi="Times New Roman" w:cs="Times New Roman" w:eastAsia="Times New Roman"/>
          <w:sz w:val="24"/>
          <w:szCs w:val="24"/>
          <w:rtl w:val="0"/>
          <w:cs w:val="0"/>
          <w:lang w:val="en-US"/>
        </w:rPr>
        <w:t>Blasco</w:t>
      </w:r>
      <w:r>
        <w:rPr>
          <w:rFonts w:ascii="Times New Roman" w:hAnsi="Times New Roman" w:cs="Times New Roman" w:eastAsia="Times New Roman"/>
          <w:sz w:val="24"/>
          <w:szCs w:val="24"/>
          <w:rtl w:val="0"/>
          <w:cs w:val="0"/>
          <w:lang w:val="en-US"/>
        </w:rPr>
        <w:t>, M. A., Partridge, L., Serrano, M., &amp; Kroemer, G. (2023). Hallmarks of Aging: An Expanding Universe. Cell.</w:t>
      </w:r>
      <w:r>
        <w:t xml:space="preserve"> </w:t>
      </w:r>
      <w:hyperlink r:id="rIdDoiLopez23" w:history="1">
        <w:r>
          <w:rPr>
            <w:rFonts w:ascii="Times New Roman" w:hAnsi="Times New Roman" w:eastAsia="Times New Roman" w:cs="B Lotus"/>
            <w:rStyle w:val="Hyperlink"/>
            <w:sz w:val="28"/>
            <w:szCs w:val="28"/>
            <w:rtl w:val="0"/>
            <w:cs w:val="0"/>
            <w:lang w:val="en-US"/>
          </w:rPr>
          <w:t>https://doi.org/10.1016/j.cell.2022.11.001</w:t>
        </w:r>
      </w:hyperlink>
    </w:p>
    <w:p w14:paraId="2200418C"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Martin, L. L; et al. (2023). Death anxiety, meaning in life, and psychological adjustment: Contemporary perspectives.</w:t>
      </w:r>
    </w:p>
    <w:p w14:paraId="7EDF6F13"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Mayer, J. D; &amp; Salovey, P. (2020). The Intelligence of Emotional </w:t>
      </w:r>
      <w:r>
        <w:rPr>
          <w:rFonts w:ascii="Times New Roman" w:hAnsi="Times New Roman" w:cs="Times New Roman" w:eastAsia="Times New Roman"/>
          <w:sz w:val="24"/>
          <w:szCs w:val="24"/>
          <w:rtl w:val="0"/>
          <w:cs w:val="0"/>
          <w:lang w:val="en-US"/>
        </w:rPr>
        <w:t>Intelligence.</w:t>
      </w:r>
      <w:hyperlink r:id="rId17" w:history="1">
        <w:r>
          <w:rPr>
            <w:rStyle w:val="Hyperlink"/>
            <w:rFonts w:ascii="Times New Roman" w:hAnsi="Times New Roman" w:cs="Times New Roman"/>
            <w:color w:val="000000"/>
            <w:rtl w:val="0"/>
            <w:lang w:val="en-US"/>
          </w:rPr>
          <w:t>World</w:t>
        </w:r>
        <w:r>
          <w:rPr>
            <w:rStyle w:val="Hyperlink"/>
            <w:rFonts w:ascii="Times New Roman" w:hAnsi="Times New Roman" w:cs="Times New Roman"/>
            <w:color w:val="000000"/>
            <w:rtl w:val="0"/>
            <w:lang w:val="en-US"/>
          </w:rPr>
          <w:t xml:space="preserve"> Health Organization – Ageing and health</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Menzies, R. E., &amp; Menzies, R. G. (2020). Death anxiety in the time of COVID-19: Theoretical explanations and clinical implications. The Cognitive Behaviour Therapist, 13, e19. </w:t>
      </w:r>
      <w:hyperlink r:id="rIdDoiMenz20" w:history="1">
        <w:r>
          <w:rPr>
            <w:rFonts w:ascii="Times New Roman" w:hAnsi="Times New Roman" w:eastAsia="Times New Roman" w:cs="B Lotus"/>
            <w:rStyle w:val="Hyperlink"/>
            <w:sz w:val="28"/>
            <w:szCs w:val="28"/>
            <w:rtl w:val="0"/>
            <w:cs w:val="0"/>
            <w:lang w:val="en-US"/>
          </w:rPr>
          <w:t xml:space="preserve">https://doi.org/10.1017/S1754470X20000215</w:t>
        </w:r>
      </w:hyperlink>
    </w:p>
    <w:p w14:paraId="5CB51639"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Miri, S; Farhadi, B; </w:t>
      </w:r>
      <w:r>
        <w:rPr>
          <w:rFonts w:ascii="Times New Roman" w:hAnsi="Times New Roman" w:cs="Times New Roman" w:eastAsia="Times New Roman"/>
          <w:sz w:val="24"/>
          <w:szCs w:val="24"/>
          <w:rtl w:val="0"/>
          <w:cs w:val="0"/>
          <w:lang w:val="en-US"/>
        </w:rPr>
        <w:t>Takasi</w:t>
      </w:r>
      <w:r>
        <w:rPr>
          <w:rFonts w:ascii="Times New Roman" w:hAnsi="Times New Roman" w:cs="Times New Roman" w:eastAsia="Times New Roman"/>
          <w:sz w:val="24"/>
          <w:szCs w:val="24"/>
          <w:rtl w:val="0"/>
          <w:cs w:val="0"/>
          <w:lang w:val="en-US"/>
        </w:rPr>
        <w:t xml:space="preserve">, P; </w:t>
      </w:r>
      <w:r>
        <w:rPr>
          <w:rFonts w:ascii="Times New Roman" w:hAnsi="Times New Roman" w:cs="Times New Roman" w:eastAsia="Times New Roman"/>
          <w:sz w:val="24"/>
          <w:szCs w:val="24"/>
          <w:rtl w:val="0"/>
          <w:cs w:val="0"/>
          <w:lang w:val="en-US"/>
        </w:rPr>
        <w:t>Ghorbani</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Vajargah</w:t>
      </w:r>
      <w:r>
        <w:rPr>
          <w:rFonts w:ascii="Times New Roman" w:hAnsi="Times New Roman" w:cs="Times New Roman" w:eastAsia="Times New Roman"/>
          <w:sz w:val="24"/>
          <w:szCs w:val="24"/>
          <w:rtl w:val="0"/>
          <w:cs w:val="0"/>
          <w:lang w:val="en-US"/>
        </w:rPr>
        <w:t xml:space="preserve">, P; &amp; </w:t>
      </w:r>
      <w:r>
        <w:rPr>
          <w:rFonts w:ascii="Times New Roman" w:hAnsi="Times New Roman" w:cs="Times New Roman" w:eastAsia="Times New Roman"/>
          <w:sz w:val="24"/>
          <w:szCs w:val="24"/>
          <w:rtl w:val="0"/>
          <w:cs w:val="0"/>
          <w:lang w:val="en-US"/>
        </w:rPr>
        <w:t>Karkhah</w:t>
      </w:r>
      <w:r>
        <w:rPr>
          <w:rFonts w:ascii="Times New Roman" w:hAnsi="Times New Roman" w:cs="Times New Roman" w:eastAsia="Times New Roman"/>
          <w:sz w:val="24"/>
          <w:szCs w:val="24"/>
          <w:rtl w:val="0"/>
          <w:cs w:val="0"/>
          <w:lang w:val="en-US"/>
        </w:rPr>
        <w:t>, S. (2024). Physical independence and related factors among older adults: A systematic review and meta-analysis. Annals of Medicine &amp; Surgery, 86(6), 3400–3408. </w:t>
      </w:r>
      <w:hyperlink r:id="rIdU113">
        <w:r>
          <w:rPr>
            <w:rStyle w:val="Hyperlink"/>
            <w:rFonts w:ascii="Times New Roman" w:hAnsi="Times New Roman" w:cs="Times New Roman"/>
            <w:sz w:val="24"/>
            <w:szCs w:val="24"/>
            <w:rtl w:val="0"/>
            <w:lang w:val="en-US"/>
          </w:rPr>
          <w:t xml:space="preserve">https://doi.org/10.1097/MS9.0000000000002100</w:t>
        </w:r>
      </w:hyperlink>
      <w:r>
        <w:rPr>
          <w:rFonts w:ascii="Times New Roman" w:hAnsi="Times New Roman" w:cs="Times New Roman" w:eastAsia="Times New Roman"/>
          <w:sz w:val="24"/>
          <w:szCs w:val="24"/>
          <w:rtl w:val="0"/>
          <w:cs w:val="0"/>
          <w:lang w:val="en-US"/>
        </w:rPr>
        <w:t>https://doi.org/10.1097/MS9.0000000000002100</w:t>
      </w:r>
      <w:hyperlink r:id="rId18" w:history="1">
        <w:r>
          <w:rPr>
            <w:rStyle w:val="Hyperlink"/>
            <w:rFonts w:ascii="Times New Roman" w:hAnsi="Times New Roman" w:cs="Times New Roman"/>
            <w:color w:val="000000"/>
            <w:rtl w:val="0"/>
            <w:lang w:val="en-US"/>
          </w:rPr>
          <w:t>World Health Organization – Mental health of older adults</w:t>
        </w:r>
      </w:hyperlink>
    </w:p>
    <w:p w14:paraId="2A227F52"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Mohamadzadeh</w:t>
      </w:r>
      <w:r>
        <w:rPr>
          <w:rFonts w:ascii="Times New Roman" w:hAnsi="Times New Roman" w:cs="Times New Roman" w:eastAsia="Times New Roman"/>
          <w:sz w:val="24"/>
          <w:szCs w:val="24"/>
          <w:rtl w:val="0"/>
          <w:cs w:val="0"/>
          <w:lang w:val="en-US"/>
        </w:rPr>
        <w:t xml:space="preserve">, M; </w:t>
      </w:r>
      <w:r>
        <w:rPr>
          <w:rFonts w:ascii="Times New Roman" w:hAnsi="Times New Roman" w:cs="Times New Roman" w:eastAsia="Times New Roman"/>
          <w:sz w:val="24"/>
          <w:szCs w:val="24"/>
          <w:rtl w:val="0"/>
          <w:cs w:val="0"/>
          <w:lang w:val="en-US"/>
        </w:rPr>
        <w:t>Zanjari</w:t>
      </w:r>
      <w:r>
        <w:rPr>
          <w:rFonts w:ascii="Times New Roman" w:hAnsi="Times New Roman" w:cs="Times New Roman" w:eastAsia="Times New Roman"/>
          <w:sz w:val="24"/>
          <w:szCs w:val="24"/>
          <w:rtl w:val="0"/>
          <w:cs w:val="0"/>
          <w:lang w:val="en-US"/>
        </w:rPr>
        <w:t xml:space="preserve">, N; </w:t>
      </w:r>
      <w:r>
        <w:rPr>
          <w:rFonts w:ascii="Times New Roman" w:hAnsi="Times New Roman" w:cs="Times New Roman" w:eastAsia="Times New Roman"/>
          <w:sz w:val="24"/>
          <w:szCs w:val="24"/>
          <w:rtl w:val="0"/>
          <w:cs w:val="0"/>
          <w:lang w:val="en-US"/>
        </w:rPr>
        <w:t>Delbari</w:t>
      </w:r>
      <w:r>
        <w:rPr>
          <w:rFonts w:ascii="Times New Roman" w:hAnsi="Times New Roman" w:cs="Times New Roman" w:eastAsia="Times New Roman"/>
          <w:sz w:val="24"/>
          <w:szCs w:val="24"/>
          <w:rtl w:val="0"/>
          <w:cs w:val="0"/>
          <w:lang w:val="en-US"/>
        </w:rPr>
        <w:t xml:space="preserve">, A; </w:t>
      </w:r>
      <w:r>
        <w:rPr>
          <w:rFonts w:ascii="Times New Roman" w:hAnsi="Times New Roman" w:cs="Times New Roman" w:eastAsia="Times New Roman"/>
          <w:sz w:val="24"/>
          <w:szCs w:val="24"/>
          <w:rtl w:val="0"/>
          <w:cs w:val="0"/>
          <w:lang w:val="en-US"/>
        </w:rPr>
        <w:t>Foroughan</w:t>
      </w:r>
      <w:r>
        <w:rPr>
          <w:rFonts w:ascii="Times New Roman" w:hAnsi="Times New Roman" w:cs="Times New Roman" w:eastAsia="Times New Roman"/>
          <w:sz w:val="24"/>
          <w:szCs w:val="24"/>
          <w:rtl w:val="0"/>
          <w:cs w:val="0"/>
          <w:lang w:val="en-US"/>
        </w:rPr>
        <w:t xml:space="preserve">, M; &amp; </w:t>
      </w:r>
      <w:r>
        <w:rPr>
          <w:rFonts w:ascii="Times New Roman" w:hAnsi="Times New Roman" w:cs="Times New Roman" w:eastAsia="Times New Roman"/>
          <w:sz w:val="24"/>
          <w:szCs w:val="24"/>
          <w:rtl w:val="0"/>
          <w:cs w:val="0"/>
          <w:lang w:val="en-US"/>
        </w:rPr>
        <w:t>Tabesh</w:t>
      </w:r>
      <w:r>
        <w:rPr>
          <w:rFonts w:ascii="Times New Roman" w:hAnsi="Times New Roman" w:cs="Times New Roman" w:eastAsia="Times New Roman"/>
          <w:sz w:val="24"/>
          <w:szCs w:val="24"/>
          <w:rtl w:val="0"/>
          <w:cs w:val="0"/>
          <w:lang w:val="en-US"/>
        </w:rPr>
        <w:t>, H. (2024). Factors associated with subjective successful aging among Iranian older adults: A cross-sectional analysis. Iranian Journal of Nursing and Midwifery Research, 29(5), 583–589. </w:t>
      </w:r>
      <w:hyperlink r:id="rIdU114">
        <w:r>
          <w:rPr>
            <w:rStyle w:val="Hyperlink"/>
            <w:rFonts w:ascii="Times New Roman" w:hAnsi="Times New Roman" w:cs="Times New Roman"/>
            <w:sz w:val="24"/>
            <w:szCs w:val="24"/>
            <w:rtl w:val="0"/>
            <w:lang w:val="en-US"/>
          </w:rPr>
          <w:t xml:space="preserve">https://doi.org/10.4103/ijnmr.ijnmr_260_23</w:t>
        </w:r>
      </w:hyperlink>
      <w:r>
        <w:rPr>
          <w:rFonts w:ascii="Times New Roman" w:hAnsi="Times New Roman" w:cs="Times New Roman" w:eastAsia="Times New Roman"/>
          <w:sz w:val="24"/>
          <w:szCs w:val="24"/>
          <w:rtl w:val="0"/>
          <w:cs w:val="0"/>
          <w:lang w:val="en-US"/>
        </w:rPr>
        <w:t>https://doi.org/10.4103/ijnmr.ijnmr_260_23</w:t>
      </w:r>
      <w:hyperlink r:id="rId19" w:history="1">
        <w:r>
          <w:rPr>
            <w:rStyle w:val="Hyperlink"/>
            <w:rFonts w:ascii="Times New Roman" w:hAnsi="Times New Roman" w:cs="Times New Roman"/>
            <w:color w:val="000000"/>
            <w:rtl w:val="0"/>
            <w:lang w:val="en-US"/>
          </w:rPr>
          <w:t>https://doi.org/10.1186/s12877-025-06040-2</w:t>
        </w:r>
      </w:hyperlink>
    </w:p>
    <w:p w14:paraId="087B34E0"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Mohammadi, M., </w:t>
      </w:r>
      <w:r>
        <w:rPr>
          <w:rFonts w:ascii="Times New Roman" w:hAnsi="Times New Roman" w:cs="Times New Roman" w:eastAsia="Times New Roman"/>
          <w:sz w:val="24"/>
          <w:szCs w:val="24"/>
          <w:rtl w:val="0"/>
          <w:cs w:val="0"/>
          <w:lang w:val="en-US"/>
        </w:rPr>
        <w:t>Bahrami</w:t>
      </w:r>
      <w:r>
        <w:rPr>
          <w:rFonts w:ascii="Times New Roman" w:hAnsi="Times New Roman" w:cs="Times New Roman" w:eastAsia="Times New Roman"/>
          <w:sz w:val="24"/>
          <w:szCs w:val="24"/>
          <w:rtl w:val="0"/>
          <w:cs w:val="0"/>
          <w:lang w:val="en-US"/>
        </w:rPr>
        <w:t>, F., &amp; Abedi, M. R. (2019). The role of spirituality, mental health and quality of life in predicting death anxiety in the elderly. Iranian Journal of Psychiatry and Behavioral Sciences, 13(2), e82350.</w:t>
      </w:r>
    </w:p>
    <w:p w14:paraId="79A81ECF"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eastAsia="Times New Roman" w:hAnsi="Times New Roman" w:cs="Times New Roman"/>
          <w:sz w:val="24"/>
          <w:szCs w:val="24"/>
          <w:rtl w:val="0"/>
          <w:cs w:val="0"/>
          <w:lang w:val="en-US"/>
        </w:rPr>
        <w:t>Moreira-</w:t>
      </w:r>
      <w:r>
        <w:rPr>
          <w:rFonts w:ascii="Times New Roman" w:eastAsia="Times New Roman" w:hAnsi="Times New Roman" w:cs="Times New Roman"/>
          <w:sz w:val="24"/>
          <w:szCs w:val="24"/>
          <w:rtl w:val="0"/>
          <w:cs w:val="0"/>
          <w:lang w:val="en-US"/>
        </w:rPr>
        <w:t>almaida</w:t>
      </w:r>
      <w:r>
        <w:rPr>
          <w:rFonts w:ascii="Times New Roman" w:eastAsia="Times New Roman" w:hAnsi="Times New Roman" w:cs="Times New Roman"/>
          <w:sz w:val="24"/>
          <w:szCs w:val="24"/>
          <w:rtl w:val="0"/>
          <w:cs w:val="0"/>
          <w:lang w:val="en-US"/>
        </w:rPr>
        <w:t xml:space="preserve">, A. Koenig, H. D.(2006). Retaining the meaning of the words religiousness and </w:t>
      </w:r>
      <w:r>
        <w:rPr>
          <w:rFonts w:ascii="Times New Roman" w:eastAsia="Times New Roman" w:hAnsi="Times New Roman" w:cs="Times New Roman"/>
          <w:sz w:val="24"/>
          <w:szCs w:val="24"/>
          <w:rtl w:val="0"/>
          <w:cs w:val="0"/>
          <w:lang w:val="en-US"/>
        </w:rPr>
        <w:t>spirituality:Acommentary</w:t>
      </w:r>
      <w:r>
        <w:rPr>
          <w:rFonts w:ascii="Times New Roman" w:eastAsia="Times New Roman" w:hAnsi="Times New Roman" w:cs="Times New Roman"/>
          <w:sz w:val="24"/>
          <w:szCs w:val="24"/>
          <w:rtl w:val="0"/>
          <w:cs w:val="0"/>
          <w:lang w:val="en-US"/>
        </w:rPr>
        <w:t xml:space="preserve"> on the WHOQOL SRPB groups:a cross </w:t>
      </w:r>
      <w:r>
        <w:rPr>
          <w:rFonts w:ascii="Times New Roman" w:eastAsia="Times New Roman" w:hAnsi="Times New Roman" w:cs="Times New Roman"/>
          <w:sz w:val="24"/>
          <w:szCs w:val="24"/>
          <w:rtl w:val="0"/>
          <w:cs w:val="0"/>
          <w:lang w:val="en-US"/>
        </w:rPr>
        <w:lastRenderedPageBreak/>
        <w:t xml:space="preserve">culture study of </w:t>
      </w:r>
      <w:r>
        <w:rPr>
          <w:rFonts w:ascii="Times New Roman" w:eastAsia="Times New Roman" w:hAnsi="Times New Roman" w:cs="Times New Roman"/>
          <w:sz w:val="24"/>
          <w:szCs w:val="24"/>
          <w:rtl w:val="0"/>
          <w:cs w:val="0"/>
          <w:lang w:val="en-US"/>
        </w:rPr>
        <w:t>spirituality,religion</w:t>
      </w:r>
      <w:r>
        <w:rPr>
          <w:rFonts w:ascii="Times New Roman" w:eastAsia="Times New Roman" w:hAnsi="Times New Roman" w:cs="Times New Roman"/>
          <w:sz w:val="24"/>
          <w:szCs w:val="24"/>
          <w:rtl w:val="0"/>
          <w:cs w:val="0"/>
          <w:lang w:val="en-US"/>
        </w:rPr>
        <w:t xml:space="preserve">, and personal beliefs as components of quality of </w:t>
      </w:r>
      <w:r>
        <w:rPr>
          <w:rFonts w:ascii="Times New Roman" w:eastAsia="Times New Roman" w:hAnsi="Times New Roman" w:cs="Times New Roman"/>
          <w:sz w:val="24"/>
          <w:szCs w:val="24"/>
          <w:rtl w:val="0"/>
          <w:cs w:val="0"/>
          <w:lang w:val="en-US"/>
        </w:rPr>
        <w:t>lifes</w:t>
      </w:r>
      <w:r>
        <w:rPr>
          <w:rFonts w:ascii="Times New Roman" w:eastAsia="Times New Roman" w:hAnsi="Times New Roman" w:cs="Times New Roman"/>
          <w:sz w:val="24"/>
          <w:szCs w:val="24"/>
          <w:rtl w:val="0"/>
          <w:cs w:val="0"/>
          <w:lang w:val="en-US"/>
        </w:rPr>
        <w:t>. Social science and medicine,63,843-845.</w:t>
      </w:r>
    </w:p>
    <w:p w14:paraId="41B2D632"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hAnsi="Times New Roman" w:cs="Times New Roman" w:eastAsia="Times New Roman"/>
          <w:sz w:val="24"/>
          <w:szCs w:val="24"/>
          <w:rtl w:val="0"/>
          <w:cs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eastAsia="Times New Roman"/>
          <w:sz w:val="24"/>
          <w:szCs w:val="24"/>
          <w:rtl w:val="0"/>
          <w:cs w:val="0"/>
          <w:lang w:val="en-US"/>
        </w:rPr>
        <w:t>https://doi.org/10.1016/j.ssaho.2024.100879</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Noyes, R., Jr., Stuart, S. P., Langbehn, D. R., Happel, R. L., Longley, S. L., Muller, B. A., &amp; Yagla, S. J. (2003). Test of an interpersonal model of hypochondriasis. Psychosomatic Medicine, 65(2), 292–300. </w:t>
      </w:r>
      <w:hyperlink r:id="rIdDoiNoyes03" w:history="1">
        <w:r>
          <w:rPr>
            <w:rFonts w:ascii="Times New Roman" w:hAnsi="Times New Roman" w:eastAsia="Times New Roman" w:cs="B Lotus"/>
            <w:rStyle w:val="Hyperlink"/>
            <w:sz w:val="28"/>
            <w:szCs w:val="28"/>
            <w:rtl w:val="0"/>
            <w:cs w:val="0"/>
            <w:lang w:val="en-US"/>
          </w:rPr>
          <w:t xml:space="preserve">https://doi.org/10.1097/01.PSY.0000058377.50240.64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Pyszczynski, T., Lockett, M., Greenberg, J., &amp; Solomon, S. (2021). Terror management theory and the COVID-19 pandemic. Journal of Humanistic Psychology, 61(2), 173–189. </w:t>
      </w:r>
      <w:hyperlink r:id="rIdDoiPysz21" w:history="1">
        <w:r>
          <w:rPr>
            <w:rFonts w:ascii="Times New Roman" w:hAnsi="Times New Roman" w:eastAsia="Times New Roman" w:cs="B Lotus"/>
            <w:rStyle w:val="Hyperlink"/>
            <w:sz w:val="28"/>
            <w:szCs w:val="28"/>
            <w:rtl w:val="0"/>
            <w:cs w:val="0"/>
            <w:lang w:val="en-US"/>
          </w:rPr>
          <w:t xml:space="preserve">https://doi.org/10.1177/0022167820959488</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14" w:history="1">
        <w:r>
          <w:rPr>
            <w:rFonts w:ascii="Times New Roman" w:hAnsi="Times New Roman" w:eastAsia="Times New Roman" w:cs="B Lotus"/>
            <w:rStyle w:val="Hyperlink"/>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Rowe, J. W., &amp; Kahn, R. L. (2015). Successful aging 2.0: Conceptual expansions for the 21st century. The Journals of Gerontology, Series B, 70(4), 593–596. </w:t>
      </w:r>
      <w:hyperlink r:id="rIdDoiRowe15" w:history="1">
        <w:r>
          <w:rPr>
            <w:rFonts w:ascii="Times New Roman" w:hAnsi="Times New Roman" w:eastAsia="Times New Roman" w:cs="B Lotus"/>
            <w:rStyle w:val="Hyperlink"/>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Stuart, S., &amp; Noyes, R., Jr. (1999). Attachment and interpersonal communication in somatization. Psychosomatics, 40(1), 34–43. </w:t>
      </w:r>
      <w:hyperlink r:id="rIdDoiStuart99" w:history="1">
        <w:r>
          <w:rPr>
            <w:rFonts w:ascii="Times New Roman" w:hAnsi="Times New Roman" w:eastAsia="Times New Roman" w:cs="B Lotus"/>
            <w:rStyle w:val="Hyperlink"/>
            <w:sz w:val="28"/>
            <w:szCs w:val="28"/>
            <w:rtl w:val="0"/>
            <w:cs w:val="0"/>
            <w:lang w:val="en-US"/>
          </w:rPr>
          <w:t xml:space="preserve">https://doi.org/10.1016/S0033-3182(99)71269-7</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Warwick, H. M. C., &amp; Salkovskis, P. M. (1990). Hypochondriasis. Behaviour Research and Therapy, 28(2), 105–117. </w:t>
      </w:r>
      <w:hyperlink r:id="rIdDoiWarwick90" w:history="1">
        <w:r>
          <w:rPr>
            <w:rFonts w:ascii="Times New Roman" w:hAnsi="Times New Roman" w:eastAsia="Times New Roman" w:cs="B Lotus"/>
            <w:rStyle w:val="Hyperlink"/>
            <w:sz w:val="28"/>
            <w:szCs w:val="28"/>
            <w:rtl w:val="0"/>
            <w:cs w:val="0"/>
            <w:lang w:val="en-US"/>
          </w:rPr>
          <w:t xml:space="preserve">https://doi.org/10.1016/0005-7967(90)90023-c</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17" w:history="1">
        <w:r>
          <w:rPr>
            <w:rFonts w:ascii="Times New Roman" w:hAnsi="Times New Roman" w:eastAsia="Times New Roman" w:cs="B Lotus"/>
            <w:rStyle w:val="Hyperlink"/>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Wong, P. T. P. (2008). Meaning management theory and death acceptance. In A. Tomer, G. T. Eliason, &amp; P. T. P. Wong (Eds.), Existential and spiritual issues in death attitudes (pp. 65–87). Erlbaum.</w:t>
      </w:r>
    </w:p>
    <w:p w14:paraId="524B98F9"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eastAsia="Times New Roman" w:hAnsi="Times New Roman" w:cs="Times New Roman"/>
          <w:color w:val="auto"/>
          <w:rtl w:val="0"/>
          <w:cs w:val="0"/>
          <w:lang w:val="en-US"/>
        </w:rPr>
        <w:t>Çarıkçı-Özgül</w:t>
      </w:r>
      <w:r>
        <w:rPr>
          <w:rFonts w:ascii="Times New Roman" w:eastAsia="Times New Roman" w:hAnsi="Times New Roman" w:cs="Times New Roman"/>
          <w:color w:val="auto"/>
          <w:rtl w:val="0"/>
          <w:cs w:val="0"/>
          <w:lang w:val="en-US"/>
        </w:rPr>
        <w:t xml:space="preserve">, D. N; &amp; </w:t>
      </w:r>
      <w:r>
        <w:rPr>
          <w:rFonts w:ascii="Times New Roman" w:eastAsia="Times New Roman" w:hAnsi="Times New Roman" w:cs="Times New Roman"/>
          <w:color w:val="auto"/>
          <w:rtl w:val="0"/>
          <w:cs w:val="0"/>
          <w:lang w:val="en-US"/>
        </w:rPr>
        <w:t>Işık</w:t>
      </w:r>
      <w:r>
        <w:rPr>
          <w:rFonts w:ascii="Times New Roman" w:eastAsia="Times New Roman" w:hAnsi="Times New Roman" w:cs="Times New Roman"/>
          <w:color w:val="auto"/>
          <w:rtl w:val="0"/>
          <w:cs w:val="0"/>
          <w:lang w:val="en-US"/>
        </w:rPr>
        <w:t>, Ü. (2024). Exploring adult attachment and anxiety: The role of intolerance of uncertainty and social support. Current Psychology, 43, 18612–18620. </w:t>
      </w:r>
      <w:hyperlink r:id="rIdU116">
        <w:r>
          <w:rPr>
            <w:rStyle w:val="Hyperlink"/>
            <w:rFonts w:ascii="Times New Roman" w:eastAsia="Times New Roman" w:hAnsi="Times New Roman"/>
            <w:color w:val="auto"/>
            <w:rtl w:val="0"/>
            <w:lang w:bidi="fa-IR" w:val="en-US"/>
          </w:rPr>
          <w:t xml:space="preserve">https://doi.org/10.1007/s12144-024-05659-5</w:t>
        </w:r>
      </w:hyperlink>
      <w:r>
        <w:rPr>
          <w:rFonts w:ascii="Times New Roman" w:eastAsia="Times New Roman" w:hAnsi="Times New Roman" w:cs="Times New Roman"/>
          <w:color w:val="auto"/>
          <w:rtl w:val="0"/>
          <w:cs w:val="0"/>
          <w:lang w:val="en-US"/>
        </w:rPr>
        <w:t> \t "_</w:t>
      </w:r>
      <w:r>
        <w:rPr>
          <w:rFonts w:ascii="Times New Roman" w:eastAsia="Times New Roman" w:hAnsi="Times New Roman" w:cs="Times New Roman"/>
          <w:color w:val="auto"/>
          <w:rtl w:val="0"/>
          <w:cs w:val="0"/>
          <w:lang w:val="en-US"/>
        </w:rPr>
        <w:t>new"https</w:t>
      </w:r>
      <w:r>
        <w:rPr>
          <w:rFonts w:ascii="Times New Roman" w:eastAsia="Times New Roman" w:hAnsi="Times New Roman" w:cs="Times New Roman"/>
          <w:color w:val="auto"/>
          <w:rtl w:val="0"/>
          <w:cs w:val="0"/>
          <w:lang w:val="en-US"/>
        </w:rPr>
        <w:t>://doi.org/10.1007/s12144-024-05659-5</w:t>
      </w:r>
    </w:p>
    <w:p w14:paraId="46B915CB" w14:textId="77777777">
      <w:pPr>
        <w:autoSpaceDE/>
        <w:autoSpaceDN/>
        <w:bidi w:val="0"/>
        <w:adjustRightInd/>
        <w:rPr>
          <w:rFonts w:ascii="Times New Roman" w:hAnsi="Times New Roman" w:cs="Times New Roman"/>
          <w:sz w:val="24"/>
          <w:szCs w:val="24"/>
          <w:rtl w:val="0"/>
        </w:rPr>
      </w:pPr>
    </w:p>
    <w:p w14:paraId="04D024B1" w14:textId="39387A50">
      <w:pPr>
        <w:pStyle w:val="Bibliography"/>
        <w:autoSpaceDE/>
        <w:autoSpaceDN/>
        <w:bidi w:val="0"/>
        <w:adjustRightInd/>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National Institute on Aging. (2023). Mental Health and Older Adults.</w:t>
      </w:r>
    </w:p>
    <w:p w14:paraId="401C5CB0" w14:textId="77777777">
      <w:pPr>
        <w:pStyle w:val="Bibliography"/>
        <w:bidi w:val="0"/>
        <w:spacing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Nikolich-Žugich</w:t>
      </w:r>
      <w:r>
        <w:rPr>
          <w:rFonts w:ascii="Times New Roman" w:hAnsi="Times New Roman" w:cs="Times New Roman" w:eastAsia="Times New Roman"/>
          <w:sz w:val="24"/>
          <w:szCs w:val="24"/>
          <w:rtl w:val="0"/>
          <w:cs w:val="0"/>
          <w:lang w:val="en-US"/>
        </w:rPr>
        <w:t>, J; et al. (2023). The twilight of immunity: emerging concepts in aging of the immune system. Nature Immunology.</w:t>
      </w:r>
    </w:p>
    <w:p w14:paraId="1B1CA33B" w14:textId="77777777">
      <w:pPr>
        <w:bidi w:val="0"/>
        <w:spacing w:line="276" w:lineRule="auto"/>
        <w:jc w:val="both"/>
      </w:pPr>
    </w:p>
    <w:p>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Nordgren, L. F; van Harreveld, F., &amp; van der Pligt, J. (2022). The psychology of death anxiety and mortality salience.</w:t>
      </w:r>
    </w:p>
    <w:p>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Noyes, R., Jr., Stuart, S., Longley, S. L., Langbehn, D. R., &amp; Happel, R. L. (2002). Hypochondriasis and fear of death. Journal of Nervous and Mental Disease, 190(8), 503–509. https://doi.org/10.1097/00005053-200208000-00002</w:t>
      </w:r>
      <w:r>
        <w:t xml:space="preserve"> </w:t>
      </w:r>
      <w:hyperlink r:id="rIdU117" w:history="1">
        <w:r>
          <w:rPr>
            <w:rFonts w:ascii="Times New Roman" w:hAnsi="Times New Roman" w:eastAsia="Times New Roman" w:cs="B Lotus"/>
            <w:rStyle w:val="Hyperlink"/>
            <w:sz w:val="28"/>
            <w:szCs w:val="28"/>
            <w:rtl w:val="0"/>
            <w:cs w:val="0"/>
            <w:lang w:val="en-US"/>
          </w:rPr>
          <w:t>https://doi.org/10.1097/00005053-200208000-00002</w:t>
        </w:r>
      </w:hyperlink>
    </w:p>
    <w:p w14:paraId="2C6E1C9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Pinto, C. T; Guedes, L., Pinto, S; &amp; Nunes, R. (2024). Spiritual intelligence: A scoping review on the gateway to mental health. Global Health Action, 17(1), 2362310. </w:t>
      </w:r>
      <w:hyperlink r:id="rIdU118">
        <w:r>
          <w:rPr>
            <w:rStyle w:val="Hyperlink"/>
            <w:rFonts w:ascii="Times New Roman" w:hAnsi="Times New Roman" w:cs="Times New Roman"/>
            <w:sz w:val="24"/>
            <w:szCs w:val="24"/>
            <w:rtl w:val="0"/>
            <w:lang w:val="en-US"/>
          </w:rPr>
          <w:t xml:space="preserve">https://doi.org/10.1080/16549716.2024.2362310</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://doi.org/10.1080/16549716.2024.2362310</w:t>
      </w:r>
    </w:p>
    <w:p w14:paraId="174CAF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Rule, A; Abbey, C; Wang, H; Rozelle, S; &amp; Singh, M. K. (2024). Measurement of flourishing: A scoping review. Frontiers in Psychology, 15, 1293943. </w:t>
      </w:r>
      <w:hyperlink r:id="rIdU119">
        <w:r>
          <w:rPr>
            <w:rStyle w:val="Hyperlink"/>
            <w:rFonts w:ascii="Times New Roman" w:hAnsi="Times New Roman" w:cs="Times New Roman"/>
            <w:sz w:val="24"/>
            <w:szCs w:val="24"/>
            <w:rtl w:val="0"/>
            <w:lang w:val="en-US"/>
          </w:rPr>
          <w:t xml:space="preserve">https://doi.org/10.3389/fpsyg.2024.1293943</w:t>
        </w:r>
      </w:hyperlink>
    </w:p>
    <w:p w14:paraId="73F2636D"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Ryan, R. M; &amp; Deci, E. L. (2017). Self-determination theory: Basic psychological needs in motivation, development, and wellness. Guilford Press.</w:t>
      </w:r>
    </w:p>
    <w:p w14:paraId="34DD3858"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lastRenderedPageBreak/>
        <w:t>Ryff</w:t>
      </w:r>
      <w:r>
        <w:rPr>
          <w:rFonts w:ascii="Times New Roman" w:hAnsi="Times New Roman" w:cs="Times New Roman" w:eastAsia="Times New Roman"/>
          <w:sz w:val="24"/>
          <w:szCs w:val="24"/>
          <w:rtl w:val="0"/>
          <w:cs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://doi.org/10.1177/09637214241266818</w:t>
      </w:r>
    </w:p>
    <w:p w14:paraId="25C7699A"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Shafiee</w:t>
      </w:r>
      <w:r>
        <w:rPr>
          <w:rFonts w:ascii="Times New Roman" w:hAnsi="Times New Roman" w:cs="Times New Roman" w:eastAsia="Times New Roman"/>
          <w:sz w:val="24"/>
          <w:szCs w:val="24"/>
          <w:rtl w:val="0"/>
          <w:cs w:val="0"/>
          <w:lang w:val="en-US"/>
        </w:rPr>
        <w:t xml:space="preserve">, A; Mohammadi, I; Rajai, S; </w:t>
      </w:r>
      <w:r>
        <w:rPr>
          <w:rFonts w:ascii="Times New Roman" w:hAnsi="Times New Roman" w:cs="Times New Roman" w:eastAsia="Times New Roman"/>
          <w:sz w:val="24"/>
          <w:szCs w:val="24"/>
          <w:rtl w:val="0"/>
          <w:cs w:val="0"/>
          <w:lang w:val="en-US"/>
        </w:rPr>
        <w:t>Jafarabady</w:t>
      </w:r>
      <w:r>
        <w:rPr>
          <w:rFonts w:ascii="Times New Roman" w:hAnsi="Times New Roman" w:cs="Times New Roman" w:eastAsia="Times New Roman"/>
          <w:sz w:val="24"/>
          <w:szCs w:val="24"/>
          <w:rtl w:val="0"/>
          <w:cs w:val="0"/>
          <w:lang w:val="en-US"/>
        </w:rPr>
        <w:t xml:space="preserve">, K; &amp; </w:t>
      </w:r>
      <w:r>
        <w:rPr>
          <w:rFonts w:ascii="Times New Roman" w:hAnsi="Times New Roman" w:cs="Times New Roman" w:eastAsia="Times New Roman"/>
          <w:sz w:val="24"/>
          <w:szCs w:val="24"/>
          <w:rtl w:val="0"/>
          <w:cs w:val="0"/>
          <w:lang w:val="en-US"/>
        </w:rPr>
        <w:t>Abdollahi</w:t>
      </w:r>
      <w:r>
        <w:rPr>
          <w:rFonts w:ascii="Times New Roman" w:hAnsi="Times New Roman" w:cs="Times New Roman" w:eastAsia="Times New Roman"/>
          <w:sz w:val="24"/>
          <w:szCs w:val="24"/>
          <w:rtl w:val="0"/>
          <w:cs w:val="0"/>
          <w:lang w:val="en-US"/>
        </w:rPr>
        <w:t>, A. (2025). Global prevalence of anxiety symptoms and its associated factors in older adults: A systematic review and meta-analysis. Journal of General and Family Medicine, 26(2), 116–127. </w:t>
      </w:r>
      <w:hyperlink r:id="rIdU121">
        <w:r>
          <w:rPr>
            <w:rStyle w:val="Hyperlink"/>
            <w:rFonts w:ascii="Times New Roman" w:hAnsi="Times New Roman" w:cs="Times New Roman"/>
            <w:sz w:val="24"/>
            <w:szCs w:val="24"/>
            <w:rtl w:val="0"/>
            <w:lang w:val="en-US"/>
          </w:rPr>
          <w:t xml:space="preserve">https://doi.org/10.1002/jgf2.750</w:t>
        </w:r>
      </w:hyperlink>
      <w:r>
        <w:rPr>
          <w:rFonts w:ascii="Times New Roman" w:hAnsi="Times New Roman" w:cs="Times New Roman" w:eastAsia="Times New Roman"/>
          <w:sz w:val="24"/>
          <w:szCs w:val="24"/>
          <w:rtl w:val="0"/>
          <w:cs w:val="0"/>
          <w:lang w:val="en-US"/>
        </w:rPr>
        <w:t>https://doi.org/10.1002/jgf2.750</w:t>
      </w:r>
    </w:p>
    <w:p w14:paraId="6E2B06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Soto, C; et al. (2024). Meaning in life, hope, and mental health in older adults: A systematic review. BMC Geriatrics.</w:t>
      </w:r>
    </w:p>
    <w:p w14:paraId="03A23009"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Stavrova</w:t>
      </w:r>
      <w:r>
        <w:rPr>
          <w:rFonts w:ascii="Times New Roman" w:hAnsi="Times New Roman" w:cs="Times New Roman" w:eastAsia="Times New Roman"/>
          <w:sz w:val="24"/>
          <w:szCs w:val="24"/>
          <w:rtl w:val="0"/>
          <w:cs w:val="0"/>
          <w:lang w:val="en-US"/>
        </w:rPr>
        <w:t xml:space="preserve">, O. </w:t>
      </w:r>
      <w:r>
        <w:rPr>
          <w:rFonts w:ascii="Times New Roman" w:hAnsi="Times New Roman" w:cs="Times New Roman" w:eastAsia="Times New Roman"/>
          <w:sz w:val="24"/>
          <w:szCs w:val="24"/>
          <w:rtl w:val="0"/>
          <w:cs w:val="0"/>
          <w:lang w:val="en-US"/>
        </w:rPr>
        <w:t>Fetchenhauer</w:t>
      </w:r>
      <w:r>
        <w:rPr>
          <w:rFonts w:ascii="Times New Roman" w:hAnsi="Times New Roman" w:cs="Times New Roman" w:eastAsia="Times New Roman"/>
          <w:sz w:val="24"/>
          <w:szCs w:val="24"/>
          <w:rtl w:val="0"/>
          <w:cs w:val="0"/>
          <w:lang w:val="en-US"/>
        </w:rPr>
        <w:t>, D. Schlosser, T. (2012). Why are religious people happy? The effect of the social norm of religiosity across countries. Social Science Research, 3.</w:t>
      </w:r>
    </w:p>
    <w:p w14:paraId="001971CF"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Sternberg, R. J. (2021). Adaptive Intelligence: Surviving and Thriving in Times of Uncertainty. Cambridge University Press.</w:t>
      </w:r>
    </w:p>
    <w:p w14:paraId="6B2FCFF0"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Suad</w:t>
      </w:r>
      <w:r>
        <w:rPr>
          <w:rFonts w:ascii="Times New Roman" w:hAnsi="Times New Roman" w:cs="Times New Roman" w:eastAsia="Times New Roman"/>
          <w:sz w:val="24"/>
          <w:szCs w:val="24"/>
          <w:rtl w:val="0"/>
          <w:cs w:val="0"/>
          <w:lang w:val="en-US"/>
        </w:rPr>
        <w:t xml:space="preserve">, Zarina Mat, </w:t>
      </w:r>
      <w:r>
        <w:rPr>
          <w:rFonts w:ascii="Times New Roman" w:hAnsi="Times New Roman" w:cs="Times New Roman" w:eastAsia="Times New Roman"/>
          <w:sz w:val="24"/>
          <w:szCs w:val="24"/>
          <w:rtl w:val="0"/>
          <w:cs w:val="0"/>
          <w:lang w:val="en-US"/>
        </w:rPr>
        <w:t>Zulkarnin</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A,Hatta</w:t>
      </w:r>
      <w:r>
        <w:rPr>
          <w:rFonts w:ascii="Times New Roman" w:hAnsi="Times New Roman" w:cs="Times New Roman" w:eastAsia="Times New Roman"/>
          <w:sz w:val="24"/>
          <w:szCs w:val="24"/>
          <w:rtl w:val="0"/>
          <w:cs w:val="0"/>
          <w:lang w:val="en-US"/>
        </w:rPr>
        <w:t xml:space="preserve"> and Nuria Muhammad. (2010). " The Impact of Spiritual intelligence on the Health of Older Adults in Malaysia. " Asian Social Work and Policy Review, 4(2), 84-97.</w:t>
      </w:r>
    </w:p>
    <w:p w14:paraId="24491DC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Taylor, S; &amp; Asmundson, G. J. G. (2021). Treating Health Anxiety: A Cognitive-Behavioral Approach. Guilford Press.</w:t>
      </w:r>
    </w:p>
    <w:p w14:paraId="24093371"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Templer</w:t>
      </w:r>
      <w:r>
        <w:rPr>
          <w:rFonts w:ascii="Times New Roman" w:hAnsi="Times New Roman" w:cs="Times New Roman" w:eastAsia="Times New Roman"/>
          <w:sz w:val="24"/>
          <w:szCs w:val="24"/>
          <w:rtl w:val="0"/>
          <w:cs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Tomer, A., &amp; Eliason, G. (2000). Attitudes toward death: A developmental perspective. Springer Publishing Company.</w:t>
      </w:r>
    </w:p>
    <w:p w14:paraId="7F663F7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Department of Economic and Social Affairs, Population Division. (2024). World population prospects 2024: Summary of results. United Nations.</w:t>
      </w:r>
    </w:p>
    <w:p w14:paraId="109E257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cs w:val="0"/>
          <w:lang w:val="en-US"/>
        </w:rPr>
        <w:t xml:space="preserve"> UNFPA Iran – Population ageing and disabilities</w:t>
      </w:r>
    </w:p>
    <w:p w14:paraId="1E0FAFFB"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(2023). World Social Report 2023: Leaving No One Behind in an Ageing World.</w:t>
      </w:r>
    </w:p>
    <w:p w14:paraId="5ADEE5A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Valsala</w:t>
      </w:r>
      <w:r>
        <w:rPr>
          <w:rFonts w:ascii="Times New Roman" w:eastAsia="Times New Roman" w:hAnsi="Times New Roman" w:cs="Times New Roman" w:hint="cs"/>
          <w:sz w:val="24"/>
          <w:szCs w:val="24"/>
          <w:rtl w:val="0"/>
          <w:cs w:val="0"/>
          <w:lang w:val="en-US"/>
        </w:rPr>
        <w:t>, P; &amp; Menon, P. (2023). Psychospiritual basis of altruism: A review. Journal of Humanistic Psychology, 63(3), 344–363. </w:t>
      </w:r>
      <w:hyperlink r:id="rIdU124">
        <w:r>
          <w:rPr>
            <w:rStyle w:val="Hyperlink"/>
            <w:rFonts w:ascii="Times New Roman" w:eastAsia="Times New Roman" w:hAnsi="Times New Roman" w:cs="Times New Roman" w:hint="cs"/>
            <w:sz w:val="24"/>
            <w:szCs w:val="24"/>
            <w:rtl w:val="0"/>
            <w:lang w:bidi="fa-IR" w:val="en-US"/>
          </w:rPr>
          <w:t xml:space="preserve">https://doi.org/10.1177/0022167819830517</w:t>
        </w:r>
      </w:hyperlink>
    </w:p>
    <w:p w14:paraId="341E3893"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van </w:t>
      </w:r>
      <w:r>
        <w:rPr>
          <w:rFonts w:ascii="Times New Roman" w:eastAsia="Times New Roman" w:hAnsi="Times New Roman" w:cs="Times New Roman" w:hint="cs"/>
          <w:sz w:val="24"/>
          <w:szCs w:val="24"/>
          <w:rtl w:val="0"/>
          <w:cs w:val="0"/>
          <w:lang w:val="en-US"/>
        </w:rPr>
        <w:t>Bruggen</w:t>
      </w:r>
      <w:r>
        <w:rPr>
          <w:rFonts w:ascii="Times New Roman" w:eastAsia="Times New Roman" w:hAnsi="Times New Roman" w:cs="Times New Roman" w:hint="cs"/>
          <w:sz w:val="24"/>
          <w:szCs w:val="24"/>
          <w:rtl w:val="0"/>
          <w:cs w:val="0"/>
          <w:lang w:val="en-US"/>
        </w:rPr>
        <w:t xml:space="preserve">, V; Vos, J., </w:t>
      </w:r>
      <w:r>
        <w:rPr>
          <w:rFonts w:ascii="Times New Roman" w:eastAsia="Times New Roman" w:hAnsi="Times New Roman" w:cs="Times New Roman" w:hint="cs"/>
          <w:sz w:val="24"/>
          <w:szCs w:val="24"/>
          <w:rtl w:val="0"/>
          <w:cs w:val="0"/>
          <w:lang w:val="en-US"/>
        </w:rPr>
        <w:t>Bohlmeijer</w:t>
      </w:r>
      <w:r>
        <w:rPr>
          <w:rFonts w:ascii="Times New Roman" w:eastAsia="Times New Roman" w:hAnsi="Times New Roman" w:cs="Times New Roman" w:hint="cs"/>
          <w:sz w:val="24"/>
          <w:szCs w:val="24"/>
          <w:rtl w:val="0"/>
          <w:cs w:val="0"/>
          <w:lang w:val="en-US"/>
        </w:rPr>
        <w:t>, E. T., et al. (2021). Systematic review of existential and spiritual factors related to death anxiety.</w:t>
      </w:r>
    </w:p>
    <w:p w14:paraId="066D3C9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Wagenseller</w:t>
      </w:r>
      <w:r>
        <w:rPr>
          <w:rFonts w:ascii="Times New Roman" w:eastAsia="Times New Roman" w:hAnsi="Times New Roman" w:cs="Times New Roman" w:hint="cs"/>
          <w:sz w:val="24"/>
          <w:szCs w:val="24"/>
          <w:rtl w:val="0"/>
          <w:cs w:val="0"/>
          <w:lang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14:paraId="27BB2B6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C; et al. (2023). Effectiveness of meaning-centered interventions on psychological well-being among older adults: A systematic review and meta-analysis. Aging &amp; Mental Health.</w:t>
      </w:r>
    </w:p>
    <w:p w14:paraId="527BE1A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Wang, S; Lin, J., </w:t>
      </w:r>
      <w:r>
        <w:rPr>
          <w:rFonts w:ascii="Times New Roman" w:eastAsia="Times New Roman" w:hAnsi="Times New Roman" w:cs="Times New Roman" w:hint="cs"/>
          <w:sz w:val="24"/>
          <w:szCs w:val="24"/>
          <w:rtl w:val="0"/>
          <w:cs w:val="0"/>
          <w:lang w:val="en-US"/>
        </w:rPr>
        <w:t>Kuang</w:t>
      </w:r>
      <w:r>
        <w:rPr>
          <w:rFonts w:ascii="Times New Roman" w:eastAsia="Times New Roman" w:hAnsi="Times New Roman" w:cs="Times New Roman" w:hint="cs"/>
          <w:sz w:val="24"/>
          <w:szCs w:val="24"/>
          <w:rtl w:val="0"/>
          <w:cs w:val="0"/>
          <w:lang w:val="en-US"/>
        </w:rPr>
        <w:t>, L; Yang, X; Yu, B; &amp; Cui, Y. (2024). Risk factors for social isolation in older adults: A systematic review and meta-analysis. Public Health Nursing, 41(2), 200–208. </w:t>
      </w:r>
      <w:hyperlink r:id="rIdU126">
        <w:r>
          <w:rPr>
            <w:rStyle w:val="Hyperlink"/>
            <w:rFonts w:ascii="Times New Roman" w:eastAsia="Times New Roman" w:hAnsi="Times New Roman" w:cs="Times New Roman" w:hint="cs"/>
            <w:sz w:val="24"/>
            <w:szCs w:val="24"/>
            <w:rtl w:val="0"/>
            <w:lang w:bidi="fa-IR" w:val="en-US"/>
          </w:rPr>
          <w:t xml:space="preserve">https://doi.org/10.1111/phn.13266</w:t>
        </w:r>
      </w:hyperlink>
    </w:p>
    <w:p w14:paraId="758BE2EF"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(2020). Healthy ageing and functional ability.</w:t>
      </w:r>
    </w:p>
    <w:p w14:paraId="128DD7EC"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(2024). Ageing and Health.</w:t>
      </w:r>
    </w:p>
    <w:p w14:paraId="66A13E3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blank"World</w:t>
      </w:r>
      <w:r>
        <w:rPr>
          <w:rFonts w:ascii="Times New Roman" w:eastAsia="Times New Roman" w:hAnsi="Times New Roman" w:cs="Times New Roman" w:hint="cs"/>
          <w:sz w:val="24"/>
          <w:szCs w:val="24"/>
          <w:rtl w:val="0"/>
          <w:cs w:val="0"/>
          <w:lang w:val="en-US"/>
        </w:rPr>
        <w:t xml:space="preserve"> Health Organization – Ageing and health</w:t>
      </w:r>
    </w:p>
    <w:p w14:paraId="52DBC640"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Organization.(2022). World mental health report: Transforming mental health for all. World Health Organization.</w:t>
      </w:r>
    </w:p>
    <w:p w14:paraId="5451670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Organization.(2023). Healthy ageing: A priority for delivering universal health coverage. Geneva: World Health Organization.</w:t>
      </w:r>
    </w:p>
    <w:p w14:paraId="51EA795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cs w:val="0"/>
          <w:lang w:val="en-US"/>
        </w:rPr>
        <w:t xml:space="preserve"> World Health Organization – Mental health of older adults</w:t>
      </w:r>
    </w:p>
    <w:p w14:paraId="2B3D095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Yalom, I. D. (1980). Existential Psychotherapy. New York: Basic Books</w:t>
      </w:r>
    </w:p>
    <w:p w14:paraId="5F9C448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Yonker</w:t>
      </w:r>
      <w:r>
        <w:rPr>
          <w:rFonts w:ascii="Times New Roman" w:eastAsia="Times New Roman" w:hAnsi="Times New Roman" w:cs="Times New Roman" w:hint="cs"/>
          <w:sz w:val="24"/>
          <w:szCs w:val="24"/>
          <w:rtl w:val="0"/>
          <w:cs w:val="0"/>
          <w:lang w:val="en-US"/>
        </w:rPr>
        <w:t xml:space="preserve">, J.E. </w:t>
      </w:r>
      <w:r>
        <w:rPr>
          <w:rFonts w:ascii="Times New Roman" w:eastAsia="Times New Roman" w:hAnsi="Times New Roman" w:cs="Times New Roman" w:hint="cs"/>
          <w:sz w:val="24"/>
          <w:szCs w:val="24"/>
          <w:rtl w:val="0"/>
          <w:cs w:val="0"/>
          <w:lang w:val="en-US"/>
        </w:rPr>
        <w:t>Schnabelrauch</w:t>
      </w:r>
      <w:r>
        <w:rPr>
          <w:rFonts w:ascii="Times New Roman" w:eastAsia="Times New Roman" w:hAnsi="Times New Roman" w:cs="Times New Roman" w:hint="cs"/>
          <w:sz w:val="24"/>
          <w:szCs w:val="24"/>
          <w:rtl w:val="0"/>
          <w:cs w:val="0"/>
          <w:lang w:val="en-US"/>
        </w:rPr>
        <w:t xml:space="preserve">, C.A. </w:t>
      </w:r>
      <w:r>
        <w:rPr>
          <w:rFonts w:ascii="Times New Roman" w:eastAsia="Times New Roman" w:hAnsi="Times New Roman" w:cs="Times New Roman" w:hint="cs"/>
          <w:sz w:val="24"/>
          <w:szCs w:val="24"/>
          <w:rtl w:val="0"/>
          <w:cs w:val="0"/>
          <w:lang w:val="en-US"/>
        </w:rPr>
        <w:t>Dehaan</w:t>
      </w:r>
      <w:r>
        <w:rPr>
          <w:rFonts w:ascii="Times New Roman" w:eastAsia="Times New Roman" w:hAnsi="Times New Roman" w:cs="Times New Roman" w:hint="cs"/>
          <w:sz w:val="24"/>
          <w:szCs w:val="24"/>
          <w:rtl w:val="0"/>
          <w:cs w:val="0"/>
          <w:lang w:val="en-US"/>
        </w:rPr>
        <w:t>, L.G. (2012). The relationship between spirituality and religiosity on psychological outcomes in adolescents and emerging adults: A meta-analytic review. Journal of Adolescence, 35: 299-314.</w:t>
      </w:r>
    </w:p>
    <w:p w14:paraId="08FE5E9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Younes, R. S; </w:t>
      </w:r>
      <w:r>
        <w:rPr>
          <w:rFonts w:ascii="Times New Roman" w:eastAsia="Times New Roman" w:hAnsi="Times New Roman" w:cs="Times New Roman" w:hint="cs"/>
          <w:sz w:val="24"/>
          <w:szCs w:val="24"/>
          <w:rtl w:val="0"/>
          <w:cs w:val="0"/>
          <w:lang w:val="en-US"/>
        </w:rPr>
        <w:t>Rahme</w:t>
      </w:r>
      <w:r>
        <w:rPr>
          <w:rFonts w:ascii="Times New Roman" w:eastAsia="Times New Roman" w:hAnsi="Times New Roman" w:cs="Times New Roman" w:hint="cs"/>
          <w:sz w:val="24"/>
          <w:szCs w:val="24"/>
          <w:rtl w:val="0"/>
          <w:cs w:val="0"/>
          <w:lang w:val="en-US"/>
        </w:rPr>
        <w:t xml:space="preserve">, E; </w:t>
      </w:r>
      <w:r>
        <w:rPr>
          <w:rFonts w:ascii="Times New Roman" w:eastAsia="Times New Roman" w:hAnsi="Times New Roman" w:cs="Times New Roman" w:hint="cs"/>
          <w:sz w:val="24"/>
          <w:szCs w:val="24"/>
          <w:rtl w:val="0"/>
          <w:cs w:val="0"/>
          <w:lang w:val="en-US"/>
        </w:rPr>
        <w:t>Rajha</w:t>
      </w:r>
      <w:r>
        <w:rPr>
          <w:rFonts w:ascii="Times New Roman" w:eastAsia="Times New Roman" w:hAnsi="Times New Roman" w:cs="Times New Roman" w:hint="cs"/>
          <w:sz w:val="24"/>
          <w:szCs w:val="24"/>
          <w:rtl w:val="0"/>
          <w:cs w:val="0"/>
          <w:lang w:val="en-US"/>
        </w:rPr>
        <w:t xml:space="preserve">, F; &amp; </w:t>
      </w:r>
      <w:r>
        <w:rPr>
          <w:rFonts w:ascii="Times New Roman" w:eastAsia="Times New Roman" w:hAnsi="Times New Roman" w:cs="Times New Roman" w:hint="cs"/>
          <w:sz w:val="24"/>
          <w:szCs w:val="24"/>
          <w:rtl w:val="0"/>
          <w:cs w:val="0"/>
          <w:lang w:val="en-US"/>
        </w:rPr>
        <w:t>Mzawak</w:t>
      </w:r>
      <w:r>
        <w:rPr>
          <w:rFonts w:ascii="Times New Roman" w:eastAsia="Times New Roman" w:hAnsi="Times New Roman" w:cs="Times New Roman" w:hint="cs"/>
          <w:sz w:val="24"/>
          <w:szCs w:val="24"/>
          <w:rtl w:val="0"/>
          <w:cs w:val="0"/>
          <w:lang w:val="en-US"/>
        </w:rPr>
        <w:t>, M. A. (2024). Exploring death anxiety among older adults: An integrative review of associated factors and interventions. OMEGA—Journal of Death and Dying. Advance online publication. </w:t>
      </w:r>
      <w:hyperlink r:id="rIdU129">
        <w:r>
          <w:rPr>
            <w:rStyle w:val="Hyperlink"/>
            <w:rFonts w:ascii="Times New Roman" w:eastAsia="Times New Roman" w:hAnsi="Times New Roman" w:cs="Times New Roman" w:hint="cs"/>
            <w:sz w:val="24"/>
            <w:szCs w:val="24"/>
            <w:rtl w:val="0"/>
            <w:lang w:bidi="fa-IR" w:val="en-US"/>
          </w:rPr>
          <w:t xml:space="preserve">https://doi.org/10.1177/00302228241272578</w:t>
        </w:r>
      </w:hyperlink>
    </w:p>
    <w:p w14:paraId="217F956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Yousefi</w:t>
      </w:r>
      <w:r>
        <w:rPr>
          <w:rFonts w:ascii="Times New Roman" w:eastAsia="Times New Roman" w:hAnsi="Times New Roman" w:cs="Times New Roman" w:hint="cs"/>
          <w:sz w:val="24"/>
          <w:szCs w:val="24"/>
          <w:rtl w:val="0"/>
          <w:cs w:val="0"/>
          <w:lang w:val="en-US"/>
        </w:rPr>
        <w:t xml:space="preserve"> </w:t>
      </w:r>
      <w:r>
        <w:rPr>
          <w:rFonts w:ascii="Times New Roman" w:eastAsia="Times New Roman" w:hAnsi="Times New Roman" w:cs="Times New Roman" w:hint="cs"/>
          <w:sz w:val="24"/>
          <w:szCs w:val="24"/>
          <w:rtl w:val="0"/>
          <w:cs w:val="0"/>
          <w:lang w:val="en-US"/>
        </w:rPr>
        <w:t>Afrashteh</w:t>
      </w:r>
      <w:r>
        <w:rPr>
          <w:rFonts w:ascii="Times New Roman" w:eastAsia="Times New Roman" w:hAnsi="Times New Roman" w:cs="Times New Roman" w:hint="cs"/>
          <w:sz w:val="24"/>
          <w:szCs w:val="24"/>
          <w:rtl w:val="0"/>
          <w:cs w:val="0"/>
          <w:lang w:val="en-US"/>
        </w:rPr>
        <w:t xml:space="preserve">, M., </w:t>
      </w:r>
      <w:r>
        <w:rPr>
          <w:rFonts w:ascii="Times New Roman" w:eastAsia="Times New Roman" w:hAnsi="Times New Roman" w:cs="Times New Roman" w:hint="cs"/>
          <w:sz w:val="24"/>
          <w:szCs w:val="24"/>
          <w:rtl w:val="0"/>
          <w:cs w:val="0"/>
          <w:lang w:val="en-US"/>
        </w:rPr>
        <w:t>Fartash</w:t>
      </w:r>
      <w:r>
        <w:rPr>
          <w:rFonts w:ascii="Times New Roman" w:eastAsia="Times New Roman" w:hAnsi="Times New Roman" w:cs="Times New Roman" w:hint="cs"/>
          <w:sz w:val="24"/>
          <w:szCs w:val="24"/>
          <w:rtl w:val="0"/>
          <w:cs w:val="0"/>
          <w:lang w:val="en-US"/>
        </w:rPr>
        <w:t xml:space="preserve">, A., &amp; </w:t>
      </w:r>
      <w:r>
        <w:rPr>
          <w:rFonts w:ascii="Times New Roman" w:eastAsia="Times New Roman" w:hAnsi="Times New Roman" w:cs="Times New Roman" w:hint="cs"/>
          <w:sz w:val="24"/>
          <w:szCs w:val="24"/>
          <w:rtl w:val="0"/>
          <w:cs w:val="0"/>
          <w:lang w:val="en-US"/>
        </w:rPr>
        <w:t>Aboutorabi</w:t>
      </w:r>
      <w:r>
        <w:rPr>
          <w:rFonts w:ascii="Times New Roman" w:eastAsia="Times New Roman" w:hAnsi="Times New Roman" w:cs="Times New Roman" w:hint="cs"/>
          <w:sz w:val="24"/>
          <w:szCs w:val="24"/>
          <w:rtl w:val="0"/>
          <w:cs w:val="0"/>
          <w:lang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new"https</w:t>
      </w:r>
      <w:r>
        <w:rPr>
          <w:rFonts w:ascii="Times New Roman" w:eastAsia="Times New Roman" w:hAnsi="Times New Roman" w:cs="Times New Roman" w:hint="cs"/>
          <w:sz w:val="24"/>
          <w:szCs w:val="24"/>
          <w:rtl w:val="0"/>
          <w:cs w:val="0"/>
          <w:lang w:val="en-US"/>
        </w:rPr>
        <w:t>://doi.org/10.1186/s12877-025-06040-2</w:t>
      </w:r>
    </w:p>
    <w:p w14:paraId="369291DD"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14:paraId="2FF2AD2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Zohar, D; &amp; Marshall, I. (2000). SQ: Spiritual Intelligence—The Ultimate Intelligence. London: Bloomsbury.</w:t>
      </w:r>
    </w:p>
    <w:p w14:paraId="0BE92076" w14:textId="77777777">
      <w:pPr>
        <w:pStyle w:val="Heading1"/>
        <w:pageBreakBefore/>
        <w:autoSpaceDE/>
        <w:autoSpaceDN/>
        <w:bidi w:val="0"/>
        <w:adjustRightInd/>
        <w:spacing w:before="0" w:after="240"/>
        <w:ind w:firstLine="397"/>
        <w:jc w:val="left"/>
        <w:rPr>
          <w:rFonts w:ascii="Times New Roman" w:hAnsi="Times New Roman" w:eastAsia="Times New Roman" w:cs="Times New Roman"/>
          <w:b/>
          <w:bCs/>
          <w:color w:val="000000"/>
          <w:sz w:val="56"/>
          <w:szCs w:val="56"/>
          <w:rtl w:val="0"/>
          <w:cs w:val="0"/>
          <w:lang w:val="en-US"/>
        </w:rPr>
      </w:pPr>
      <w:bookmarkStart w:id="237" w:name="_Toc238572103"/>
      <w:r>
        <w:rPr>
          <w:rFonts w:ascii="Times New Roman" w:hAnsi="Times New Roman" w:cs="Times New Roman" w:eastAsia="Times New Roman"/>
          <w:b/>
          <w:bCs/>
          <w:color w:val="000000"/>
          <w:sz w:val="56"/>
          <w:szCs w:val="56"/>
          <w:rtl w:val="0"/>
          <w:cs w:val="0"/>
          <w:lang w:val="en-US"/>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val="en-US"/>
        </w:rPr>
        <w:t>Fereshteghan</w:t>
      </w:r>
      <w:r>
        <w:rPr>
          <w:rFonts w:ascii="Times New Roman" w:eastAsia="Times New Roman" w:hAnsi="Times New Roman" w:cs="Times New Roman" w:hint="cs"/>
          <w:sz w:val="24"/>
          <w:szCs w:val="24"/>
          <w:rtl w:val="0"/>
          <w:lang w:bidi="fa-IR"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val="en-US"/>
        </w:rPr>
        <w:t>Salkoskis</w:t>
      </w:r>
      <w:r>
        <w:rPr>
          <w:rFonts w:ascii="Times New Roman" w:eastAsia="Times New Roman" w:hAnsi="Times New Roman" w:cs="Times New Roman" w:hint="cs"/>
          <w:sz w:val="24"/>
          <w:szCs w:val="24"/>
          <w:rtl w:val="0"/>
          <w:lang w:bidi="fa-IR" w:val="en-US"/>
        </w:rPr>
        <w:t xml:space="preserve"> and Warwick's Health Anxiety Questionnaire (2002), and </w:t>
      </w:r>
      <w:r>
        <w:rPr>
          <w:rFonts w:ascii="Times New Roman" w:eastAsia="Times New Roman" w:hAnsi="Times New Roman" w:cs="Times New Roman" w:hint="cs"/>
          <w:sz w:val="24"/>
          <w:szCs w:val="24"/>
          <w:rtl w:val="0"/>
          <w:lang w:bidi="fa-IR" w:val="en-US"/>
        </w:rPr>
        <w:t>Templer's</w:t>
      </w:r>
      <w:r>
        <w:rPr>
          <w:rFonts w:ascii="Times New Roman" w:eastAsia="Times New Roman" w:hAnsi="Times New Roman" w:cs="Times New Roman" w:hint="cs"/>
          <w:sz w:val="24"/>
          <w:szCs w:val="24"/>
          <w:rtl w:val="0"/>
          <w:lang w:bidi="fa-IR"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Keywords: Spiritual intelligence, health anxiety, death anxiety, elderly.</w:t>
      </w:r>
    </w:p>
    <w:p>
      <w:pPr>
        <w:pageBreakBefore/>
        <w:bidi w:val="0"/>
        <w:spacing w:before="0" w:after="120" w:line="240" w:lineRule="auto"/>
        <w:jc w:val="center"/>
        <w:rPr>
          <w:rtl w:val="0"/>
        </w:rPr>
      </w:pPr>
      <w:r>
        <w:rPr>
          <w:rFonts w:ascii="Times New Roman" w:hAnsi="Times New Roman"/>
          <w:b/>
          <w:bCs/>
          <w:noProof/>
          <w:sz w:val="36"/>
          <w:szCs w:val="36"/>
          <w:rtl w:val="0"/>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tl w:val="0"/>
          <w:lang w:val="en-US" w:bidi="fa-IR"/>
        </w:rPr>
        <w:t xml:space="preserve">Payame Noor University</w:t>
      </w:r>
    </w:p>
    <w:p>
      <w:pPr>
        <w:bidi w:val="0"/>
        <w:spacing w:before="0" w:after="360" w:line="240" w:lineRule="auto"/>
        <w:jc w:val="center"/>
        <w:rPr>
          <w:rtl w:val="0"/>
        </w:rPr>
      </w:pPr>
      <w:r>
        <w:rPr>
          <w:rFonts w:ascii="Times New Roman" w:hAnsi="Times New Roman" w:cs="Times New Roman"/>
          <w:sz w:val="28"/>
          <w:szCs w:val="28"/>
          <w:rtl w:val="0"/>
          <w:lang w:val="en-US" w:bidi="fa-IR"/>
        </w:rPr>
        <w:t xml:space="preserve">Sari Center</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Master's Thesis</w:t>
      </w:r>
    </w:p>
    <w:p>
      <w:pPr>
        <w:bidi w:val="0"/>
        <w:spacing w:before="0" w:after="360" w:line="240" w:lineRule="auto"/>
        <w:jc w:val="center"/>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Title</w:t>
      </w:r>
    </w:p>
    <w:p>
      <w:pPr>
        <w:bidi w:val="0"/>
        <w:spacing w:before="0" w:after="120" w:line="240" w:lineRule="auto"/>
        <w:jc w:val="center"/>
        <w:rPr>
          <w:rtl w:val="0"/>
        </w:rPr>
      </w:pPr>
      <w:r>
        <w:rPr>
          <w:rFonts w:ascii="Times New Roman" w:hAnsi="Times New Roman" w:cs="Times New Roman"/>
          <w:sz w:val="36"/>
          <w:szCs w:val="36"/>
          <w:rtl w:val="0"/>
          <w:lang w:val="en-US" w:bidi="fa-IR"/>
        </w:rPr>
        <w:t xml:space="preserve">Relationship between Spiritual Intelligence and Health Anxiety with Death Anxiety in the Elderly</w:t>
      </w:r>
    </w:p>
    <w:p>
      <w:pPr>
        <w:bidi w:val="0"/>
        <w:spacing w:before="0" w:after="480" w:line="240" w:lineRule="auto"/>
        <w:jc w:val="center"/>
        <w:rPr>
          <w:rtl w:val="0"/>
        </w:rPr>
      </w:pPr>
      <w:r>
        <w:rPr>
          <w:rFonts w:ascii="Times New Roman" w:hAnsi="Times New Roman" w:cs="Times New Roman"/>
          <w:sz w:val="24"/>
          <w:szCs w:val="24"/>
          <w:rtl w:val="0"/>
          <w:lang w:val="en-US" w:bidi="fa-IR"/>
        </w:rPr>
        <w:t xml:space="preserve">Fereshtegan Nursing Home, Eslamshahr</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Supervisor</w:t>
      </w:r>
    </w:p>
    <w:p>
      <w:pPr>
        <w:bidi w:val="0"/>
        <w:spacing w:before="0" w:after="360" w:line="240" w:lineRule="auto"/>
        <w:jc w:val="center"/>
        <w:rPr>
          <w:rtl w:val="0"/>
        </w:rPr>
      </w:pPr>
      <w:r>
        <w:rPr>
          <w:rFonts w:ascii="Times New Roman" w:hAnsi="Times New Roman" w:cs="Times New Roman"/>
          <w:sz w:val="28"/>
          <w:szCs w:val="28"/>
          <w:rtl w:val="0"/>
          <w:lang w:val="en-US" w:bidi="fa-IR"/>
        </w:rPr>
        <w:t xml:space="preserve">Babollah Bakhshipour Joibari</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Author</w:t>
      </w:r>
    </w:p>
    <w:p>
      <w:pPr>
        <w:bidi w:val="0"/>
        <w:spacing w:before="0" w:after="480" w:line="240" w:lineRule="auto"/>
        <w:jc w:val="center"/>
        <w:rPr>
          <w:rtl w:val="0"/>
        </w:rPr>
      </w:pPr>
      <w:r>
        <w:rPr>
          <w:rFonts w:ascii="Times New Roman" w:hAnsi="Times New Roman" w:cs="Times New Roman"/>
          <w:sz w:val="28"/>
          <w:szCs w:val="28"/>
          <w:rtl w:val="0"/>
          <w:lang w:val="en-US" w:bidi="fa-IR"/>
        </w:rPr>
        <w:t xml:space="preserve">Fatemeh Bayat</w:t>
      </w:r>
    </w:p>
    <w:p>
      <w:pPr>
        <w:bidi w:val="0"/>
        <w:spacing w:before="0" w:after="0" w:line="240" w:lineRule="auto"/>
        <w:jc w:val="center"/>
        <w:rPr>
          <w:rtl w:val="0"/>
        </w:rPr>
      </w:pPr>
      <w:r>
        <w:rPr>
          <w:rFonts w:ascii="Times New Roman" w:hAnsi="Times New Roman" w:cs="Times New Roman"/>
          <w:sz w:val="28"/>
          <w:szCs w:val="28"/>
          <w:rtl w:val="0"/>
          <w:lang w:val="en-US" w:bidi="fa-IR"/>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10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Warwick</w:t>
      </w:r>
    </w:p>
  </w:footnote>
  <w:footnote w:id="10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Halldórsson</w:t>
      </w:r>
    </w:p>
  </w:footnote>
  <w:footnote w:id="10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Stuart</w:t>
      </w:r>
    </w:p>
  </w:footnote>
  <w:footnote w:id="10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Çarıkçı-Özgül</w:t>
      </w:r>
    </w:p>
  </w:footnote>
  <w:footnote w:id="11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Işık</w:t>
      </w:r>
    </w:p>
  </w:footnote>
  <w:footnote w:id="11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Socioemotional Selectivity Theory</w:t>
      </w:r>
    </w:p>
  </w:footnote>
  <w:footnote w:id="11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Carstensen</w:t>
      </w:r>
    </w:p>
  </w:footnote>
  <w:footnote w:id="11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positivity effect</w:t>
      </w:r>
    </w:p>
  </w:footnote>
  <w:footnote w:id="114">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Isaacowitz</w:t>
      </w:r>
    </w:p>
  </w:footnote>
  <w:footnote w:id="115">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Charles</w:t>
      </w:r>
    </w:p>
  </w:footnote>
  <w:footnote w:id="11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Reed</w:t>
      </w:r>
    </w:p>
  </w:footnote>
  <w:footnote w:id="11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Chan</w:t>
      </w:r>
    </w:p>
  </w:footnote>
  <w:footnote w:id="11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Mikels</w:t>
      </w:r>
    </w:p>
  </w:footnote>
  <w:footnote w:id="11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DeCicco</w:t>
      </w:r>
    </w:p>
  </w:footnote>
  <w:footnote w:id="12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Inflammaging</w:t>
      </w:r>
    </w:p>
  </w:footnote>
  <w:footnote w:id="12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Franceschi</w:t>
      </w:r>
    </w:p>
  </w:footnote>
  <w:footnote w:id="12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Westerhof</w:t>
      </w:r>
    </w:p>
  </w:footnote>
  <w:footnote w:id="12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Bohlmeijer</w:t>
      </w:r>
    </w:p>
  </w:footnote>
  <w:footnote w:id="124">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McAdams</w:t>
      </w:r>
    </w:p>
  </w:footnote>
  <w:footnote w:id="125">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Rowe</w:t>
      </w:r>
    </w:p>
  </w:footnote>
  <w:footnote w:id="12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Kahn</w:t>
      </w:r>
    </w:p>
  </w:footnote>
  <w:footnote w:id="12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Pyszczynski, Lockett, Greenberg &amp; Solomon</w:t>
      </w:r>
    </w:p>
  </w:footnote>
  <w:footnote w:id="12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Iverach</w:t>
      </w:r>
    </w:p>
  </w:footnote>
  <w:footnote w:id="12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Menzies</w:t>
      </w:r>
    </w:p>
  </w:footnote>
  <w:footnote w:id="13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Meaning Management Theory</w:t>
      </w:r>
    </w:p>
  </w:footnote>
  <w:footnote w:id="13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Wong</w:t>
      </w:r>
    </w:p>
  </w:footnote>
  <w:footnote w:id="13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Braddock</w:t>
      </w:r>
    </w:p>
  </w:footnote>
  <w:footnote w:id="13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Haigh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DoiWarwick90" Type="http://schemas.openxmlformats.org/officeDocument/2006/relationships/hyperlink" Target="https://doi.org/10.1016/0005-7967(90)90023-c" TargetMode="External"/><Relationship Id="rIdDoiStuart99" Type="http://schemas.openxmlformats.org/officeDocument/2006/relationships/hyperlink" Target="https://doi.org/10.1016/S0033-3182(99)71269-7" TargetMode="External"/><Relationship Id="rIdDoiNoyes03" Type="http://schemas.openxmlformats.org/officeDocument/2006/relationships/hyperlink" Target="https://doi.org/10.1097/01.PSY.0000058377.50240.64" TargetMode="External"/><Relationship Id="rIdDoiAtchley89" Type="http://schemas.openxmlformats.org/officeDocument/2006/relationships/hyperlink" Target="https://doi.org/10.1093/geront/29.2.183" TargetMode="External"/><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14" Type="http://schemas.openxmlformats.org/officeDocument/2006/relationships/hyperlink" Target="https://doi.org/10.1037/a0035194" TargetMode="External"/><Relationship Id="rIdDoiLopez23" Type="http://schemas.openxmlformats.org/officeDocument/2006/relationships/hyperlink" Target="https://doi.org/10.1016/j.cell.2022.11.001" TargetMode="External"/><Relationship Id="rIdTreePng1" Type="http://schemas.openxmlformats.org/officeDocument/2006/relationships/image" Target="media/tree1.png" TargetMode="External"/><Relationship Id="rIdTreePng2" Type="http://schemas.openxmlformats.org/officeDocument/2006/relationships/image" Target="media/tree2.png" TargetMode="External"/><Relationship Id="rIdTreePng3" Type="http://schemas.openxmlformats.org/officeDocument/2006/relationships/image" Target="media/tree3.png" TargetMode="External"/><Relationship Id="rIdTreePng4" Type="http://schemas.openxmlformats.org/officeDocument/2006/relationships/image" Target="media/tree4.png" TargetMode="External"/><Relationship Id="rIdDoiFranc18" Type="http://schemas.openxmlformats.org/officeDocument/2006/relationships/hyperlink" Target="https://doi.org/10.1038/s41574-018-0059-4" TargetMode="External"/><Relationship Id="rIdDoiRowe15" Type="http://schemas.openxmlformats.org/officeDocument/2006/relationships/hyperlink" Target="https://doi.org/10.1093/geronb/gbv025" TargetMode="External"/><Relationship Id="rIdDoiWest17" Type="http://schemas.openxmlformats.org/officeDocument/2006/relationships/hyperlink" Target="https://doi.org/10.1093/geronb/gbv062" TargetMode="External"/><Relationship Id="rIdDoiIver14" Type="http://schemas.openxmlformats.org/officeDocument/2006/relationships/hyperlink" Target="https://doi.org/10.1016/j.cpr.2014.09.002" TargetMode="External"/><Relationship Id="rIdDoiMenz20" Type="http://schemas.openxmlformats.org/officeDocument/2006/relationships/hyperlink" Target="https://doi.org/10.1017/S1754470X20000215" TargetMode="External"/><Relationship Id="rIdDoiPysz21" Type="http://schemas.openxmlformats.org/officeDocument/2006/relationships/hyperlink" Target="https://doi.org/10.1177/0022167820959488" TargetMode="External"/><Relationship Id="rIdDoiHav61" Type="http://schemas.openxmlformats.org/officeDocument/2006/relationships/hyperlink" Target="https://doi.org/10.1093/geront/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