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908D0" w:rsidRDefault="002700C9" w:rsidP="002479FD">
      <w:pPr>
        <w:autoSpaceDE/>
        <w:autoSpaceDN/>
        <w:adjustRightInd/>
        <w:spacing w:after="0" w:line="240" w:lineRule="auto"/>
        <w:jc w:val="center"/>
        <w:rPr>
          <w:b/>
          <w:bCs/>
          <w:sz w:val="32"/>
          <w:szCs w:val="32"/>
          <w:cs w:val="0"/>
        </w:rPr>
      </w:pPr>
      <w:r>
        <w:rPr>
          <w:b/>
          <w:bCs/>
          <w:noProof/>
          <w:color w:val="auto"/>
          <w:lang w:bidi="ar-SA"/>
        </w:rPr>
        <w:drawing>
          <wp:anchor distT="0" distB="0" distL="114300" distR="114300" simplePos="0" relativeHeight="251669504" behindDoc="1" locked="0" layoutInCell="1" allowOverlap="1">
            <wp:simplePos x="2238375" y="2657475"/>
            <wp:positionH relativeFrom="margin">
              <wp:align>center</wp:align>
            </wp:positionH>
            <wp:positionV relativeFrom="margin">
              <wp:align>center</wp:align>
            </wp:positionV>
            <wp:extent cx="4333240" cy="5909310"/>
            <wp:effectExtent l="0" t="0" r="0" b="0"/>
            <wp:wrapSquare wrapText="bothSides"/>
            <wp:docPr id="44" name="Picture 44" descr="Description: 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00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33240" cy="5909310"/>
                    </a:xfrm>
                    <a:prstGeom prst="rect">
                      <a:avLst/>
                    </a:prstGeom>
                    <a:noFill/>
                    <a:ln>
                      <a:noFill/>
                    </a:ln>
                  </pic:spPr>
                </pic:pic>
              </a:graphicData>
            </a:graphic>
            <wp14:sizeRelH relativeFrom="page">
              <wp14:pctWidth>0</wp14:pctWidth>
            </wp14:sizeRelH>
            <wp14:sizeRelV relativeFrom="margin">
              <wp14:pctHeight>0</wp14:pctHeight>
            </wp14:sizeRelV>
          </wp:anchor>
        </w:drawing>
      </w:r>
      <w:r w:rsidR="00FB62D3">
        <w:rPr>
          <w:b/>
          <w:bCs/>
          <w:color w:val="auto"/>
          <w:cs w:val="0"/>
        </w:rPr>
        <w:br w:type="page"/>
      </w:r>
      <w:r w:rsidR="004A15EF">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0;text-align:left;margin-left:197.55pt;margin-top:26.9pt;width:49.95pt;height:65.55pt;z-index:251666432;visibility:visible;mso-position-horizontal-relative:margin;mso-position-vertical-relative:margin" filled="t">
            <v:imagedata r:id="rId9" o:title=""/>
            <o:lock v:ext="edit" aspectratio="f"/>
            <w10:wrap type="topAndBottom" anchorx="margin" anchory="margin"/>
          </v:shape>
        </w:pict>
      </w:r>
      <w:r w:rsidR="002D5E38">
        <w:rPr>
          <w:rFonts w:hint="cs"/>
          <w:b/>
          <w:bCs/>
          <w:sz w:val="32"/>
          <w:szCs w:val="32"/>
          <w:cs w:val="0"/>
        </w:rPr>
        <w:t>مرکز ساری</w:t>
      </w:r>
    </w:p>
    <w:p w:rsidR="00124848" w:rsidRDefault="00124848">
      <w:pPr>
        <w:spacing w:after="60" w:line="240" w:lineRule="auto"/>
        <w:jc w:val="center"/>
        <w:rPr>
          <w:b/>
          <w:bCs/>
          <w:color w:val="auto"/>
          <w:sz w:val="36"/>
          <w:szCs w:val="36"/>
          <w:cs w:val="0"/>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پایان نامه کارشناسی ارشد</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رشته روانشناسی گرایش روانشناسی اسلامی گرایش روانشناسی مثبت گرا</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Default="002D5E38" w:rsidP="00124848">
      <w:pPr>
        <w:bidi w:val="0"/>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rPr>
        <w:t>عنوان</w:t>
      </w:r>
    </w:p>
    <w:p w:rsidR="00124848" w:rsidRPr="00124848" w:rsidRDefault="00124848" w:rsidP="00124848">
      <w:pPr>
        <w:spacing w:after="0" w:line="240" w:lineRule="auto"/>
        <w:ind w:right="-4"/>
        <w:jc w:val="center"/>
        <w:rPr>
          <w:rFonts w:ascii="Courier New" w:eastAsia="Calibri" w:hAnsi="Courier New" w:hint="cs"/>
          <w:b/>
          <w:bCs/>
          <w:color w:val="auto"/>
          <w:sz w:val="36"/>
          <w:szCs w:val="36"/>
          <w:cs w:val="0"/>
        </w:rPr>
      </w:pPr>
      <w:r>
        <w:rPr>
          <w:rFonts w:ascii="Courier New" w:eastAsia="Calibri" w:hAnsi="Courier New" w:hint="cs"/>
          <w:b/>
          <w:bCs/>
          <w:color w:val="auto"/>
          <w:sz w:val="36"/>
          <w:szCs w:val="36"/>
          <w:cs w:val="0"/>
          <w:lang w:bidi="ar-SA"/>
        </w:rPr>
        <w:t>رابطه هوش معنوی و اضطراب سلامتی</w:t>
      </w:r>
      <w:r w:rsidRPr="00124848">
        <w:rPr>
          <w:rFonts w:ascii="Courier New" w:eastAsia="Calibri" w:hAnsi="Courier New" w:hint="cs"/>
          <w:b/>
          <w:bCs/>
          <w:color w:val="auto"/>
          <w:sz w:val="36"/>
          <w:szCs w:val="36"/>
          <w:cs w:val="0"/>
          <w:lang w:bidi="ar-SA"/>
        </w:rPr>
        <w:t xml:space="preserve"> با اضطراب مرگ سالمندان خانه سالمندان فرشتگان</w:t>
      </w:r>
      <w:r>
        <w:rPr>
          <w:rFonts w:ascii="Courier New" w:eastAsia="Calibri" w:hAnsi="Courier New" w:hint="cs"/>
          <w:b/>
          <w:bCs/>
          <w:color w:val="auto"/>
          <w:sz w:val="36"/>
          <w:szCs w:val="36"/>
          <w:cs w:val="0"/>
          <w:lang w:bidi="ar-SA"/>
        </w:rPr>
        <w:t xml:space="preserve"> اسلامشهر</w:t>
      </w:r>
      <w:r w:rsidR="00041273">
        <w:rPr>
          <w:rFonts w:ascii="Courier New" w:eastAsia="Calibri" w:hAnsi="Courier New" w:hint="cs"/>
          <w:b/>
          <w:bCs/>
          <w:color w:val="auto"/>
          <w:sz w:val="36"/>
          <w:szCs w:val="36"/>
          <w:cs w:val="0"/>
        </w:rPr>
        <w:t>(تهران)</w:t>
      </w:r>
    </w:p>
    <w:p w:rsidR="00A42952" w:rsidRPr="00124848" w:rsidRDefault="00A42952" w:rsidP="00124848">
      <w:pPr>
        <w:bidi w:val="0"/>
        <w:spacing w:after="0" w:line="240" w:lineRule="auto"/>
        <w:ind w:right="-4"/>
        <w:jc w:val="center"/>
        <w:rPr>
          <w:rFonts w:ascii="Courier New" w:eastAsia="Calibri" w:hAnsi="Courier New"/>
          <w:b/>
          <w:bCs/>
          <w:color w:val="auto"/>
          <w:sz w:val="36"/>
          <w:szCs w:val="36"/>
          <w:rtl w:val="0"/>
          <w:cs w:val="0"/>
          <w:lang w:bidi="ar-SA"/>
        </w:rPr>
      </w:pPr>
    </w:p>
    <w:p w:rsidR="008908D0" w:rsidRDefault="002D5E38" w:rsidP="00124848">
      <w:pPr>
        <w:spacing w:after="0" w:line="240" w:lineRule="auto"/>
        <w:ind w:right="-4"/>
        <w:jc w:val="center"/>
        <w:rPr>
          <w:b/>
          <w:bCs/>
          <w:color w:val="auto"/>
          <w:sz w:val="36"/>
          <w:szCs w:val="36"/>
          <w:cs w:val="0"/>
        </w:rPr>
      </w:pPr>
      <w:r w:rsidRPr="00124848">
        <w:rPr>
          <w:rFonts w:ascii="Courier New" w:eastAsia="Calibri" w:hAnsi="Courier New" w:hint="cs"/>
          <w:b/>
          <w:bCs/>
          <w:color w:val="auto"/>
          <w:sz w:val="36"/>
          <w:szCs w:val="36"/>
          <w:cs w:val="0"/>
          <w:lang w:bidi="ar-SA"/>
        </w:rPr>
        <w:t>استاد</w:t>
      </w:r>
      <w:r>
        <w:rPr>
          <w:rFonts w:hint="cs"/>
          <w:b/>
          <w:bCs/>
          <w:cs w:val="0"/>
        </w:rPr>
        <w:t xml:space="preserve"> </w:t>
      </w:r>
      <w:r w:rsidRPr="00124848">
        <w:rPr>
          <w:rFonts w:ascii="Courier New" w:eastAsia="Calibri" w:hAnsi="Courier New" w:hint="cs"/>
          <w:b/>
          <w:bCs/>
          <w:color w:val="auto"/>
          <w:sz w:val="36"/>
          <w:szCs w:val="36"/>
          <w:cs w:val="0"/>
          <w:lang w:bidi="ar-SA"/>
        </w:rPr>
        <w:t>راهنما</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باب اله بخشی پور جویباری</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Pr="00124848"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مؤلف</w:t>
      </w:r>
    </w:p>
    <w:p w:rsidR="008908D0" w:rsidRDefault="002D5E38" w:rsidP="00124848">
      <w:pPr>
        <w:spacing w:after="0" w:line="240" w:lineRule="auto"/>
        <w:ind w:right="-4"/>
        <w:jc w:val="center"/>
        <w:rPr>
          <w:rFonts w:ascii="Courier New" w:eastAsia="Calibri" w:hAnsi="Courier New"/>
          <w:b/>
          <w:bCs/>
          <w:color w:val="auto"/>
          <w:sz w:val="36"/>
          <w:szCs w:val="36"/>
          <w:cs w:val="0"/>
          <w:lang w:bidi="ar-SA"/>
        </w:rPr>
      </w:pPr>
      <w:r w:rsidRPr="00124848">
        <w:rPr>
          <w:rFonts w:ascii="Courier New" w:eastAsia="Calibri" w:hAnsi="Courier New" w:hint="cs"/>
          <w:b/>
          <w:bCs/>
          <w:color w:val="auto"/>
          <w:sz w:val="36"/>
          <w:szCs w:val="36"/>
          <w:cs w:val="0"/>
          <w:lang w:bidi="ar-SA"/>
        </w:rPr>
        <w:t>فاطمه بیات</w:t>
      </w:r>
    </w:p>
    <w:p w:rsidR="00124848" w:rsidRPr="00124848" w:rsidRDefault="00124848" w:rsidP="00124848">
      <w:pPr>
        <w:spacing w:after="0" w:line="240" w:lineRule="auto"/>
        <w:ind w:right="-4"/>
        <w:jc w:val="center"/>
        <w:rPr>
          <w:rFonts w:ascii="Courier New" w:eastAsia="Calibri" w:hAnsi="Courier New"/>
          <w:b/>
          <w:bCs/>
          <w:color w:val="auto"/>
          <w:sz w:val="36"/>
          <w:szCs w:val="36"/>
          <w:cs w:val="0"/>
          <w:lang w:bidi="ar-SA"/>
        </w:rPr>
      </w:pPr>
    </w:p>
    <w:p w:rsidR="008908D0" w:rsidRPr="00124848" w:rsidRDefault="00124848" w:rsidP="00124848">
      <w:pPr>
        <w:spacing w:after="0" w:line="240" w:lineRule="auto"/>
        <w:ind w:right="-4"/>
        <w:jc w:val="center"/>
        <w:rPr>
          <w:rFonts w:ascii="Courier New" w:eastAsia="Calibri" w:hAnsi="Courier New"/>
          <w:b/>
          <w:bCs/>
          <w:color w:val="auto"/>
          <w:sz w:val="36"/>
          <w:szCs w:val="36"/>
          <w:cs w:val="0"/>
          <w:lang w:bidi="ar-SA"/>
        </w:rPr>
      </w:pPr>
      <w:r>
        <w:rPr>
          <w:rFonts w:ascii="Courier New" w:eastAsia="Calibri" w:hAnsi="Courier New" w:hint="cs"/>
          <w:b/>
          <w:bCs/>
          <w:color w:val="auto"/>
          <w:sz w:val="36"/>
          <w:szCs w:val="36"/>
          <w:cs w:val="0"/>
          <w:lang w:bidi="ar-SA"/>
        </w:rPr>
        <w:t>بهمن</w:t>
      </w:r>
      <w:r w:rsidR="002D5E38" w:rsidRPr="00124848">
        <w:rPr>
          <w:rFonts w:ascii="Courier New" w:eastAsia="Calibri" w:hAnsi="Courier New" w:hint="cs"/>
          <w:b/>
          <w:bCs/>
          <w:color w:val="auto"/>
          <w:sz w:val="36"/>
          <w:szCs w:val="36"/>
          <w:cs w:val="0"/>
          <w:lang w:bidi="ar-SA"/>
        </w:rPr>
        <w:t xml:space="preserve"> ۱۴۰</w:t>
      </w:r>
      <w:r>
        <w:rPr>
          <w:rFonts w:ascii="Courier New" w:eastAsia="Calibri" w:hAnsi="Courier New" w:hint="cs"/>
          <w:b/>
          <w:bCs/>
          <w:color w:val="auto"/>
          <w:sz w:val="36"/>
          <w:szCs w:val="36"/>
          <w:cs w:val="0"/>
        </w:rPr>
        <w:t>۴</w:t>
      </w:r>
    </w:p>
    <w:p w:rsidR="000C74E5" w:rsidRDefault="000C74E5">
      <w:pPr>
        <w:autoSpaceDE/>
        <w:autoSpaceDN/>
        <w:adjustRightInd/>
        <w:spacing w:after="0" w:line="240" w:lineRule="auto"/>
        <w:jc w:val="right"/>
        <w:rPr>
          <w:rFonts w:eastAsia="MS Mincho"/>
          <w:b/>
          <w:bCs/>
          <w:noProof/>
          <w:color w:val="auto"/>
          <w:sz w:val="32"/>
          <w:szCs w:val="32"/>
          <w:cs w:val="0"/>
          <w:lang w:bidi="ar-SA"/>
        </w:rPr>
      </w:pPr>
      <w:r>
        <w:rPr>
          <w:rFonts w:eastAsia="MS Mincho"/>
          <w:b/>
          <w:bCs/>
          <w:noProof/>
          <w:color w:val="auto"/>
          <w:sz w:val="32"/>
          <w:szCs w:val="32"/>
          <w:cs w:val="0"/>
          <w:lang w:bidi="ar-SA"/>
        </w:rPr>
        <w:br w:type="page"/>
      </w:r>
    </w:p>
    <w:p w:rsidR="008908D0" w:rsidRPr="000C74E5" w:rsidRDefault="002D5E38" w:rsidP="000C74E5">
      <w:pPr>
        <w:tabs>
          <w:tab w:val="left" w:pos="3748"/>
        </w:tabs>
        <w:autoSpaceDE/>
        <w:autoSpaceDN/>
        <w:adjustRightInd/>
        <w:spacing w:after="0" w:line="240" w:lineRule="auto"/>
        <w:ind w:left="-4"/>
        <w:jc w:val="center"/>
        <w:rPr>
          <w:rFonts w:eastAsia="MS Mincho"/>
          <w:b/>
          <w:bCs/>
          <w:noProof/>
          <w:color w:val="auto"/>
          <w:sz w:val="32"/>
          <w:szCs w:val="32"/>
          <w:cs w:val="0"/>
          <w:lang w:bidi="ar-SA"/>
        </w:rPr>
      </w:pPr>
      <w:r w:rsidRPr="000C74E5">
        <w:rPr>
          <w:rFonts w:eastAsia="MS Mincho" w:hint="cs"/>
          <w:b/>
          <w:bCs/>
          <w:noProof/>
          <w:color w:val="auto"/>
          <w:sz w:val="32"/>
          <w:szCs w:val="32"/>
          <w:cs w:val="0"/>
          <w:lang w:bidi="ar-SA"/>
        </w:rPr>
        <w:lastRenderedPageBreak/>
        <w:t>تعهد نامه اصالت رساله/پایان نامه</w:t>
      </w:r>
    </w:p>
    <w:p w:rsidR="00A218BA" w:rsidRPr="00A218BA" w:rsidRDefault="00A218BA" w:rsidP="00A218BA">
      <w:pPr>
        <w:autoSpaceDE/>
        <w:autoSpaceDN/>
        <w:adjustRightInd/>
        <w:ind w:left="-497"/>
        <w:jc w:val="both"/>
        <w:rPr>
          <w:rFonts w:eastAsia="MS Mincho"/>
          <w:noProof/>
          <w:color w:val="auto"/>
          <w:cs w:val="0"/>
        </w:rPr>
      </w:pPr>
      <w:r w:rsidRPr="00A218BA">
        <w:rPr>
          <w:rFonts w:eastAsia="MS Mincho"/>
          <w:noProof/>
          <w:color w:val="auto"/>
          <w:cs w:val="0"/>
        </w:rPr>
        <w:t>ا</w:t>
      </w:r>
      <w:r w:rsidRPr="00A218BA">
        <w:rPr>
          <w:rFonts w:eastAsia="MS Mincho" w:hint="cs"/>
          <w:noProof/>
          <w:color w:val="auto"/>
          <w:cs w:val="0"/>
        </w:rPr>
        <w:t>ی</w:t>
      </w:r>
      <w:r w:rsidRPr="00A218BA">
        <w:rPr>
          <w:rFonts w:eastAsia="MS Mincho" w:hint="eastAsia"/>
          <w:noProof/>
          <w:color w:val="auto"/>
          <w:cs w:val="0"/>
        </w:rPr>
        <w:t>نجانب</w:t>
      </w:r>
      <w:r w:rsidRPr="00A218BA">
        <w:rPr>
          <w:rFonts w:eastAsia="MS Mincho"/>
          <w:noProof/>
          <w:color w:val="auto"/>
          <w:cs w:val="0"/>
        </w:rPr>
        <w:t xml:space="preserve"> </w:t>
      </w:r>
      <w:r w:rsidRPr="000C74E5">
        <w:rPr>
          <w:rFonts w:eastAsia="MS Mincho"/>
          <w:b/>
          <w:bCs/>
          <w:i/>
          <w:iCs/>
          <w:noProof/>
          <w:color w:val="auto"/>
          <w:cs w:val="0"/>
        </w:rPr>
        <w:t>فاطمه ب</w:t>
      </w:r>
      <w:r w:rsidRPr="000C74E5">
        <w:rPr>
          <w:rFonts w:eastAsia="MS Mincho" w:hint="cs"/>
          <w:b/>
          <w:bCs/>
          <w:i/>
          <w:iCs/>
          <w:noProof/>
          <w:color w:val="auto"/>
          <w:cs w:val="0"/>
        </w:rPr>
        <w:t>ی</w:t>
      </w:r>
      <w:r w:rsidRPr="000C74E5">
        <w:rPr>
          <w:rFonts w:eastAsia="MS Mincho" w:hint="eastAsia"/>
          <w:b/>
          <w:bCs/>
          <w:i/>
          <w:iCs/>
          <w:noProof/>
          <w:color w:val="auto"/>
          <w:cs w:val="0"/>
        </w:rPr>
        <w:t>ات</w:t>
      </w:r>
      <w:r w:rsidRPr="00A218BA">
        <w:rPr>
          <w:rFonts w:eastAsia="MS Mincho"/>
          <w:noProof/>
          <w:color w:val="auto"/>
          <w:cs w:val="0"/>
        </w:rPr>
        <w:t xml:space="preserve"> دانش</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آموخته</w:t>
      </w:r>
      <w:r w:rsidRPr="00A218BA">
        <w:rPr>
          <w:rFonts w:eastAsia="MS Mincho"/>
          <w:noProof/>
          <w:color w:val="auto"/>
          <w:cs w:val="0"/>
        </w:rPr>
        <w:t xml:space="preserve"> </w:t>
      </w:r>
      <w:r w:rsidRPr="00A218BA">
        <w:rPr>
          <w:rFonts w:eastAsia="MS Mincho" w:hint="cs"/>
          <w:noProof/>
          <w:color w:val="auto"/>
          <w:cs w:val="0"/>
        </w:rPr>
        <w:t>مقطع</w:t>
      </w:r>
      <w:r w:rsidRPr="00A218BA">
        <w:rPr>
          <w:rFonts w:eastAsia="MS Mincho"/>
          <w:noProof/>
          <w:color w:val="auto"/>
          <w:cs w:val="0"/>
        </w:rPr>
        <w:t xml:space="preserve"> </w:t>
      </w:r>
      <w:r w:rsidRPr="00A218BA">
        <w:rPr>
          <w:rFonts w:eastAsia="MS Mincho" w:hint="cs"/>
          <w:noProof/>
          <w:color w:val="auto"/>
          <w:cs w:val="0"/>
        </w:rPr>
        <w:t>کارشناسی‌</w:t>
      </w:r>
      <w:r w:rsidRPr="00A218BA">
        <w:rPr>
          <w:rFonts w:eastAsia="MS Mincho" w:hint="eastAsia"/>
          <w:noProof/>
          <w:color w:val="auto"/>
          <w:cs w:val="0"/>
        </w:rPr>
        <w:t>ارشد</w:t>
      </w:r>
      <w:r w:rsidRPr="00A218BA">
        <w:rPr>
          <w:rFonts w:eastAsia="MS Mincho"/>
          <w:noProof/>
          <w:color w:val="auto"/>
          <w:cs w:val="0"/>
        </w:rPr>
        <w:t xml:space="preserve"> ناپ</w:t>
      </w:r>
      <w:r w:rsidRPr="00A218BA">
        <w:rPr>
          <w:rFonts w:eastAsia="MS Mincho" w:hint="cs"/>
          <w:noProof/>
          <w:color w:val="auto"/>
          <w:cs w:val="0"/>
        </w:rPr>
        <w:t>ی</w:t>
      </w:r>
      <w:r w:rsidRPr="00A218BA">
        <w:rPr>
          <w:rFonts w:eastAsia="MS Mincho" w:hint="eastAsia"/>
          <w:noProof/>
          <w:color w:val="auto"/>
          <w:cs w:val="0"/>
        </w:rPr>
        <w:t>وسته</w:t>
      </w:r>
      <w:r w:rsidRPr="00A218BA">
        <w:rPr>
          <w:rFonts w:eastAsia="MS Mincho"/>
          <w:noProof/>
          <w:color w:val="auto"/>
          <w:cs w:val="0"/>
        </w:rPr>
        <w:t xml:space="preserve"> تخصص</w:t>
      </w:r>
      <w:r w:rsidRPr="00A218BA">
        <w:rPr>
          <w:rFonts w:eastAsia="MS Mincho" w:hint="cs"/>
          <w:noProof/>
          <w:color w:val="auto"/>
          <w:cs w:val="0"/>
        </w:rPr>
        <w:t>ی</w:t>
      </w:r>
      <w:r w:rsidRPr="00A218BA">
        <w:rPr>
          <w:rFonts w:eastAsia="MS Mincho"/>
          <w:noProof/>
          <w:color w:val="auto"/>
          <w:cs w:val="0"/>
        </w:rPr>
        <w:t xml:space="preserve"> در رشته روان</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شناسی</w:t>
      </w:r>
      <w:r w:rsidR="000E52B9">
        <w:rPr>
          <w:rFonts w:eastAsia="MS Mincho"/>
          <w:noProof/>
          <w:color w:val="auto"/>
          <w:cs w:val="0"/>
        </w:rPr>
        <w:t xml:space="preserve"> </w:t>
      </w:r>
      <w:r w:rsidRPr="00A218BA">
        <w:rPr>
          <w:rFonts w:eastAsia="MS Mincho"/>
          <w:noProof/>
          <w:color w:val="auto"/>
          <w:cs w:val="0"/>
        </w:rPr>
        <w:t>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اسلام</w:t>
      </w:r>
      <w:r w:rsidRPr="00A218BA">
        <w:rPr>
          <w:rFonts w:eastAsia="MS Mincho" w:hint="cs"/>
          <w:noProof/>
          <w:color w:val="auto"/>
          <w:cs w:val="0"/>
        </w:rPr>
        <w:t>ی</w:t>
      </w:r>
      <w:r w:rsidRPr="00A218BA">
        <w:rPr>
          <w:rFonts w:eastAsia="MS Mincho"/>
          <w:noProof/>
          <w:color w:val="auto"/>
          <w:cs w:val="0"/>
        </w:rPr>
        <w:t xml:space="preserve"> گرا</w:t>
      </w:r>
      <w:r w:rsidRPr="00A218BA">
        <w:rPr>
          <w:rFonts w:eastAsia="MS Mincho" w:hint="cs"/>
          <w:noProof/>
          <w:color w:val="auto"/>
          <w:cs w:val="0"/>
        </w:rPr>
        <w:t>ی</w:t>
      </w:r>
      <w:r w:rsidRPr="00A218BA">
        <w:rPr>
          <w:rFonts w:eastAsia="MS Mincho" w:hint="eastAsia"/>
          <w:noProof/>
          <w:color w:val="auto"/>
          <w:cs w:val="0"/>
        </w:rPr>
        <w:t>ش</w:t>
      </w:r>
      <w:r w:rsidRPr="00A218BA">
        <w:rPr>
          <w:rFonts w:eastAsia="MS Mincho"/>
          <w:noProof/>
          <w:color w:val="auto"/>
          <w:cs w:val="0"/>
        </w:rPr>
        <w:t xml:space="preserve"> روانشناس</w:t>
      </w:r>
      <w:r w:rsidRPr="00A218BA">
        <w:rPr>
          <w:rFonts w:eastAsia="MS Mincho" w:hint="cs"/>
          <w:noProof/>
          <w:color w:val="auto"/>
          <w:cs w:val="0"/>
        </w:rPr>
        <w:t>ی</w:t>
      </w:r>
      <w:r w:rsidRPr="00A218BA">
        <w:rPr>
          <w:rFonts w:eastAsia="MS Mincho"/>
          <w:noProof/>
          <w:color w:val="auto"/>
          <w:cs w:val="0"/>
        </w:rPr>
        <w:t xml:space="preserve"> مثبت گرا که در 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w:t>
      </w:r>
      <w:r w:rsidR="000E52B9">
        <w:rPr>
          <w:rFonts w:eastAsia="MS Mincho"/>
          <w:noProof/>
          <w:color w:val="auto"/>
          <w:cs w:val="0"/>
        </w:rPr>
        <w:t xml:space="preserve"> </w:t>
      </w:r>
      <w:r w:rsidRPr="00A218BA">
        <w:rPr>
          <w:rFonts w:eastAsia="MS Mincho"/>
          <w:noProof/>
          <w:color w:val="auto"/>
          <w:cs w:val="0"/>
        </w:rPr>
        <w:t>از رساله/پا</w:t>
      </w:r>
      <w:r w:rsidRPr="00A218BA">
        <w:rPr>
          <w:rFonts w:eastAsia="MS Mincho" w:hint="cs"/>
          <w:noProof/>
          <w:color w:val="auto"/>
          <w:cs w:val="0"/>
        </w:rPr>
        <w:t>ی</w:t>
      </w:r>
      <w:r w:rsidRPr="00A218BA">
        <w:rPr>
          <w:rFonts w:eastAsia="MS Mincho" w:hint="eastAsia"/>
          <w:noProof/>
          <w:color w:val="auto"/>
          <w:cs w:val="0"/>
        </w:rPr>
        <w:t>ان</w:t>
      </w:r>
      <w:r w:rsidRPr="00A218BA">
        <w:rPr>
          <w:rFonts w:eastAsia="MS Mincho"/>
          <w:noProof/>
          <w:color w:val="auto"/>
          <w:cs w:val="0"/>
        </w:rPr>
        <w:t xml:space="preserve"> نامه خود تحت عنوان «</w:t>
      </w:r>
      <w:r w:rsidRPr="000C74E5">
        <w:rPr>
          <w:rFonts w:eastAsia="MS Mincho"/>
          <w:b/>
          <w:bCs/>
          <w:noProof/>
          <w:color w:val="auto"/>
          <w:cs w:val="0"/>
        </w:rPr>
        <w:t>رابطه هوش معنو</w:t>
      </w:r>
      <w:r w:rsidRPr="000C74E5">
        <w:rPr>
          <w:rFonts w:eastAsia="MS Mincho" w:hint="cs"/>
          <w:b/>
          <w:bCs/>
          <w:noProof/>
          <w:color w:val="auto"/>
          <w:cs w:val="0"/>
        </w:rPr>
        <w:t>ی</w:t>
      </w:r>
      <w:r w:rsidRPr="000C74E5">
        <w:rPr>
          <w:rFonts w:eastAsia="MS Mincho"/>
          <w:b/>
          <w:bCs/>
          <w:noProof/>
          <w:color w:val="auto"/>
          <w:cs w:val="0"/>
        </w:rPr>
        <w:t xml:space="preserve"> و اضطراب سلامت</w:t>
      </w:r>
      <w:r w:rsidRPr="000C74E5">
        <w:rPr>
          <w:rFonts w:eastAsia="MS Mincho" w:hint="cs"/>
          <w:b/>
          <w:bCs/>
          <w:noProof/>
          <w:color w:val="auto"/>
          <w:cs w:val="0"/>
        </w:rPr>
        <w:t>ی</w:t>
      </w:r>
      <w:r w:rsidRPr="000C74E5">
        <w:rPr>
          <w:rFonts w:eastAsia="MS Mincho"/>
          <w:b/>
          <w:bCs/>
          <w:noProof/>
          <w:color w:val="auto"/>
          <w:cs w:val="0"/>
        </w:rPr>
        <w:t xml:space="preserve"> با اضطراب </w:t>
      </w:r>
      <w:r w:rsidRPr="000C74E5">
        <w:rPr>
          <w:rFonts w:eastAsia="MS Mincho" w:hint="eastAsia"/>
          <w:b/>
          <w:bCs/>
          <w:noProof/>
          <w:color w:val="auto"/>
          <w:cs w:val="0"/>
        </w:rPr>
        <w:t>مرگ</w:t>
      </w:r>
      <w:r w:rsidRPr="000C74E5">
        <w:rPr>
          <w:rFonts w:eastAsia="MS Mincho"/>
          <w:b/>
          <w:bCs/>
          <w:noProof/>
          <w:color w:val="auto"/>
          <w:cs w:val="0"/>
        </w:rPr>
        <w:t xml:space="preserve"> سالمندان</w:t>
      </w:r>
      <w:r w:rsidRPr="00A218BA">
        <w:rPr>
          <w:rFonts w:eastAsia="MS Mincho"/>
          <w:noProof/>
          <w:color w:val="auto"/>
          <w:cs w:val="0"/>
        </w:rPr>
        <w:t>» با کسب نمره ...... دفاع نموده</w:t>
      </w:r>
      <w:r w:rsidR="000E52B9">
        <w:rPr>
          <w:rFonts w:ascii="Cambria" w:eastAsia="MS Mincho" w:hAnsi="Cambria" w:cs="Times New Roman" w:hint="cs"/>
          <w:noProof/>
          <w:color w:val="auto"/>
          <w:cs w:val="0"/>
        </w:rPr>
        <w:t xml:space="preserve"> </w:t>
      </w:r>
      <w:r w:rsidRPr="00A218BA">
        <w:rPr>
          <w:rFonts w:eastAsia="MS Mincho" w:hint="cs"/>
          <w:noProof/>
          <w:color w:val="auto"/>
          <w:cs w:val="0"/>
        </w:rPr>
        <w:t>ام،</w:t>
      </w:r>
      <w:r w:rsidRPr="00A218BA">
        <w:rPr>
          <w:rFonts w:eastAsia="MS Mincho"/>
          <w:noProof/>
          <w:color w:val="auto"/>
          <w:cs w:val="0"/>
        </w:rPr>
        <w:t xml:space="preserve"> </w:t>
      </w:r>
      <w:r w:rsidRPr="00A218BA">
        <w:rPr>
          <w:rFonts w:eastAsia="MS Mincho" w:hint="cs"/>
          <w:noProof/>
          <w:color w:val="auto"/>
          <w:cs w:val="0"/>
        </w:rPr>
        <w:t>بدی</w:t>
      </w:r>
      <w:r w:rsidRPr="00A218BA">
        <w:rPr>
          <w:rFonts w:eastAsia="MS Mincho" w:hint="eastAsia"/>
          <w:noProof/>
          <w:color w:val="auto"/>
          <w:cs w:val="0"/>
        </w:rPr>
        <w:t>نوس</w:t>
      </w:r>
      <w:r w:rsidRPr="00A218BA">
        <w:rPr>
          <w:rFonts w:eastAsia="MS Mincho" w:hint="cs"/>
          <w:noProof/>
          <w:color w:val="auto"/>
          <w:cs w:val="0"/>
        </w:rPr>
        <w:t>ی</w:t>
      </w:r>
      <w:r w:rsidRPr="00A218BA">
        <w:rPr>
          <w:rFonts w:eastAsia="MS Mincho" w:hint="eastAsia"/>
          <w:noProof/>
          <w:color w:val="auto"/>
          <w:cs w:val="0"/>
        </w:rPr>
        <w:t>له</w:t>
      </w:r>
      <w:r w:rsidRPr="00A218BA">
        <w:rPr>
          <w:rFonts w:eastAsia="MS Mincho"/>
          <w:noProof/>
          <w:color w:val="auto"/>
          <w:cs w:val="0"/>
        </w:rPr>
        <w:t xml:space="preserve"> متعهد م</w:t>
      </w:r>
      <w:r w:rsidRPr="00A218BA">
        <w:rPr>
          <w:rFonts w:eastAsia="MS Mincho" w:hint="cs"/>
          <w:noProof/>
          <w:color w:val="auto"/>
          <w:cs w:val="0"/>
        </w:rPr>
        <w:t>ی</w:t>
      </w:r>
      <w:r w:rsidRPr="00A218BA">
        <w:rPr>
          <w:rFonts w:eastAsia="MS Mincho" w:hint="cs"/>
          <w:noProof/>
          <w:color w:val="auto"/>
          <w:rtl w:val="0"/>
        </w:rPr>
        <w:t>‎</w:t>
      </w:r>
      <w:r w:rsidRPr="00A218BA">
        <w:rPr>
          <w:rFonts w:eastAsia="MS Mincho" w:hint="eastAsia"/>
          <w:noProof/>
          <w:color w:val="auto"/>
          <w:cs w:val="0"/>
        </w:rPr>
        <w:t>شوم</w:t>
      </w:r>
      <w:r w:rsidRPr="00A218BA">
        <w:rPr>
          <w:rFonts w:eastAsia="MS Mincho"/>
          <w:noProof/>
          <w:color w:val="auto"/>
          <w:cs w:val="0"/>
        </w:rPr>
        <w:t>.</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1)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حاصل تحق</w:t>
      </w:r>
      <w:r w:rsidR="00A218BA" w:rsidRPr="00A218BA">
        <w:rPr>
          <w:rFonts w:eastAsia="MS Mincho" w:hint="cs"/>
          <w:noProof/>
          <w:color w:val="auto"/>
          <w:cs w:val="0"/>
        </w:rPr>
        <w:t>ی</w:t>
      </w:r>
      <w:r w:rsidR="00A218BA" w:rsidRPr="00A218BA">
        <w:rPr>
          <w:rFonts w:eastAsia="MS Mincho" w:hint="eastAsia"/>
          <w:noProof/>
          <w:color w:val="auto"/>
          <w:cs w:val="0"/>
        </w:rPr>
        <w:t>ق</w:t>
      </w:r>
      <w:r w:rsidR="00A218BA" w:rsidRPr="00A218BA">
        <w:rPr>
          <w:rFonts w:eastAsia="MS Mincho"/>
          <w:noProof/>
          <w:color w:val="auto"/>
          <w:cs w:val="0"/>
        </w:rPr>
        <w:t xml:space="preserve"> و پژوه انجام شده توسط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بوده و در موارد</w:t>
      </w:r>
      <w:r w:rsidR="00A218BA" w:rsidRPr="00A218BA">
        <w:rPr>
          <w:rFonts w:eastAsia="MS Mincho" w:hint="cs"/>
          <w:noProof/>
          <w:color w:val="auto"/>
          <w:cs w:val="0"/>
        </w:rPr>
        <w:t>ی</w:t>
      </w:r>
      <w:r w:rsidR="00A218BA" w:rsidRPr="00A218BA">
        <w:rPr>
          <w:rFonts w:eastAsia="MS Mincho"/>
          <w:noProof/>
          <w:color w:val="auto"/>
          <w:cs w:val="0"/>
        </w:rPr>
        <w:t xml:space="preserve"> که از دستاورها</w:t>
      </w:r>
      <w:r w:rsidR="00A218BA" w:rsidRPr="00A218BA">
        <w:rPr>
          <w:rFonts w:eastAsia="MS Mincho" w:hint="cs"/>
          <w:noProof/>
          <w:color w:val="auto"/>
          <w:cs w:val="0"/>
        </w:rPr>
        <w:t>ی</w:t>
      </w:r>
      <w:r w:rsidR="00A218BA" w:rsidRPr="00A218BA">
        <w:rPr>
          <w:rFonts w:eastAsia="MS Mincho"/>
          <w:noProof/>
          <w:color w:val="auto"/>
          <w:cs w:val="0"/>
        </w:rPr>
        <w:t xml:space="preserve"> علم</w:t>
      </w:r>
      <w:r w:rsidR="00A218BA" w:rsidRPr="00A218BA">
        <w:rPr>
          <w:rFonts w:eastAsia="MS Mincho" w:hint="cs"/>
          <w:noProof/>
          <w:color w:val="auto"/>
          <w:cs w:val="0"/>
        </w:rPr>
        <w:t>ی</w:t>
      </w:r>
      <w:r w:rsidR="00A218BA" w:rsidRPr="00A218BA">
        <w:rPr>
          <w:rFonts w:eastAsia="MS Mincho"/>
          <w:noProof/>
          <w:color w:val="auto"/>
          <w:cs w:val="0"/>
        </w:rPr>
        <w:t xml:space="preserve"> و پژوهش</w:t>
      </w:r>
      <w:r w:rsidR="00A218BA" w:rsidRPr="00A218BA">
        <w:rPr>
          <w:rFonts w:eastAsia="MS Mincho" w:hint="cs"/>
          <w:noProof/>
          <w:color w:val="auto"/>
          <w:cs w:val="0"/>
        </w:rPr>
        <w:t>ی</w:t>
      </w:r>
      <w:r w:rsidR="00A218BA" w:rsidRPr="00A218BA">
        <w:rPr>
          <w:rFonts w:eastAsia="MS Mincho"/>
          <w:noProof/>
          <w:color w:val="auto"/>
          <w:cs w:val="0"/>
        </w:rPr>
        <w:t xml:space="preserve"> د</w:t>
      </w:r>
      <w:r w:rsidR="00A218BA" w:rsidRPr="00A218BA">
        <w:rPr>
          <w:rFonts w:eastAsia="MS Mincho" w:hint="cs"/>
          <w:noProof/>
          <w:color w:val="auto"/>
          <w:cs w:val="0"/>
        </w:rPr>
        <w:t>ی</w:t>
      </w:r>
      <w:r w:rsidR="00A218BA" w:rsidRPr="00A218BA">
        <w:rPr>
          <w:rFonts w:eastAsia="MS Mincho" w:hint="eastAsia"/>
          <w:noProof/>
          <w:color w:val="auto"/>
          <w:cs w:val="0"/>
        </w:rPr>
        <w:t>گران</w:t>
      </w:r>
      <w:r w:rsidR="00A218BA" w:rsidRPr="00A218BA">
        <w:rPr>
          <w:rFonts w:eastAsia="MS Mincho"/>
          <w:noProof/>
          <w:color w:val="auto"/>
          <w:cs w:val="0"/>
        </w:rPr>
        <w:t xml:space="preserve"> (اعم از پا</w:t>
      </w:r>
      <w:r w:rsidR="00A218BA" w:rsidRPr="00A218BA">
        <w:rPr>
          <w:rFonts w:eastAsia="MS Mincho" w:hint="cs"/>
          <w:noProof/>
          <w:color w:val="auto"/>
          <w:cs w:val="0"/>
        </w:rPr>
        <w:t>ی</w:t>
      </w:r>
      <w:r w:rsidR="00A218BA" w:rsidRPr="00A218BA">
        <w:rPr>
          <w:rFonts w:eastAsia="MS Mincho" w:hint="eastAsia"/>
          <w:noProof/>
          <w:color w:val="auto"/>
          <w:cs w:val="0"/>
        </w:rPr>
        <w:t>ان‌نامه،</w:t>
      </w:r>
      <w:r w:rsidR="00A218BA" w:rsidRPr="00A218BA">
        <w:rPr>
          <w:rFonts w:eastAsia="MS Mincho"/>
          <w:noProof/>
          <w:color w:val="auto"/>
          <w:cs w:val="0"/>
        </w:rPr>
        <w:t xml:space="preserve"> کتاب، مقاله و ......) استفاده نموده</w:t>
      </w:r>
      <w:r w:rsidR="00A218BA" w:rsidRPr="00A218BA">
        <w:rPr>
          <w:rFonts w:eastAsia="MS Mincho"/>
          <w:noProof/>
          <w:color w:val="auto"/>
          <w:rtl w:val="0"/>
        </w:rPr>
        <w:t>‎</w:t>
      </w:r>
      <w:r w:rsidR="00A218BA" w:rsidRPr="00A218BA">
        <w:rPr>
          <w:rFonts w:eastAsia="MS Mincho"/>
          <w:noProof/>
          <w:color w:val="auto"/>
          <w:cs w:val="0"/>
        </w:rPr>
        <w:t>ام، مطابق ضوابط و رو</w:t>
      </w:r>
      <w:r w:rsidR="00A218BA" w:rsidRPr="00A218BA">
        <w:rPr>
          <w:rFonts w:eastAsia="MS Mincho" w:hint="cs"/>
          <w:noProof/>
          <w:color w:val="auto"/>
          <w:cs w:val="0"/>
        </w:rPr>
        <w:t>ی</w:t>
      </w:r>
      <w:r w:rsidR="00A218BA" w:rsidRPr="00A218BA">
        <w:rPr>
          <w:rFonts w:eastAsia="MS Mincho" w:hint="eastAsia"/>
          <w:noProof/>
          <w:color w:val="auto"/>
          <w:cs w:val="0"/>
        </w:rPr>
        <w:t>ه</w:t>
      </w:r>
      <w:r w:rsidR="00A218BA" w:rsidRPr="00A218BA">
        <w:rPr>
          <w:rFonts w:eastAsia="MS Mincho"/>
          <w:noProof/>
          <w:color w:val="auto"/>
          <w:cs w:val="0"/>
        </w:rPr>
        <w:t xml:space="preserve"> موجود، نام منبع مورد استفاده و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مشخصات آن را در فه</w:t>
      </w:r>
      <w:r w:rsidR="00A218BA" w:rsidRPr="00A218BA">
        <w:rPr>
          <w:rFonts w:eastAsia="MS Mincho" w:hint="eastAsia"/>
          <w:noProof/>
          <w:color w:val="auto"/>
          <w:cs w:val="0"/>
        </w:rPr>
        <w:t>رست</w:t>
      </w:r>
      <w:r w:rsidR="00A218BA" w:rsidRPr="00A218BA">
        <w:rPr>
          <w:rFonts w:eastAsia="MS Mincho"/>
          <w:noProof/>
          <w:color w:val="auto"/>
          <w:cs w:val="0"/>
        </w:rPr>
        <w:t xml:space="preserve"> مربوط ذکر و درج کرده‌ام.</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2)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رساله/پا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noProof/>
          <w:color w:val="auto"/>
          <w:cs w:val="0"/>
        </w:rPr>
        <w:t xml:space="preserve"> نامه قبلاً برا</w:t>
      </w:r>
      <w:r w:rsidR="00A218BA" w:rsidRPr="00A218BA">
        <w:rPr>
          <w:rFonts w:eastAsia="MS Mincho" w:hint="cs"/>
          <w:noProof/>
          <w:color w:val="auto"/>
          <w:cs w:val="0"/>
        </w:rPr>
        <w:t>ی</w:t>
      </w:r>
      <w:r w:rsidR="00A218BA" w:rsidRPr="00A218BA">
        <w:rPr>
          <w:rFonts w:eastAsia="MS Mincho"/>
          <w:noProof/>
          <w:color w:val="auto"/>
          <w:cs w:val="0"/>
        </w:rPr>
        <w:t xml:space="preserve"> در</w:t>
      </w:r>
      <w:r w:rsidR="00A218BA" w:rsidRPr="00A218BA">
        <w:rPr>
          <w:rFonts w:eastAsia="MS Mincho" w:hint="cs"/>
          <w:noProof/>
          <w:color w:val="auto"/>
          <w:cs w:val="0"/>
        </w:rPr>
        <w:t>ی</w:t>
      </w:r>
      <w:r w:rsidR="00A218BA" w:rsidRPr="00A218BA">
        <w:rPr>
          <w:rFonts w:eastAsia="MS Mincho" w:hint="eastAsia"/>
          <w:noProof/>
          <w:color w:val="auto"/>
          <w:cs w:val="0"/>
        </w:rPr>
        <w:t>افت</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noProof/>
          <w:color w:val="auto"/>
          <w:cs w:val="0"/>
        </w:rPr>
        <w:t xml:space="preserve">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noProof/>
          <w:color w:val="auto"/>
          <w:cs w:val="0"/>
        </w:rPr>
        <w:t xml:space="preserve"> (هم سطح، پا</w:t>
      </w:r>
      <w:r w:rsidR="00A218BA" w:rsidRPr="00A218BA">
        <w:rPr>
          <w:rFonts w:eastAsia="MS Mincho" w:hint="cs"/>
          <w:noProof/>
          <w:color w:val="auto"/>
          <w:cs w:val="0"/>
        </w:rPr>
        <w:t>یی</w:t>
      </w:r>
      <w:r w:rsidR="00A218BA" w:rsidRPr="00A218BA">
        <w:rPr>
          <w:rFonts w:eastAsia="MS Mincho" w:hint="eastAsia"/>
          <w:noProof/>
          <w:color w:val="auto"/>
          <w:cs w:val="0"/>
        </w:rPr>
        <w:t>ن</w:t>
      </w:r>
      <w:r w:rsidR="00A218BA" w:rsidRPr="00A218BA">
        <w:rPr>
          <w:rFonts w:eastAsia="MS Mincho" w:hint="eastAsia"/>
          <w:noProof/>
          <w:color w:val="auto"/>
          <w:rtl w:val="0"/>
        </w:rPr>
        <w:t>‎</w:t>
      </w:r>
      <w:r w:rsidR="00A218BA" w:rsidRPr="00A218BA">
        <w:rPr>
          <w:rFonts w:eastAsia="MS Mincho" w:hint="eastAsia"/>
          <w:noProof/>
          <w:color w:val="auto"/>
          <w:cs w:val="0"/>
        </w:rPr>
        <w:t>تر</w:t>
      </w:r>
      <w:r w:rsidR="00A218BA" w:rsidRPr="00A218BA">
        <w:rPr>
          <w:rFonts w:eastAsia="MS Mincho" w:hint="cs"/>
          <w:noProof/>
          <w:color w:val="auto"/>
          <w:cs w:val="0"/>
        </w:rPr>
        <w:t>ی</w:t>
      </w:r>
      <w:r w:rsidR="00A218BA" w:rsidRPr="00A218BA">
        <w:rPr>
          <w:rFonts w:eastAsia="MS Mincho" w:hint="eastAsia"/>
          <w:noProof/>
          <w:color w:val="auto"/>
          <w:cs w:val="0"/>
        </w:rPr>
        <w:t>ا</w:t>
      </w:r>
      <w:r w:rsidR="00A218BA" w:rsidRPr="00A218BA">
        <w:rPr>
          <w:rFonts w:eastAsia="MS Mincho"/>
          <w:noProof/>
          <w:color w:val="auto"/>
          <w:cs w:val="0"/>
        </w:rPr>
        <w:t xml:space="preserve"> بالاتر) در سا</w:t>
      </w:r>
      <w:r w:rsidR="00A218BA" w:rsidRPr="00A218BA">
        <w:rPr>
          <w:rFonts w:eastAsia="MS Mincho" w:hint="cs"/>
          <w:noProof/>
          <w:color w:val="auto"/>
          <w:cs w:val="0"/>
        </w:rPr>
        <w:t>ی</w:t>
      </w:r>
      <w:r w:rsidR="00A218BA" w:rsidRPr="00A218BA">
        <w:rPr>
          <w:rFonts w:eastAsia="MS Mincho" w:hint="eastAsia"/>
          <w:noProof/>
          <w:color w:val="auto"/>
          <w:cs w:val="0"/>
        </w:rPr>
        <w:t>ر</w:t>
      </w:r>
      <w:r w:rsidR="00A218BA" w:rsidRPr="00A218BA">
        <w:rPr>
          <w:rFonts w:eastAsia="MS Mincho"/>
          <w:noProof/>
          <w:color w:val="auto"/>
          <w:cs w:val="0"/>
        </w:rPr>
        <w:t xml:space="preserve"> دانشگاه</w:t>
      </w:r>
      <w:r w:rsidR="00A218BA" w:rsidRPr="00A218BA">
        <w:rPr>
          <w:rFonts w:eastAsia="MS Mincho"/>
          <w:noProof/>
          <w:color w:val="auto"/>
          <w:rtl w:val="0"/>
        </w:rPr>
        <w:t>‎</w:t>
      </w:r>
      <w:r w:rsidR="00A218BA" w:rsidRPr="00A218BA">
        <w:rPr>
          <w:rFonts w:eastAsia="MS Mincho"/>
          <w:noProof/>
          <w:color w:val="auto"/>
          <w:cs w:val="0"/>
        </w:rPr>
        <w:t>ها و موسسات آموزش عال</w:t>
      </w:r>
      <w:r w:rsidR="00A218BA" w:rsidRPr="00A218BA">
        <w:rPr>
          <w:rFonts w:eastAsia="MS Mincho" w:hint="cs"/>
          <w:noProof/>
          <w:color w:val="auto"/>
          <w:cs w:val="0"/>
        </w:rPr>
        <w:t>ی</w:t>
      </w:r>
      <w:r w:rsidR="00A218BA" w:rsidRPr="00A218BA">
        <w:rPr>
          <w:rFonts w:eastAsia="MS Mincho"/>
          <w:noProof/>
          <w:color w:val="auto"/>
          <w:cs w:val="0"/>
        </w:rPr>
        <w:t xml:space="preserve"> ارائه نشده است.</w:t>
      </w:r>
    </w:p>
    <w:p w:rsidR="00A218BA" w:rsidRPr="00A218BA" w:rsidRDefault="000E52B9" w:rsidP="00A218BA">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3) چنانچه بعد از فراغت از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noProof/>
          <w:color w:val="auto"/>
          <w:cs w:val="0"/>
        </w:rPr>
        <w:t xml:space="preserve"> قصد استفاده و هر گونه بهره‌بردار</w:t>
      </w:r>
      <w:r w:rsidR="00A218BA" w:rsidRPr="00A218BA">
        <w:rPr>
          <w:rFonts w:eastAsia="MS Mincho" w:hint="cs"/>
          <w:noProof/>
          <w:color w:val="auto"/>
          <w:cs w:val="0"/>
        </w:rPr>
        <w:t>ی</w:t>
      </w:r>
      <w:r w:rsidR="00A218BA" w:rsidRPr="00A218BA">
        <w:rPr>
          <w:rFonts w:eastAsia="MS Mincho"/>
          <w:noProof/>
          <w:color w:val="auto"/>
          <w:cs w:val="0"/>
        </w:rPr>
        <w:t xml:space="preserve"> اعم از چاپ مقاله، کتاب، ثبت اختراع و ... از ا</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پا</w:t>
      </w:r>
      <w:r w:rsidR="00A218BA" w:rsidRPr="00A218BA">
        <w:rPr>
          <w:rFonts w:eastAsia="MS Mincho" w:hint="cs"/>
          <w:noProof/>
          <w:color w:val="auto"/>
          <w:cs w:val="0"/>
        </w:rPr>
        <w:t>ی</w:t>
      </w:r>
      <w:r w:rsidR="00A218BA" w:rsidRPr="00A218BA">
        <w:rPr>
          <w:rFonts w:eastAsia="MS Mincho" w:hint="eastAsia"/>
          <w:noProof/>
          <w:color w:val="auto"/>
          <w:cs w:val="0"/>
        </w:rPr>
        <w:t>ان</w:t>
      </w:r>
      <w:r w:rsidR="00A218BA" w:rsidRPr="00A218BA">
        <w:rPr>
          <w:rFonts w:eastAsia="MS Mincho" w:hint="eastAsia"/>
          <w:noProof/>
          <w:color w:val="auto"/>
          <w:rtl w:val="0"/>
        </w:rPr>
        <w:t>‎</w:t>
      </w:r>
      <w:r w:rsidR="00A218BA" w:rsidRPr="00A218BA">
        <w:rPr>
          <w:rFonts w:eastAsia="MS Mincho" w:hint="eastAsia"/>
          <w:noProof/>
          <w:color w:val="auto"/>
          <w:cs w:val="0"/>
        </w:rPr>
        <w:t>نامه</w:t>
      </w:r>
      <w:r w:rsidR="00A218BA" w:rsidRPr="00A218BA">
        <w:rPr>
          <w:rFonts w:eastAsia="MS Mincho"/>
          <w:noProof/>
          <w:color w:val="auto"/>
          <w:cs w:val="0"/>
        </w:rPr>
        <w:t>/رساله را داشته باشم، با ذکر نام استادان راهنما و مشاور و درج نام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اقدام خواهم کرد.</w:t>
      </w:r>
    </w:p>
    <w:p w:rsidR="00A218BA" w:rsidRPr="00A218BA" w:rsidRDefault="000E52B9" w:rsidP="000C74E5">
      <w:pPr>
        <w:autoSpaceDE/>
        <w:autoSpaceDN/>
        <w:adjustRightInd/>
        <w:ind w:left="-497"/>
        <w:jc w:val="both"/>
        <w:rPr>
          <w:rFonts w:eastAsia="MS Mincho"/>
          <w:noProof/>
          <w:color w:val="auto"/>
          <w:cs w:val="0"/>
        </w:rPr>
      </w:pPr>
      <w:r>
        <w:rPr>
          <w:rFonts w:eastAsia="MS Mincho"/>
          <w:noProof/>
          <w:color w:val="auto"/>
          <w:cs w:val="0"/>
        </w:rPr>
        <w:t xml:space="preserve"> </w:t>
      </w:r>
      <w:r w:rsidR="00A218BA" w:rsidRPr="00A218BA">
        <w:rPr>
          <w:rFonts w:eastAsia="MS Mincho"/>
          <w:noProof/>
          <w:color w:val="auto"/>
          <w:cs w:val="0"/>
        </w:rPr>
        <w:t xml:space="preserve"> 4) چنانچه در هر مقطع زمان</w:t>
      </w:r>
      <w:r w:rsidR="00A218BA" w:rsidRPr="00A218BA">
        <w:rPr>
          <w:rFonts w:eastAsia="MS Mincho" w:hint="cs"/>
          <w:noProof/>
          <w:color w:val="auto"/>
          <w:cs w:val="0"/>
        </w:rPr>
        <w:t>ی</w:t>
      </w:r>
      <w:r w:rsidR="00A218BA" w:rsidRPr="00A218BA">
        <w:rPr>
          <w:rFonts w:eastAsia="MS Mincho"/>
          <w:noProof/>
          <w:color w:val="auto"/>
          <w:cs w:val="0"/>
        </w:rPr>
        <w:t xml:space="preserve"> خلاف موارد فوق ثابت شود، عواقب حقوق</w:t>
      </w:r>
      <w:r w:rsidR="00A218BA" w:rsidRPr="00A218BA">
        <w:rPr>
          <w:rFonts w:eastAsia="MS Mincho" w:hint="cs"/>
          <w:noProof/>
          <w:color w:val="auto"/>
          <w:cs w:val="0"/>
        </w:rPr>
        <w:t>ی</w:t>
      </w:r>
      <w:r w:rsidR="00A218BA" w:rsidRPr="00A218BA">
        <w:rPr>
          <w:rFonts w:eastAsia="MS Mincho"/>
          <w:noProof/>
          <w:color w:val="auto"/>
          <w:cs w:val="0"/>
        </w:rPr>
        <w:t xml:space="preserve"> ناش</w:t>
      </w:r>
      <w:r w:rsidR="00A218BA" w:rsidRPr="00A218BA">
        <w:rPr>
          <w:rFonts w:eastAsia="MS Mincho" w:hint="cs"/>
          <w:noProof/>
          <w:color w:val="auto"/>
          <w:cs w:val="0"/>
        </w:rPr>
        <w:t>ی</w:t>
      </w:r>
      <w:r w:rsidR="00A218BA" w:rsidRPr="00A218BA">
        <w:rPr>
          <w:rFonts w:eastAsia="MS Mincho"/>
          <w:noProof/>
          <w:color w:val="auto"/>
          <w:cs w:val="0"/>
        </w:rPr>
        <w:t xml:space="preserve"> از آن را م</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پذ</w:t>
      </w:r>
      <w:r w:rsidR="00A218BA" w:rsidRPr="00A218BA">
        <w:rPr>
          <w:rFonts w:eastAsia="MS Mincho" w:hint="cs"/>
          <w:noProof/>
          <w:color w:val="auto"/>
          <w:cs w:val="0"/>
        </w:rPr>
        <w:t>ی</w:t>
      </w:r>
      <w:r w:rsidR="00A218BA" w:rsidRPr="00A218BA">
        <w:rPr>
          <w:rFonts w:eastAsia="MS Mincho" w:hint="eastAsia"/>
          <w:noProof/>
          <w:color w:val="auto"/>
          <w:cs w:val="0"/>
        </w:rPr>
        <w:t>رم</w:t>
      </w:r>
      <w:r w:rsidR="00A218BA" w:rsidRPr="00A218BA">
        <w:rPr>
          <w:rFonts w:eastAsia="MS Mincho"/>
          <w:noProof/>
          <w:color w:val="auto"/>
          <w:cs w:val="0"/>
        </w:rPr>
        <w:t xml:space="preserve"> و همچن</w:t>
      </w:r>
      <w:r w:rsidR="00A218BA" w:rsidRPr="00A218BA">
        <w:rPr>
          <w:rFonts w:eastAsia="MS Mincho" w:hint="cs"/>
          <w:noProof/>
          <w:color w:val="auto"/>
          <w:cs w:val="0"/>
        </w:rPr>
        <w:t>ی</w:t>
      </w:r>
      <w:r w:rsidR="00A218BA" w:rsidRPr="00A218BA">
        <w:rPr>
          <w:rFonts w:eastAsia="MS Mincho" w:hint="eastAsia"/>
          <w:noProof/>
          <w:color w:val="auto"/>
          <w:cs w:val="0"/>
        </w:rPr>
        <w:t>ن</w:t>
      </w:r>
      <w:r w:rsidR="00A218BA" w:rsidRPr="00A218BA">
        <w:rPr>
          <w:rFonts w:eastAsia="MS Mincho"/>
          <w:noProof/>
          <w:color w:val="auto"/>
          <w:cs w:val="0"/>
        </w:rPr>
        <w:t xml:space="preserve"> دانشگاه پ</w:t>
      </w:r>
      <w:r w:rsidR="00A218BA" w:rsidRPr="00A218BA">
        <w:rPr>
          <w:rFonts w:eastAsia="MS Mincho" w:hint="cs"/>
          <w:noProof/>
          <w:color w:val="auto"/>
          <w:cs w:val="0"/>
        </w:rPr>
        <w:t>ی</w:t>
      </w:r>
      <w:r w:rsidR="00A218BA" w:rsidRPr="00A218BA">
        <w:rPr>
          <w:rFonts w:eastAsia="MS Mincho" w:hint="eastAsia"/>
          <w:noProof/>
          <w:color w:val="auto"/>
          <w:cs w:val="0"/>
        </w:rPr>
        <w:t>ام</w:t>
      </w:r>
      <w:r w:rsidR="00A218BA" w:rsidRPr="00A218BA">
        <w:rPr>
          <w:rFonts w:eastAsia="MS Mincho"/>
          <w:noProof/>
          <w:color w:val="auto"/>
          <w:cs w:val="0"/>
        </w:rPr>
        <w:t xml:space="preserve"> نور مجاز است با ا</w:t>
      </w:r>
      <w:r w:rsidR="00A218BA" w:rsidRPr="00A218BA">
        <w:rPr>
          <w:rFonts w:eastAsia="MS Mincho" w:hint="cs"/>
          <w:noProof/>
          <w:color w:val="auto"/>
          <w:cs w:val="0"/>
        </w:rPr>
        <w:t>ی</w:t>
      </w:r>
      <w:r w:rsidR="00A218BA" w:rsidRPr="00A218BA">
        <w:rPr>
          <w:rFonts w:eastAsia="MS Mincho" w:hint="eastAsia"/>
          <w:noProof/>
          <w:color w:val="auto"/>
          <w:cs w:val="0"/>
        </w:rPr>
        <w:t>نجانب</w:t>
      </w:r>
      <w:r w:rsidR="00A218BA" w:rsidRPr="00A218BA">
        <w:rPr>
          <w:rFonts w:eastAsia="MS Mincho"/>
          <w:noProof/>
          <w:color w:val="auto"/>
          <w:cs w:val="0"/>
        </w:rPr>
        <w:t xml:space="preserve"> مطابق ضوابط و مقررات رفتار کند و در صورت ابطال مدرک تحص</w:t>
      </w:r>
      <w:r w:rsidR="00A218BA" w:rsidRPr="00A218BA">
        <w:rPr>
          <w:rFonts w:eastAsia="MS Mincho" w:hint="cs"/>
          <w:noProof/>
          <w:color w:val="auto"/>
          <w:cs w:val="0"/>
        </w:rPr>
        <w:t>ی</w:t>
      </w:r>
      <w:r w:rsidR="00A218BA" w:rsidRPr="00A218BA">
        <w:rPr>
          <w:rFonts w:eastAsia="MS Mincho" w:hint="eastAsia"/>
          <w:noProof/>
          <w:color w:val="auto"/>
          <w:cs w:val="0"/>
        </w:rPr>
        <w:t>ل</w:t>
      </w:r>
      <w:r w:rsidR="00A218BA" w:rsidRPr="00A218BA">
        <w:rPr>
          <w:rFonts w:eastAsia="MS Mincho" w:hint="cs"/>
          <w:noProof/>
          <w:color w:val="auto"/>
          <w:cs w:val="0"/>
        </w:rPr>
        <w:t>ی</w:t>
      </w:r>
      <w:r w:rsidR="00A218BA" w:rsidRPr="00A218BA">
        <w:rPr>
          <w:rFonts w:eastAsia="MS Mincho" w:hint="cs"/>
          <w:noProof/>
          <w:color w:val="auto"/>
          <w:rtl w:val="0"/>
        </w:rPr>
        <w:t>‎</w:t>
      </w:r>
      <w:r w:rsidR="00A218BA" w:rsidRPr="00A218BA">
        <w:rPr>
          <w:rFonts w:eastAsia="MS Mincho" w:hint="eastAsia"/>
          <w:noProof/>
          <w:color w:val="auto"/>
          <w:cs w:val="0"/>
        </w:rPr>
        <w:t>ام</w:t>
      </w:r>
      <w:r w:rsidR="00A218BA" w:rsidRPr="00A218BA">
        <w:rPr>
          <w:rFonts w:eastAsia="MS Mincho"/>
          <w:noProof/>
          <w:color w:val="auto"/>
          <w:cs w:val="0"/>
        </w:rPr>
        <w:t xml:space="preserve"> ه</w:t>
      </w:r>
      <w:r w:rsidR="00A218BA" w:rsidRPr="00A218BA">
        <w:rPr>
          <w:rFonts w:eastAsia="MS Mincho" w:hint="cs"/>
          <w:noProof/>
          <w:color w:val="auto"/>
          <w:cs w:val="0"/>
        </w:rPr>
        <w:t>ی</w:t>
      </w:r>
      <w:r w:rsidR="00A218BA" w:rsidRPr="00A218BA">
        <w:rPr>
          <w:rFonts w:eastAsia="MS Mincho" w:hint="eastAsia"/>
          <w:noProof/>
          <w:color w:val="auto"/>
          <w:cs w:val="0"/>
        </w:rPr>
        <w:t>چ</w:t>
      </w:r>
      <w:r w:rsidR="00A218BA" w:rsidRPr="00A218BA">
        <w:rPr>
          <w:rFonts w:eastAsia="MS Mincho" w:hint="eastAsia"/>
          <w:noProof/>
          <w:color w:val="auto"/>
          <w:rtl w:val="0"/>
        </w:rPr>
        <w:t>‎</w:t>
      </w:r>
      <w:r w:rsidR="00A218BA" w:rsidRPr="00A218BA">
        <w:rPr>
          <w:rFonts w:eastAsia="MS Mincho" w:hint="eastAsia"/>
          <w:noProof/>
          <w:color w:val="auto"/>
          <w:cs w:val="0"/>
        </w:rPr>
        <w:t>گونه</w:t>
      </w:r>
      <w:r w:rsidR="00A218BA" w:rsidRPr="00A218BA">
        <w:rPr>
          <w:rFonts w:eastAsia="MS Mincho"/>
          <w:noProof/>
          <w:color w:val="auto"/>
          <w:cs w:val="0"/>
        </w:rPr>
        <w:t xml:space="preserve"> ادعا</w:t>
      </w:r>
      <w:r w:rsidR="00A218BA" w:rsidRPr="00A218BA">
        <w:rPr>
          <w:rFonts w:eastAsia="MS Mincho" w:hint="cs"/>
          <w:noProof/>
          <w:color w:val="auto"/>
          <w:cs w:val="0"/>
        </w:rPr>
        <w:t>یی</w:t>
      </w:r>
      <w:r w:rsidR="00A218BA" w:rsidRPr="00A218BA">
        <w:rPr>
          <w:rFonts w:eastAsia="MS Mincho"/>
          <w:noProof/>
          <w:color w:val="auto"/>
          <w:cs w:val="0"/>
        </w:rPr>
        <w:t xml:space="preserve"> نخواهم داشت.</w:t>
      </w:r>
    </w:p>
    <w:p w:rsidR="00A218BA" w:rsidRPr="00A218BA" w:rsidRDefault="00A218BA" w:rsidP="00A218BA">
      <w:pPr>
        <w:autoSpaceDE/>
        <w:autoSpaceDN/>
        <w:adjustRightInd/>
        <w:ind w:left="-497"/>
        <w:jc w:val="center"/>
        <w:rPr>
          <w:rFonts w:eastAsia="MS Mincho"/>
          <w:noProof/>
          <w:color w:val="auto"/>
          <w:cs w:val="0"/>
        </w:rPr>
      </w:pPr>
      <w:r w:rsidRPr="00A218BA">
        <w:rPr>
          <w:rFonts w:eastAsia="MS Mincho" w:hint="eastAsia"/>
          <w:noProof/>
          <w:color w:val="auto"/>
          <w:cs w:val="0"/>
        </w:rPr>
        <w:t>نام</w:t>
      </w:r>
      <w:r w:rsidRPr="00A218BA">
        <w:rPr>
          <w:rFonts w:eastAsia="MS Mincho"/>
          <w:noProof/>
          <w:color w:val="auto"/>
          <w:cs w:val="0"/>
        </w:rPr>
        <w:t xml:space="preserve"> و نام خانوادگ</w:t>
      </w:r>
      <w:r w:rsidRPr="00A218BA">
        <w:rPr>
          <w:rFonts w:eastAsia="MS Mincho" w:hint="cs"/>
          <w:noProof/>
          <w:color w:val="auto"/>
          <w:cs w:val="0"/>
        </w:rPr>
        <w:t>ی</w:t>
      </w:r>
      <w:r w:rsidRPr="00A218BA">
        <w:rPr>
          <w:rFonts w:eastAsia="MS Mincho"/>
          <w:noProof/>
          <w:color w:val="auto"/>
          <w:cs w:val="0"/>
        </w:rPr>
        <w:t xml:space="preserve">: </w:t>
      </w:r>
      <w:r w:rsidRPr="000C74E5">
        <w:rPr>
          <w:rFonts w:eastAsia="MS Mincho"/>
          <w:b/>
          <w:bCs/>
          <w:noProof/>
          <w:color w:val="auto"/>
          <w:cs w:val="0"/>
        </w:rPr>
        <w:t>فاطمه ب</w:t>
      </w:r>
      <w:r w:rsidRPr="000C74E5">
        <w:rPr>
          <w:rFonts w:eastAsia="MS Mincho" w:hint="cs"/>
          <w:b/>
          <w:bCs/>
          <w:noProof/>
          <w:color w:val="auto"/>
          <w:cs w:val="0"/>
        </w:rPr>
        <w:t>ی</w:t>
      </w:r>
      <w:r w:rsidRPr="000C74E5">
        <w:rPr>
          <w:rFonts w:eastAsia="MS Mincho" w:hint="eastAsia"/>
          <w:b/>
          <w:bCs/>
          <w:noProof/>
          <w:color w:val="auto"/>
          <w:cs w:val="0"/>
        </w:rPr>
        <w:t>ات</w:t>
      </w:r>
    </w:p>
    <w:p w:rsidR="002D5E38" w:rsidRDefault="00A218BA" w:rsidP="00A218BA">
      <w:pPr>
        <w:autoSpaceDE/>
        <w:autoSpaceDN/>
        <w:adjustRightInd/>
        <w:ind w:left="-497"/>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A218BA">
        <w:rPr>
          <w:rFonts w:eastAsia="MS Mincho" w:hint="eastAsia"/>
          <w:noProof/>
          <w:color w:val="auto"/>
          <w:cs w:val="0"/>
        </w:rPr>
        <w:t>تار</w:t>
      </w:r>
      <w:r w:rsidRPr="00A218BA">
        <w:rPr>
          <w:rFonts w:eastAsia="MS Mincho" w:hint="cs"/>
          <w:noProof/>
          <w:color w:val="auto"/>
          <w:cs w:val="0"/>
        </w:rPr>
        <w:t>ی</w:t>
      </w:r>
      <w:r w:rsidRPr="00A218BA">
        <w:rPr>
          <w:rFonts w:eastAsia="MS Mincho" w:hint="eastAsia"/>
          <w:noProof/>
          <w:color w:val="auto"/>
          <w:cs w:val="0"/>
        </w:rPr>
        <w:t>خ</w:t>
      </w:r>
      <w:r w:rsidRPr="00A218BA">
        <w:rPr>
          <w:rFonts w:eastAsia="MS Mincho"/>
          <w:noProof/>
          <w:color w:val="auto"/>
          <w:cs w:val="0"/>
        </w:rPr>
        <w:t xml:space="preserve"> و امضاء:</w:t>
      </w:r>
      <w:r w:rsid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br w:type="page"/>
      </w:r>
    </w:p>
    <w:p w:rsidR="000C74E5" w:rsidRDefault="000C74E5" w:rsidP="000C74E5">
      <w:pPr>
        <w:spacing w:after="0" w:line="276" w:lineRule="auto"/>
        <w:ind w:left="6" w:hanging="6"/>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تشکر و قدردانی</w:t>
      </w:r>
      <w:r w:rsidRPr="002D5E38">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 xml:space="preserve">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حمد و سپاس یکتای بی همتا را که لطفش بر ما عیان است، </w:t>
      </w:r>
    </w:p>
    <w:p w:rsidR="00946522" w:rsidRDefault="002D5E38" w:rsidP="000065E5">
      <w:pPr>
        <w:spacing w:after="0" w:line="240"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ادای شکرش را هیچ زبان و دریای</w:t>
      </w:r>
      <w:r w:rsidR="00124848"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 </w:t>
      </w:r>
      <w:r w:rsidR="000065E5">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ف</w:t>
      </w:r>
      <w:r w:rsidR="000065E5">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ضل</w:t>
      </w: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ش را هیچ کران نیست </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اگر در این وادی هستم، همه محبت اوست.</w:t>
      </w:r>
    </w:p>
    <w:p w:rsidR="002D5E3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با تشکر و قدردانی از زحمات</w:t>
      </w:r>
    </w:p>
    <w:p w:rsidR="002D5E38" w:rsidRPr="002D5E38" w:rsidRDefault="002D5E38" w:rsidP="000C74E5">
      <w:pPr>
        <w:spacing w:after="0" w:line="276" w:lineRule="auto"/>
        <w:ind w:left="6" w:hanging="6"/>
        <w:jc w:val="center"/>
        <w:rPr>
          <w:rFonts w:ascii="IranNastaliq" w:hAnsi="IranNastaliq" w:cs="IranNastaliq"/>
          <w:b/>
          <w:bCs/>
          <w:color w:val="262626" w:themeColor="text1" w:themeTint="D9"/>
          <w:sz w:val="48"/>
          <w:szCs w:val="48"/>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2D5E38">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استاد عالی قدر جناب آقای دکتر باب اله بخشی</w:t>
      </w:r>
      <w:r w:rsidRPr="000C74E5">
        <w:rPr>
          <w:rFonts w:ascii="IranNastaliq" w:hAnsi="IranNastaliq" w:cs="IranNastaliq"/>
          <w:b/>
          <w:bCs/>
          <w:color w:val="262626" w:themeColor="text1" w:themeTint="D9"/>
          <w:sz w:val="40"/>
          <w:szCs w:val="40"/>
          <w:cs w:val="0"/>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 xml:space="preserve"> پور جویباری</w:t>
      </w:r>
    </w:p>
    <w:p w:rsidR="00124848" w:rsidRPr="00946522" w:rsidRDefault="002D5E38" w:rsidP="000C74E5">
      <w:pPr>
        <w:spacing w:after="0" w:line="276" w:lineRule="auto"/>
        <w:ind w:left="6" w:hanging="6"/>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 xml:space="preserve">که در کمال سعه صدر، با حسن خلق و فروتنی در تمامی مراحل انجام این </w:t>
      </w:r>
    </w:p>
    <w:p w:rsidR="00946522" w:rsidRDefault="002D5E38" w:rsidP="000C74E5">
      <w:pPr>
        <w:spacing w:after="0" w:line="276" w:lineRule="auto"/>
        <w:ind w:left="6" w:hanging="6"/>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946522">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پایان نامه پیوسته راهنمای من بودند.</w:t>
      </w: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0C74E5" w:rsidRDefault="000C74E5" w:rsidP="000C74E5">
      <w:pPr>
        <w:spacing w:after="0" w:line="276" w:lineRule="auto"/>
        <w:jc w:val="center"/>
        <w:rPr>
          <w:rFonts w:ascii="IranNastaliq" w:hAnsi="IranNastaliq" w:cs="IranNastaliq"/>
          <w:b/>
          <w:bCs/>
          <w:color w:val="auto"/>
          <w:sz w:val="46"/>
          <w:szCs w:val="46"/>
          <w:rtl w:val="0"/>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p>
    <w:p w:rsidR="002D5E38" w:rsidRPr="002D5E38" w:rsidRDefault="002D5E38" w:rsidP="000C74E5">
      <w:pPr>
        <w:spacing w:after="0" w:line="276" w:lineRule="auto"/>
        <w:jc w:val="center"/>
        <w:rPr>
          <w:rFonts w:ascii="IranNastaliq" w:hAnsi="IranNastaliq" w:cs="IranNastaliq"/>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pPr>
      <w:r w:rsidRPr="002D5E38">
        <w:rPr>
          <w:rFonts w:ascii="IranNastaliq" w:hAnsi="IranNastaliq" w:cs="IranNastaliq" w:hint="cs"/>
          <w:b/>
          <w:bCs/>
          <w:color w:val="auto"/>
          <w:sz w:val="46"/>
          <w:szCs w:val="46"/>
          <w:cs w:val="0"/>
          <w14:glow w14:rad="63500">
            <w14:schemeClr w14:val="accent1">
              <w14:alpha w14:val="60000"/>
              <w14:satMod w14:val="175000"/>
            </w14:schemeClr>
          </w14:glow>
          <w14:shadow w14:blurRad="50800" w14:dist="38100" w14:dir="5400000" w14:sx="100000" w14:sy="100000" w14:kx="0" w14:ky="0" w14:algn="t">
            <w14:srgbClr w14:val="000000">
              <w14:alpha w14:val="60000"/>
            </w14:srgbClr>
          </w14:shadow>
          <w14:textOutline w14:w="9525" w14:cap="rnd" w14:cmpd="sng" w14:algn="ctr">
            <w14:noFill/>
            <w14:prstDash w14:val="solid"/>
            <w14:bevel/>
          </w14:textOutline>
        </w:rPr>
        <w:t>تقدیم نامه:</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ماحصل آموخته هایم را تقدیم می کنم</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به خدایی که آفرید</w:t>
      </w:r>
    </w:p>
    <w:p w:rsidR="002D5E38" w:rsidRPr="00946522"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جهان را، انسان را، عقل را، علم را، معرفت را و عشق را</w:t>
      </w:r>
    </w:p>
    <w:p w:rsidR="006B654A" w:rsidRDefault="002D5E38" w:rsidP="000C74E5">
      <w:pPr>
        <w:spacing w:after="0" w:line="276" w:lineRule="auto"/>
        <w:ind w:hanging="4"/>
        <w:jc w:val="cente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sidRPr="00946522">
        <w:rPr>
          <w:rFonts w:ascii="IranNastaliq" w:hAnsi="IranNastaliq" w:cs="IranNastaliq" w:hint="cs"/>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t>و به آنان که مهر آسمانی شان آرام بخش آلام زمینی ام است.</w:t>
      </w:r>
    </w:p>
    <w:p w:rsidR="006B654A" w:rsidRDefault="006B654A">
      <w:pPr>
        <w:autoSpaceDE/>
        <w:autoSpaceDN/>
        <w:adjustRightInd/>
        <w:spacing w:after="0" w:line="240" w:lineRule="auto"/>
        <w:jc w:val="right"/>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r>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br w:type="page"/>
      </w:r>
    </w:p>
    <w:p w:rsidR="00DB6A18" w:rsidRDefault="006B654A" w:rsidP="00DB6A18">
      <w:pPr>
        <w:spacing w:after="240" w:line="276" w:lineRule="auto"/>
        <w:jc w:val="center"/>
        <w:rPr>
          <w:b/>
          <w:bCs/>
          <w:cs w:val="0"/>
        </w:rPr>
      </w:pPr>
      <w:r w:rsidRPr="004118A0">
        <w:rPr>
          <w:b/>
          <w:bCs/>
          <w:cs w:val="0"/>
        </w:rPr>
        <w:lastRenderedPageBreak/>
        <w:t>فهرست مطالب</w:t>
      </w:r>
    </w:p>
    <w:p w:rsidR="002D64E3" w:rsidRDefault="004A15EF" w:rsidP="00254F2A">
      <w:pPr>
        <w:pStyle w:val="TableofFigures"/>
        <w:tabs>
          <w:tab w:val="clear" w:pos="8778"/>
          <w:tab w:val="right" w:leader="dot" w:pos="8788"/>
        </w:tabs>
        <w:spacing w:line="240" w:lineRule="auto"/>
        <w:rPr>
          <w:cs w:val="0"/>
        </w:rPr>
      </w:pPr>
      <w:hyperlink w:anchor="_چکیده" w:history="1">
        <w:r w:rsidR="006B654A">
          <w:rPr>
            <w:rStyle w:val="Hyperlink"/>
            <w:b/>
            <w:bCs/>
            <w:noProof/>
            <w:cs w:val="0"/>
          </w:rPr>
          <w:t>چکیده</w:t>
        </w:r>
        <w:r w:rsidR="00254F2A">
          <w:rPr>
            <w:rStyle w:val="Hyperlink"/>
            <w:rFonts w:hint="cs"/>
            <w:b/>
            <w:bCs/>
            <w:noProof/>
            <w:cs w:val="0"/>
          </w:rPr>
          <w:t xml:space="preserve"> فارسی</w:t>
        </w:r>
        <w:r w:rsidR="006B654A">
          <w:rPr>
            <w:noProof/>
            <w:webHidden/>
            <w:cs w:val="0"/>
          </w:rPr>
          <w:tab/>
        </w:r>
        <w:r w:rsidR="006B654A">
          <w:rPr>
            <w:noProof/>
            <w:webHidden/>
            <w:rtl w:val="0"/>
          </w:rPr>
          <w:fldChar w:fldCharType="begin"/>
        </w:r>
        <w:r w:rsidR="006B654A">
          <w:rPr>
            <w:noProof/>
            <w:webHidden/>
            <w:rtl w:val="0"/>
            <w:cs w:val="0"/>
          </w:rPr>
          <w:instrText xml:space="preserve"> PAGEREF _</w:instrText>
        </w:r>
        <w:r w:rsidR="006B654A">
          <w:rPr>
            <w:rFonts w:cs="Times New Roman"/>
            <w:noProof/>
            <w:webHidden/>
            <w:rtl w:val="0"/>
            <w:cs w:val="0"/>
          </w:rPr>
          <w:instrText xml:space="preserve">چکیده </w:instrText>
        </w:r>
        <w:r w:rsidR="006B654A">
          <w:rPr>
            <w:noProof/>
            <w:webHidden/>
            <w:rtl w:val="0"/>
            <w:cs w:val="0"/>
          </w:rPr>
          <w:instrText xml:space="preserve">\h </w:instrText>
        </w:r>
        <w:r w:rsidR="006B654A">
          <w:rPr>
            <w:noProof/>
            <w:webHidden/>
            <w:rtl w:val="0"/>
          </w:rPr>
        </w:r>
        <w:r w:rsidR="006B654A">
          <w:rPr>
            <w:noProof/>
            <w:webHidden/>
            <w:rtl w:val="0"/>
          </w:rPr>
          <w:fldChar w:fldCharType="separate"/>
        </w:r>
        <w:r w:rsidR="005B67C1">
          <w:rPr>
            <w:noProof/>
            <w:webHidden/>
            <w:cs w:val="0"/>
            <w:lang w:bidi="ar-SA"/>
          </w:rPr>
          <w:t>1</w:t>
        </w:r>
        <w:r w:rsidR="006B654A">
          <w:rPr>
            <w:noProof/>
            <w:webHidden/>
            <w:rtl w:val="0"/>
          </w:rPr>
          <w:fldChar w:fldCharType="end"/>
        </w:r>
      </w:hyperlink>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اول: کل</w:t>
      </w:r>
      <w:r w:rsidRPr="004118A0">
        <w:rPr>
          <w:rFonts w:eastAsia="MS Mincho" w:hint="cs"/>
          <w:b/>
          <w:bCs/>
          <w:i/>
          <w:iCs/>
          <w:noProof/>
          <w:color w:val="auto"/>
          <w:cs w:val="0"/>
        </w:rPr>
        <w:t>ی</w:t>
      </w:r>
      <w:r w:rsidRPr="004118A0">
        <w:rPr>
          <w:rFonts w:eastAsia="MS Mincho" w:hint="eastAsia"/>
          <w:b/>
          <w:bCs/>
          <w:i/>
          <w:iCs/>
          <w:noProof/>
          <w:color w:val="auto"/>
          <w:cs w:val="0"/>
        </w:rPr>
        <w:t>ات</w:t>
      </w:r>
      <w:r w:rsidRPr="004118A0">
        <w:rPr>
          <w:rFonts w:eastAsia="MS Mincho"/>
          <w:b/>
          <w:bCs/>
          <w:i/>
          <w:iCs/>
          <w:noProof/>
          <w:color w:val="auto"/>
          <w:cs w:val="0"/>
        </w:rPr>
        <w:t xml:space="preserve"> پژوهش</w:t>
      </w:r>
    </w:p>
    <w:p w:rsidR="002D64E3" w:rsidRDefault="004A15EF">
      <w:pPr>
        <w:pStyle w:val="TableofFigures"/>
        <w:tabs>
          <w:tab w:val="clear" w:pos="8778"/>
          <w:tab w:val="right" w:leader="dot" w:pos="8788"/>
        </w:tabs>
        <w:spacing w:line="240" w:lineRule="auto"/>
        <w:rPr>
          <w:cs w:val="0"/>
        </w:rPr>
      </w:pPr>
      <w:hyperlink w:anchor="_Toc239015093" w:history="1">
        <w:r w:rsidR="006B654A">
          <w:rPr>
            <w:rStyle w:val="Hyperlink"/>
            <w:noProof/>
            <w:cs w:val="0"/>
          </w:rPr>
          <w:t>۱-۱- مقدمه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_Toc239015093 \h </w:instrText>
        </w:r>
        <w:r w:rsidR="006B654A">
          <w:rPr>
            <w:noProof/>
            <w:webHidden/>
            <w:rtl w:val="0"/>
          </w:rPr>
        </w:r>
        <w:r w:rsidR="006B654A">
          <w:rPr>
            <w:noProof/>
            <w:webHidden/>
            <w:rtl w:val="0"/>
          </w:rPr>
          <w:fldChar w:fldCharType="separate"/>
        </w:r>
        <w:r w:rsidR="005B67C1">
          <w:rPr>
            <w:noProof/>
            <w:webHidden/>
            <w:cs w:val="0"/>
            <w:lang w:bidi="ar-SA"/>
          </w:rPr>
          <w:t>3</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094" w:history="1">
        <w:r w:rsidR="006B654A">
          <w:rPr>
            <w:rStyle w:val="Hyperlink"/>
            <w:noProof/>
            <w:cs w:val="0"/>
          </w:rPr>
          <w:t>۱-۲- بیان مسأله</w:t>
        </w:r>
        <w:r w:rsidR="006B654A">
          <w:rPr>
            <w:noProof/>
            <w:webHidden/>
            <w:cs w:val="0"/>
          </w:rPr>
          <w:tab/>
        </w:r>
        <w:r w:rsidR="006B654A">
          <w:rPr>
            <w:noProof/>
            <w:webHidden/>
            <w:rtl w:val="0"/>
          </w:rPr>
          <w:fldChar w:fldCharType="begin"/>
        </w:r>
        <w:r w:rsidR="006B654A">
          <w:rPr>
            <w:noProof/>
            <w:webHidden/>
            <w:rtl w:val="0"/>
            <w:cs w:val="0"/>
          </w:rPr>
          <w:instrText xml:space="preserve"> PAGEREF _Toc239015094 \h </w:instrText>
        </w:r>
        <w:r w:rsidR="006B654A">
          <w:rPr>
            <w:noProof/>
            <w:webHidden/>
            <w:rtl w:val="0"/>
          </w:rPr>
        </w:r>
        <w:r w:rsidR="006B654A">
          <w:rPr>
            <w:noProof/>
            <w:webHidden/>
            <w:rtl w:val="0"/>
          </w:rPr>
          <w:fldChar w:fldCharType="separate"/>
        </w:r>
        <w:r w:rsidR="005B67C1">
          <w:rPr>
            <w:noProof/>
            <w:webHidden/>
            <w:cs w:val="0"/>
            <w:lang w:bidi="ar-SA"/>
          </w:rPr>
          <w:t>5</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095" w:history="1">
        <w:r w:rsidR="006B654A">
          <w:rPr>
            <w:rStyle w:val="Hyperlink"/>
            <w:noProof/>
            <w:cs w:val="0"/>
          </w:rPr>
          <w:t>۱-۳- اهمیت و ضرورت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_Toc239015095 \h </w:instrText>
        </w:r>
        <w:r w:rsidR="006B654A">
          <w:rPr>
            <w:noProof/>
            <w:webHidden/>
            <w:rtl w:val="0"/>
          </w:rPr>
        </w:r>
        <w:r w:rsidR="006B654A">
          <w:rPr>
            <w:noProof/>
            <w:webHidden/>
            <w:rtl w:val="0"/>
          </w:rPr>
          <w:fldChar w:fldCharType="separate"/>
        </w:r>
        <w:r w:rsidR="005B67C1">
          <w:rPr>
            <w:noProof/>
            <w:webHidden/>
            <w:cs w:val="0"/>
            <w:lang w:bidi="ar-SA"/>
          </w:rPr>
          <w:t>11</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096" w:history="1">
        <w:r w:rsidR="006B654A">
          <w:rPr>
            <w:rStyle w:val="Hyperlink"/>
            <w:noProof/>
            <w:cs w:val="0"/>
          </w:rPr>
          <w:t>۱-۴- اهداف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_Toc239015096 \h </w:instrText>
        </w:r>
        <w:r w:rsidR="006B654A">
          <w:rPr>
            <w:noProof/>
            <w:webHidden/>
            <w:rtl w:val="0"/>
          </w:rPr>
        </w:r>
        <w:r w:rsidR="006B654A">
          <w:rPr>
            <w:noProof/>
            <w:webHidden/>
            <w:rtl w:val="0"/>
          </w:rPr>
          <w:fldChar w:fldCharType="separate"/>
        </w:r>
        <w:r w:rsidR="005B67C1">
          <w:rPr>
            <w:noProof/>
            <w:webHidden/>
            <w:cs w:val="0"/>
            <w:lang w:bidi="ar-SA"/>
          </w:rPr>
          <w:t>12</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097" w:history="1">
        <w:r w:rsidR="006B654A">
          <w:rPr>
            <w:rStyle w:val="Hyperlink"/>
            <w:noProof/>
            <w:cs w:val="0"/>
          </w:rPr>
          <w:t>۱-۴-۱- هدف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_Toc239015097 \h </w:instrText>
        </w:r>
        <w:r w:rsidR="006B654A">
          <w:rPr>
            <w:noProof/>
            <w:webHidden/>
            <w:rtl w:val="0"/>
          </w:rPr>
        </w:r>
        <w:r w:rsidR="006B654A">
          <w:rPr>
            <w:noProof/>
            <w:webHidden/>
            <w:rtl w:val="0"/>
          </w:rPr>
          <w:fldChar w:fldCharType="separate"/>
        </w:r>
        <w:r w:rsidR="005B67C1">
          <w:rPr>
            <w:noProof/>
            <w:webHidden/>
            <w:cs w:val="0"/>
            <w:lang w:bidi="ar-SA"/>
          </w:rPr>
          <w:t>12</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098" w:history="1">
        <w:r w:rsidR="006B654A">
          <w:rPr>
            <w:rStyle w:val="Hyperlink"/>
            <w:noProof/>
            <w:cs w:val="0"/>
          </w:rPr>
          <w:t>۱-۴-۲- اهداف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_Toc239015098 \h </w:instrText>
        </w:r>
        <w:r w:rsidR="006B654A">
          <w:rPr>
            <w:noProof/>
            <w:webHidden/>
            <w:rtl w:val="0"/>
          </w:rPr>
        </w:r>
        <w:r w:rsidR="006B654A">
          <w:rPr>
            <w:noProof/>
            <w:webHidden/>
            <w:rtl w:val="0"/>
          </w:rPr>
          <w:fldChar w:fldCharType="separate"/>
        </w:r>
        <w:r w:rsidR="005B67C1">
          <w:rPr>
            <w:noProof/>
            <w:webHidden/>
            <w:cs w:val="0"/>
            <w:lang w:bidi="ar-SA"/>
          </w:rPr>
          <w:t>12</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099" w:history="1">
        <w:r w:rsidR="006B654A">
          <w:rPr>
            <w:rStyle w:val="Hyperlink"/>
            <w:noProof/>
            <w:cs w:val="0"/>
          </w:rPr>
          <w:t>۱-۵- فرضیه‌های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_Toc239015099 \h </w:instrText>
        </w:r>
        <w:r w:rsidR="006B654A">
          <w:rPr>
            <w:noProof/>
            <w:webHidden/>
            <w:rtl w:val="0"/>
          </w:rPr>
        </w:r>
        <w:r w:rsidR="006B654A">
          <w:rPr>
            <w:noProof/>
            <w:webHidden/>
            <w:rtl w:val="0"/>
          </w:rPr>
          <w:fldChar w:fldCharType="separate"/>
        </w:r>
        <w:r w:rsidR="005B67C1">
          <w:rPr>
            <w:noProof/>
            <w:webHidden/>
            <w:cs w:val="0"/>
            <w:lang w:bidi="ar-SA"/>
          </w:rPr>
          <w:t>12</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00" w:history="1">
        <w:r w:rsidR="006B654A">
          <w:rPr>
            <w:rStyle w:val="Hyperlink"/>
            <w:noProof/>
            <w:cs w:val="0"/>
          </w:rPr>
          <w:t>۱-۵-۱- فرضیه اصلی: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_Toc239015100 \h </w:instrText>
        </w:r>
        <w:r w:rsidR="006B654A">
          <w:rPr>
            <w:noProof/>
            <w:webHidden/>
            <w:rtl w:val="0"/>
          </w:rPr>
        </w:r>
        <w:r w:rsidR="006B654A">
          <w:rPr>
            <w:noProof/>
            <w:webHidden/>
            <w:rtl w:val="0"/>
          </w:rPr>
          <w:fldChar w:fldCharType="separate"/>
        </w:r>
        <w:r w:rsidR="005B67C1">
          <w:rPr>
            <w:noProof/>
            <w:webHidden/>
            <w:cs w:val="0"/>
            <w:lang w:bidi="ar-SA"/>
          </w:rPr>
          <w:t>12</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01" w:history="1">
        <w:r w:rsidR="006B654A">
          <w:rPr>
            <w:rStyle w:val="Hyperlink"/>
            <w:noProof/>
            <w:cs w:val="0"/>
          </w:rPr>
          <w:t>۱-۵-۲- فرضیه‌های فرعی: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_Toc239015101 \h </w:instrText>
        </w:r>
        <w:r w:rsidR="006B654A">
          <w:rPr>
            <w:noProof/>
            <w:webHidden/>
            <w:rtl w:val="0"/>
          </w:rPr>
        </w:r>
        <w:r w:rsidR="006B654A">
          <w:rPr>
            <w:noProof/>
            <w:webHidden/>
            <w:rtl w:val="0"/>
          </w:rPr>
          <w:fldChar w:fldCharType="separate"/>
        </w:r>
        <w:r w:rsidR="005B67C1">
          <w:rPr>
            <w:noProof/>
            <w:webHidden/>
            <w:cs w:val="0"/>
            <w:lang w:bidi="ar-SA"/>
          </w:rPr>
          <w:t>12</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02" w:history="1">
        <w:r w:rsidR="006B654A">
          <w:rPr>
            <w:rStyle w:val="Hyperlink"/>
            <w:noProof/>
            <w:cs w:val="0"/>
          </w:rPr>
          <w:t>۱-۶- تعاریف نظری و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_Toc239015102 \h </w:instrText>
        </w:r>
        <w:r w:rsidR="006B654A">
          <w:rPr>
            <w:noProof/>
            <w:webHidden/>
            <w:rtl w:val="0"/>
          </w:rPr>
        </w:r>
        <w:r w:rsidR="006B654A">
          <w:rPr>
            <w:noProof/>
            <w:webHidden/>
            <w:rtl w:val="0"/>
          </w:rPr>
          <w:fldChar w:fldCharType="separate"/>
        </w:r>
        <w:r w:rsidR="005B67C1">
          <w:rPr>
            <w:noProof/>
            <w:webHidden/>
            <w:cs w:val="0"/>
            <w:lang w:bidi="ar-SA"/>
          </w:rPr>
          <w:t>13</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03" w:history="1">
        <w:r w:rsidR="006B654A">
          <w:rPr>
            <w:rStyle w:val="Hyperlink"/>
            <w:noProof/>
            <w:cs w:val="0"/>
          </w:rPr>
          <w:t>۱-۶-۱- تعاریف نظری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_Toc239015103 \h </w:instrText>
        </w:r>
        <w:r w:rsidR="006B654A">
          <w:rPr>
            <w:noProof/>
            <w:webHidden/>
            <w:rtl w:val="0"/>
          </w:rPr>
        </w:r>
        <w:r w:rsidR="006B654A">
          <w:rPr>
            <w:noProof/>
            <w:webHidden/>
            <w:rtl w:val="0"/>
          </w:rPr>
          <w:fldChar w:fldCharType="separate"/>
        </w:r>
        <w:r w:rsidR="005B67C1">
          <w:rPr>
            <w:noProof/>
            <w:webHidden/>
            <w:cs w:val="0"/>
            <w:lang w:bidi="ar-SA"/>
          </w:rPr>
          <w:t>13</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04" w:history="1">
        <w:r w:rsidR="006B654A">
          <w:rPr>
            <w:rStyle w:val="Hyperlink"/>
            <w:noProof/>
            <w:cs w:val="0"/>
          </w:rPr>
          <w:t>۱-۶-۲- تعاریف عملیاتی متغیرها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_Toc239015104 \h </w:instrText>
        </w:r>
        <w:r w:rsidR="006B654A">
          <w:rPr>
            <w:noProof/>
            <w:webHidden/>
            <w:rtl w:val="0"/>
          </w:rPr>
        </w:r>
        <w:r w:rsidR="006B654A">
          <w:rPr>
            <w:noProof/>
            <w:webHidden/>
            <w:rtl w:val="0"/>
          </w:rPr>
          <w:fldChar w:fldCharType="separate"/>
        </w:r>
        <w:r w:rsidR="005B67C1">
          <w:rPr>
            <w:noProof/>
            <w:webHidden/>
            <w:cs w:val="0"/>
            <w:lang w:bidi="ar-SA"/>
          </w:rPr>
          <w:t>13</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دوم: مبان</w:t>
      </w:r>
      <w:r w:rsidRPr="004118A0">
        <w:rPr>
          <w:rFonts w:hint="cs"/>
          <w:b/>
          <w:bCs/>
          <w:cs w:val="0"/>
        </w:rPr>
        <w:t>ی</w:t>
      </w:r>
      <w:r w:rsidRPr="004118A0">
        <w:rPr>
          <w:b/>
          <w:bCs/>
          <w:cs w:val="0"/>
        </w:rPr>
        <w:t xml:space="preserve"> نظر</w:t>
      </w:r>
      <w:r w:rsidRPr="004118A0">
        <w:rPr>
          <w:rFonts w:hint="cs"/>
          <w:b/>
          <w:bCs/>
          <w:cs w:val="0"/>
        </w:rPr>
        <w:t>ی</w:t>
      </w:r>
      <w:r w:rsidRPr="004118A0">
        <w:rPr>
          <w:b/>
          <w:bCs/>
          <w:cs w:val="0"/>
        </w:rPr>
        <w:t xml:space="preserve"> و پ</w:t>
      </w:r>
      <w:r w:rsidRPr="004118A0">
        <w:rPr>
          <w:rFonts w:hint="cs"/>
          <w:b/>
          <w:bCs/>
          <w:cs w:val="0"/>
        </w:rPr>
        <w:t>ی</w:t>
      </w:r>
      <w:r w:rsidRPr="004118A0">
        <w:rPr>
          <w:rFonts w:hint="eastAsia"/>
          <w:b/>
          <w:bCs/>
          <w:cs w:val="0"/>
        </w:rPr>
        <w:t>ش</w:t>
      </w:r>
      <w:r w:rsidRPr="004118A0">
        <w:rPr>
          <w:rFonts w:hint="cs"/>
          <w:b/>
          <w:bCs/>
          <w:cs w:val="0"/>
        </w:rPr>
        <w:t>ی</w:t>
      </w:r>
      <w:r w:rsidRPr="004118A0">
        <w:rPr>
          <w:rFonts w:hint="eastAsia"/>
          <w:b/>
          <w:bCs/>
          <w:cs w:val="0"/>
        </w:rPr>
        <w:t>نه</w:t>
      </w:r>
      <w:r w:rsidRPr="004118A0">
        <w:rPr>
          <w:b/>
          <w:bCs/>
          <w:cs w:val="0"/>
        </w:rPr>
        <w:t xml:space="preserve"> پژوهش</w:t>
      </w:r>
    </w:p>
    <w:p w:rsidR="002D64E3" w:rsidRDefault="004A15EF">
      <w:pPr>
        <w:pStyle w:val="TableofFigures"/>
        <w:tabs>
          <w:tab w:val="clear" w:pos="8778"/>
          <w:tab w:val="right" w:leader="dot" w:pos="8788"/>
        </w:tabs>
        <w:spacing w:line="240" w:lineRule="auto"/>
        <w:rPr>
          <w:cs w:val="0"/>
        </w:rPr>
      </w:pPr>
      <w:hyperlink w:anchor="_Toc239015106" w:history="1">
        <w:r w:rsidR="006B654A">
          <w:rPr>
            <w:rStyle w:val="Hyperlink"/>
            <w:noProof/>
            <w:cs w:val="0"/>
          </w:rPr>
          <w:t>۲-۱- گستره نخست: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_Toc239015106 \h </w:instrText>
        </w:r>
        <w:r w:rsidR="006B654A">
          <w:rPr>
            <w:noProof/>
            <w:webHidden/>
            <w:rtl w:val="0"/>
          </w:rPr>
        </w:r>
        <w:r w:rsidR="006B654A">
          <w:rPr>
            <w:noProof/>
            <w:webHidden/>
            <w:rtl w:val="0"/>
          </w:rPr>
          <w:fldChar w:fldCharType="separate"/>
        </w:r>
        <w:r w:rsidR="005B67C1">
          <w:rPr>
            <w:noProof/>
            <w:webHidden/>
            <w:cs w:val="0"/>
            <w:lang w:bidi="ar-SA"/>
          </w:rPr>
          <w:t>15</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07" w:history="1">
        <w:r w:rsidR="006B654A">
          <w:rPr>
            <w:rStyle w:val="Hyperlink"/>
            <w:noProof/>
            <w:cs w:val="0"/>
          </w:rPr>
          <w:t>۲-۱-۱- مفهوم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_Toc239015107 \h </w:instrText>
        </w:r>
        <w:r w:rsidR="006B654A">
          <w:rPr>
            <w:noProof/>
            <w:webHidden/>
            <w:rtl w:val="0"/>
          </w:rPr>
        </w:r>
        <w:r w:rsidR="006B654A">
          <w:rPr>
            <w:noProof/>
            <w:webHidden/>
            <w:rtl w:val="0"/>
          </w:rPr>
          <w:fldChar w:fldCharType="separate"/>
        </w:r>
        <w:r w:rsidR="005B67C1">
          <w:rPr>
            <w:noProof/>
            <w:webHidden/>
            <w:cs w:val="0"/>
            <w:lang w:bidi="ar-SA"/>
          </w:rPr>
          <w:t>15</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08" w:history="1">
        <w:r w:rsidR="006B654A">
          <w:rPr>
            <w:rStyle w:val="Hyperlink"/>
            <w:noProof/>
            <w:cs w:val="0"/>
          </w:rPr>
          <w:t>۲-۱-۲- نظریه‌های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_Toc239015108 \h </w:instrText>
        </w:r>
        <w:r w:rsidR="006B654A">
          <w:rPr>
            <w:noProof/>
            <w:webHidden/>
            <w:rtl w:val="0"/>
          </w:rPr>
        </w:r>
        <w:r w:rsidR="006B654A">
          <w:rPr>
            <w:noProof/>
            <w:webHidden/>
            <w:rtl w:val="0"/>
          </w:rPr>
          <w:fldChar w:fldCharType="separate"/>
        </w:r>
        <w:r w:rsidR="005B67C1">
          <w:rPr>
            <w:noProof/>
            <w:webHidden/>
            <w:cs w:val="0"/>
            <w:lang w:bidi="ar-SA"/>
          </w:rPr>
          <w:t>16</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23" w:history="1">
        <w:r w:rsidR="006B654A">
          <w:rPr>
            <w:rStyle w:val="Hyperlink"/>
            <w:noProof/>
            <w:cs w:val="0"/>
          </w:rPr>
          <w:t>۲-۲- گستره دوم: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_Toc239015123 \h </w:instrText>
        </w:r>
        <w:r w:rsidR="006B654A">
          <w:rPr>
            <w:noProof/>
            <w:webHidden/>
            <w:rtl w:val="0"/>
          </w:rPr>
        </w:r>
        <w:r w:rsidR="006B654A">
          <w:rPr>
            <w:noProof/>
            <w:webHidden/>
            <w:rtl w:val="0"/>
          </w:rPr>
          <w:fldChar w:fldCharType="separate"/>
        </w:r>
        <w:r w:rsidR="005B67C1">
          <w:rPr>
            <w:noProof/>
            <w:webHidden/>
            <w:cs w:val="0"/>
            <w:lang w:bidi="ar-SA"/>
          </w:rPr>
          <w:t>24</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24" w:history="1">
        <w:r w:rsidR="006B654A">
          <w:rPr>
            <w:rStyle w:val="Hyperlink"/>
            <w:noProof/>
            <w:cs w:val="0"/>
          </w:rPr>
          <w:t>۲-۲-۱- مفهوم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_Toc239015124 \h </w:instrText>
        </w:r>
        <w:r w:rsidR="006B654A">
          <w:rPr>
            <w:noProof/>
            <w:webHidden/>
            <w:rtl w:val="0"/>
          </w:rPr>
        </w:r>
        <w:r w:rsidR="006B654A">
          <w:rPr>
            <w:noProof/>
            <w:webHidden/>
            <w:rtl w:val="0"/>
          </w:rPr>
          <w:fldChar w:fldCharType="separate"/>
        </w:r>
        <w:r w:rsidR="005B67C1">
          <w:rPr>
            <w:noProof/>
            <w:webHidden/>
            <w:cs w:val="0"/>
            <w:lang w:bidi="ar-SA"/>
          </w:rPr>
          <w:t>24</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25" w:history="1">
        <w:r w:rsidR="006B654A">
          <w:rPr>
            <w:rStyle w:val="Hyperlink"/>
            <w:noProof/>
            <w:cs w:val="0"/>
          </w:rPr>
          <w:t>۲-۲-۲- نظریه‌های مرتبط با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_Toc239015125 \h </w:instrText>
        </w:r>
        <w:r w:rsidR="006B654A">
          <w:rPr>
            <w:noProof/>
            <w:webHidden/>
            <w:rtl w:val="0"/>
          </w:rPr>
        </w:r>
        <w:r w:rsidR="006B654A">
          <w:rPr>
            <w:noProof/>
            <w:webHidden/>
            <w:rtl w:val="0"/>
          </w:rPr>
          <w:fldChar w:fldCharType="separate"/>
        </w:r>
        <w:r w:rsidR="005B67C1">
          <w:rPr>
            <w:noProof/>
            <w:webHidden/>
            <w:cs w:val="0"/>
            <w:lang w:bidi="ar-SA"/>
          </w:rPr>
          <w:t>25</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30" w:history="1">
        <w:r w:rsidR="006B654A">
          <w:rPr>
            <w:rStyle w:val="Hyperlink"/>
            <w:noProof/>
            <w:cs w:val="0"/>
          </w:rPr>
          <w:t>۲-۲-۳- ابعاد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_Toc239015130 \h </w:instrText>
        </w:r>
        <w:r w:rsidR="006B654A">
          <w:rPr>
            <w:noProof/>
            <w:webHidden/>
            <w:rtl w:val="0"/>
          </w:rPr>
        </w:r>
        <w:r w:rsidR="006B654A">
          <w:rPr>
            <w:noProof/>
            <w:webHidden/>
            <w:rtl w:val="0"/>
          </w:rPr>
          <w:fldChar w:fldCharType="separate"/>
        </w:r>
        <w:r w:rsidR="005B67C1">
          <w:rPr>
            <w:noProof/>
            <w:webHidden/>
            <w:cs w:val="0"/>
            <w:lang w:bidi="ar-SA"/>
          </w:rPr>
          <w:t>26</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31" w:history="1">
        <w:r w:rsidR="006B654A">
          <w:rPr>
            <w:rStyle w:val="Hyperlink"/>
            <w:noProof/>
            <w:cs w:val="0"/>
          </w:rPr>
          <w:t>۲-۲-۴- عوامل مؤثر بر اضطراب مرگ در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_Toc239015131 \h </w:instrText>
        </w:r>
        <w:r w:rsidR="006B654A">
          <w:rPr>
            <w:noProof/>
            <w:webHidden/>
            <w:rtl w:val="0"/>
          </w:rPr>
        </w:r>
        <w:r w:rsidR="006B654A">
          <w:rPr>
            <w:noProof/>
            <w:webHidden/>
            <w:rtl w:val="0"/>
          </w:rPr>
          <w:fldChar w:fldCharType="separate"/>
        </w:r>
        <w:r w:rsidR="005B67C1">
          <w:rPr>
            <w:noProof/>
            <w:webHidden/>
            <w:cs w:val="0"/>
            <w:lang w:bidi="ar-SA"/>
          </w:rPr>
          <w:t>27</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32" w:history="1">
        <w:r w:rsidR="006B654A">
          <w:rPr>
            <w:rStyle w:val="Hyperlink"/>
            <w:noProof/>
            <w:cs w:val="0"/>
          </w:rPr>
          <w:t>۲-۲-۵- اضطراب مرگ و سالمندی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_Toc239015132 \h </w:instrText>
        </w:r>
        <w:r w:rsidR="006B654A">
          <w:rPr>
            <w:noProof/>
            <w:webHidden/>
            <w:rtl w:val="0"/>
          </w:rPr>
        </w:r>
        <w:r w:rsidR="006B654A">
          <w:rPr>
            <w:noProof/>
            <w:webHidden/>
            <w:rtl w:val="0"/>
          </w:rPr>
          <w:fldChar w:fldCharType="separate"/>
        </w:r>
        <w:r w:rsidR="005B67C1">
          <w:rPr>
            <w:noProof/>
            <w:webHidden/>
            <w:cs w:val="0"/>
            <w:lang w:bidi="ar-SA"/>
          </w:rPr>
          <w:t>27</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33" w:history="1">
        <w:r w:rsidR="006B654A">
          <w:rPr>
            <w:rStyle w:val="Hyperlink"/>
            <w:noProof/>
            <w:cs w:val="0"/>
          </w:rPr>
          <w:t>۲-۲-۶- پیامدهای اضطراب مرگ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_Toc239015133 \h </w:instrText>
        </w:r>
        <w:r w:rsidR="006B654A">
          <w:rPr>
            <w:noProof/>
            <w:webHidden/>
            <w:rtl w:val="0"/>
          </w:rPr>
        </w:r>
        <w:r w:rsidR="006B654A">
          <w:rPr>
            <w:noProof/>
            <w:webHidden/>
            <w:rtl w:val="0"/>
          </w:rPr>
          <w:fldChar w:fldCharType="separate"/>
        </w:r>
        <w:r w:rsidR="005B67C1">
          <w:rPr>
            <w:noProof/>
            <w:webHidden/>
            <w:cs w:val="0"/>
            <w:lang w:bidi="ar-SA"/>
          </w:rPr>
          <w:t>28</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34" w:history="1">
        <w:r w:rsidR="006B654A">
          <w:rPr>
            <w:rStyle w:val="Hyperlink"/>
            <w:noProof/>
            <w:cs w:val="0"/>
          </w:rPr>
          <w:t>۲-۳- گستره سوم: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_Toc239015134 \h </w:instrText>
        </w:r>
        <w:r w:rsidR="006B654A">
          <w:rPr>
            <w:noProof/>
            <w:webHidden/>
            <w:rtl w:val="0"/>
          </w:rPr>
        </w:r>
        <w:r w:rsidR="006B654A">
          <w:rPr>
            <w:noProof/>
            <w:webHidden/>
            <w:rtl w:val="0"/>
          </w:rPr>
          <w:fldChar w:fldCharType="separate"/>
        </w:r>
        <w:r w:rsidR="005B67C1">
          <w:rPr>
            <w:noProof/>
            <w:webHidden/>
            <w:cs w:val="0"/>
            <w:lang w:bidi="ar-SA"/>
          </w:rPr>
          <w:t>29</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35" w:history="1">
        <w:r w:rsidR="006B654A">
          <w:rPr>
            <w:rStyle w:val="Hyperlink"/>
            <w:noProof/>
            <w:cs w:val="0"/>
          </w:rPr>
          <w:t>۲-۳-۱- مفهوم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_Toc239015135 \h </w:instrText>
        </w:r>
        <w:r w:rsidR="006B654A">
          <w:rPr>
            <w:noProof/>
            <w:webHidden/>
            <w:rtl w:val="0"/>
          </w:rPr>
        </w:r>
        <w:r w:rsidR="006B654A">
          <w:rPr>
            <w:noProof/>
            <w:webHidden/>
            <w:rtl w:val="0"/>
          </w:rPr>
          <w:fldChar w:fldCharType="separate"/>
        </w:r>
        <w:r w:rsidR="005B67C1">
          <w:rPr>
            <w:noProof/>
            <w:webHidden/>
            <w:cs w:val="0"/>
            <w:lang w:bidi="ar-SA"/>
          </w:rPr>
          <w:t>29</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36" w:history="1">
        <w:r w:rsidR="006B654A">
          <w:rPr>
            <w:rStyle w:val="Hyperlink"/>
            <w:noProof/>
            <w:cs w:val="0"/>
          </w:rPr>
          <w:t>۲-۳-۲- دیدگاه فضیلت گرایانه به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_Toc239015136 \h </w:instrText>
        </w:r>
        <w:r w:rsidR="006B654A">
          <w:rPr>
            <w:noProof/>
            <w:webHidden/>
            <w:rtl w:val="0"/>
          </w:rPr>
        </w:r>
        <w:r w:rsidR="006B654A">
          <w:rPr>
            <w:noProof/>
            <w:webHidden/>
            <w:rtl w:val="0"/>
          </w:rPr>
          <w:fldChar w:fldCharType="separate"/>
        </w:r>
        <w:r w:rsidR="005B67C1">
          <w:rPr>
            <w:noProof/>
            <w:webHidden/>
            <w:cs w:val="0"/>
            <w:lang w:bidi="ar-SA"/>
          </w:rPr>
          <w:t>31</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37" w:history="1">
        <w:r w:rsidR="006B654A">
          <w:rPr>
            <w:rStyle w:val="Hyperlink"/>
            <w:noProof/>
            <w:cs w:val="0"/>
          </w:rPr>
          <w:t>۲-۳-۳- عوامل مؤثر بر هوش معنوی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_Toc239015137 \h </w:instrText>
        </w:r>
        <w:r w:rsidR="006B654A">
          <w:rPr>
            <w:noProof/>
            <w:webHidden/>
            <w:rtl w:val="0"/>
          </w:rPr>
        </w:r>
        <w:r w:rsidR="006B654A">
          <w:rPr>
            <w:noProof/>
            <w:webHidden/>
            <w:rtl w:val="0"/>
          </w:rPr>
          <w:fldChar w:fldCharType="separate"/>
        </w:r>
        <w:r w:rsidR="005B67C1">
          <w:rPr>
            <w:noProof/>
            <w:webHidden/>
            <w:cs w:val="0"/>
            <w:lang w:bidi="ar-SA"/>
          </w:rPr>
          <w:t>35</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38" w:history="1">
        <w:r w:rsidR="006B654A">
          <w:rPr>
            <w:rStyle w:val="Hyperlink"/>
            <w:noProof/>
            <w:cs w:val="0"/>
          </w:rPr>
          <w:t>۲-۳-۴- مدل چهارعاملی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_Toc239015138 \h </w:instrText>
        </w:r>
        <w:r w:rsidR="006B654A">
          <w:rPr>
            <w:noProof/>
            <w:webHidden/>
            <w:rtl w:val="0"/>
          </w:rPr>
        </w:r>
        <w:r w:rsidR="006B654A">
          <w:rPr>
            <w:noProof/>
            <w:webHidden/>
            <w:rtl w:val="0"/>
          </w:rPr>
          <w:fldChar w:fldCharType="separate"/>
        </w:r>
        <w:r w:rsidR="005B67C1">
          <w:rPr>
            <w:noProof/>
            <w:webHidden/>
            <w:cs w:val="0"/>
            <w:lang w:bidi="ar-SA"/>
          </w:rPr>
          <w:t>37</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39" w:history="1">
        <w:r w:rsidR="006B654A">
          <w:rPr>
            <w:rStyle w:val="Hyperlink"/>
            <w:noProof/>
            <w:cs w:val="0"/>
          </w:rPr>
          <w:t>۲-۴- گستره چهارم: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_Toc239015139 \h </w:instrText>
        </w:r>
        <w:r w:rsidR="006B654A">
          <w:rPr>
            <w:noProof/>
            <w:webHidden/>
            <w:rtl w:val="0"/>
          </w:rPr>
        </w:r>
        <w:r w:rsidR="006B654A">
          <w:rPr>
            <w:noProof/>
            <w:webHidden/>
            <w:rtl w:val="0"/>
          </w:rPr>
          <w:fldChar w:fldCharType="separate"/>
        </w:r>
        <w:r w:rsidR="005B67C1">
          <w:rPr>
            <w:noProof/>
            <w:webHidden/>
            <w:cs w:val="0"/>
            <w:lang w:bidi="ar-SA"/>
          </w:rPr>
          <w:t>38</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40" w:history="1">
        <w:r w:rsidR="006B654A">
          <w:rPr>
            <w:rStyle w:val="Hyperlink"/>
            <w:noProof/>
            <w:cs w:val="0"/>
          </w:rPr>
          <w:t>۲-۴-۱- مفهوم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_Toc239015140 \h </w:instrText>
        </w:r>
        <w:r w:rsidR="006B654A">
          <w:rPr>
            <w:noProof/>
            <w:webHidden/>
            <w:rtl w:val="0"/>
          </w:rPr>
        </w:r>
        <w:r w:rsidR="006B654A">
          <w:rPr>
            <w:noProof/>
            <w:webHidden/>
            <w:rtl w:val="0"/>
          </w:rPr>
          <w:fldChar w:fldCharType="separate"/>
        </w:r>
        <w:r w:rsidR="005B67C1">
          <w:rPr>
            <w:noProof/>
            <w:webHidden/>
            <w:cs w:val="0"/>
            <w:lang w:bidi="ar-SA"/>
          </w:rPr>
          <w:t>38</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41" w:history="1">
        <w:r w:rsidR="006B654A">
          <w:rPr>
            <w:rStyle w:val="Hyperlink"/>
            <w:noProof/>
            <w:cs w:val="0"/>
          </w:rPr>
          <w:t>۲-۴-۲- مدل‌های نظری اضطراب سلامتی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_Toc239015141 \h </w:instrText>
        </w:r>
        <w:r w:rsidR="006B654A">
          <w:rPr>
            <w:noProof/>
            <w:webHidden/>
            <w:rtl w:val="0"/>
          </w:rPr>
        </w:r>
        <w:r w:rsidR="006B654A">
          <w:rPr>
            <w:noProof/>
            <w:webHidden/>
            <w:rtl w:val="0"/>
          </w:rPr>
          <w:fldChar w:fldCharType="separate"/>
        </w:r>
        <w:r w:rsidR="005B67C1">
          <w:rPr>
            <w:noProof/>
            <w:webHidden/>
            <w:cs w:val="0"/>
            <w:lang w:bidi="ar-SA"/>
          </w:rPr>
          <w:t>40</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45" w:history="1">
        <w:r w:rsidR="006B654A">
          <w:rPr>
            <w:rStyle w:val="Hyperlink"/>
            <w:noProof/>
            <w:cs w:val="0"/>
          </w:rPr>
          <w:t>۲-۴-۳- سالمندی و اضطراب سلامت</w:t>
        </w:r>
        <w:r w:rsidR="006B654A">
          <w:rPr>
            <w:noProof/>
            <w:webHidden/>
            <w:cs w:val="0"/>
          </w:rPr>
          <w:tab/>
        </w:r>
        <w:r w:rsidR="006B654A">
          <w:rPr>
            <w:noProof/>
            <w:webHidden/>
            <w:rtl w:val="0"/>
          </w:rPr>
          <w:fldChar w:fldCharType="begin"/>
        </w:r>
        <w:r w:rsidR="006B654A">
          <w:rPr>
            <w:noProof/>
            <w:webHidden/>
            <w:rtl w:val="0"/>
            <w:cs w:val="0"/>
          </w:rPr>
          <w:instrText xml:space="preserve"> PAGEREF _Toc239015145 \h </w:instrText>
        </w:r>
        <w:r w:rsidR="006B654A">
          <w:rPr>
            <w:noProof/>
            <w:webHidden/>
            <w:rtl w:val="0"/>
          </w:rPr>
        </w:r>
        <w:r w:rsidR="006B654A">
          <w:rPr>
            <w:noProof/>
            <w:webHidden/>
            <w:rtl w:val="0"/>
          </w:rPr>
          <w:fldChar w:fldCharType="separate"/>
        </w:r>
        <w:r w:rsidR="005B67C1">
          <w:rPr>
            <w:noProof/>
            <w:webHidden/>
            <w:cs w:val="0"/>
            <w:lang w:bidi="ar-SA"/>
          </w:rPr>
          <w:t>43</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46" w:history="1">
        <w:r w:rsidR="006B654A">
          <w:rPr>
            <w:rStyle w:val="Hyperlink"/>
            <w:noProof/>
            <w:cs w:val="0"/>
          </w:rPr>
          <w:t>۲-۴-۴- عوامل زمینه‌ساز اضطراب</w:t>
        </w:r>
        <w:r w:rsidR="006B654A">
          <w:rPr>
            <w:noProof/>
            <w:webHidden/>
            <w:cs w:val="0"/>
          </w:rPr>
          <w:tab/>
        </w:r>
        <w:r w:rsidR="006B654A">
          <w:rPr>
            <w:noProof/>
            <w:webHidden/>
            <w:rtl w:val="0"/>
          </w:rPr>
          <w:fldChar w:fldCharType="begin"/>
        </w:r>
        <w:r w:rsidR="006B654A">
          <w:rPr>
            <w:noProof/>
            <w:webHidden/>
            <w:rtl w:val="0"/>
            <w:cs w:val="0"/>
          </w:rPr>
          <w:instrText xml:space="preserve"> PAGEREF _Toc239015146 \h </w:instrText>
        </w:r>
        <w:r w:rsidR="006B654A">
          <w:rPr>
            <w:noProof/>
            <w:webHidden/>
            <w:rtl w:val="0"/>
          </w:rPr>
        </w:r>
        <w:r w:rsidR="006B654A">
          <w:rPr>
            <w:noProof/>
            <w:webHidden/>
            <w:rtl w:val="0"/>
          </w:rPr>
          <w:fldChar w:fldCharType="separate"/>
        </w:r>
        <w:r w:rsidR="005B67C1">
          <w:rPr>
            <w:noProof/>
            <w:webHidden/>
            <w:cs w:val="0"/>
            <w:lang w:bidi="ar-SA"/>
          </w:rPr>
          <w:t>46</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47" w:history="1">
        <w:r w:rsidR="006B654A">
          <w:rPr>
            <w:rStyle w:val="Hyperlink"/>
            <w:noProof/>
            <w:cs w:val="0"/>
          </w:rPr>
          <w:t>۲-۴-۵- مداخلات معطوف به کاهش اضطراب سلامت سالمندان</w:t>
        </w:r>
        <w:r w:rsidR="006B654A">
          <w:rPr>
            <w:noProof/>
            <w:webHidden/>
            <w:cs w:val="0"/>
          </w:rPr>
          <w:tab/>
        </w:r>
        <w:r w:rsidR="006B654A">
          <w:rPr>
            <w:noProof/>
            <w:webHidden/>
            <w:rtl w:val="0"/>
          </w:rPr>
          <w:fldChar w:fldCharType="begin"/>
        </w:r>
        <w:r w:rsidR="006B654A">
          <w:rPr>
            <w:noProof/>
            <w:webHidden/>
            <w:rtl w:val="0"/>
            <w:cs w:val="0"/>
          </w:rPr>
          <w:instrText xml:space="preserve"> PAGEREF _Toc239015147 \h </w:instrText>
        </w:r>
        <w:r w:rsidR="006B654A">
          <w:rPr>
            <w:noProof/>
            <w:webHidden/>
            <w:rtl w:val="0"/>
          </w:rPr>
        </w:r>
        <w:r w:rsidR="006B654A">
          <w:rPr>
            <w:noProof/>
            <w:webHidden/>
            <w:rtl w:val="0"/>
          </w:rPr>
          <w:fldChar w:fldCharType="separate"/>
        </w:r>
        <w:r w:rsidR="005B67C1">
          <w:rPr>
            <w:noProof/>
            <w:webHidden/>
            <w:cs w:val="0"/>
            <w:lang w:bidi="ar-SA"/>
          </w:rPr>
          <w:t>47</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48" w:history="1">
        <w:r w:rsidR="006B654A">
          <w:rPr>
            <w:rStyle w:val="Hyperlink"/>
            <w:noProof/>
            <w:cs w:val="0"/>
          </w:rPr>
          <w:t>۲-۵- پیشینه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_Toc239015148 \h </w:instrText>
        </w:r>
        <w:r w:rsidR="006B654A">
          <w:rPr>
            <w:noProof/>
            <w:webHidden/>
            <w:rtl w:val="0"/>
          </w:rPr>
        </w:r>
        <w:r w:rsidR="006B654A">
          <w:rPr>
            <w:noProof/>
            <w:webHidden/>
            <w:rtl w:val="0"/>
          </w:rPr>
          <w:fldChar w:fldCharType="separate"/>
        </w:r>
        <w:r w:rsidR="005B67C1">
          <w:rPr>
            <w:noProof/>
            <w:webHidden/>
            <w:cs w:val="0"/>
            <w:lang w:bidi="ar-SA"/>
          </w:rPr>
          <w:t>50</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49" w:history="1">
        <w:r w:rsidR="006B654A">
          <w:rPr>
            <w:rStyle w:val="Hyperlink"/>
            <w:noProof/>
            <w:cs w:val="0"/>
          </w:rPr>
          <w:t>۲-۵-۱- پیشینه داخلی</w:t>
        </w:r>
        <w:r w:rsidR="006B654A">
          <w:rPr>
            <w:noProof/>
            <w:webHidden/>
            <w:cs w:val="0"/>
          </w:rPr>
          <w:tab/>
        </w:r>
        <w:r w:rsidR="006B654A">
          <w:rPr>
            <w:noProof/>
            <w:webHidden/>
            <w:rtl w:val="0"/>
          </w:rPr>
          <w:fldChar w:fldCharType="begin"/>
        </w:r>
        <w:r w:rsidR="006B654A">
          <w:rPr>
            <w:noProof/>
            <w:webHidden/>
            <w:rtl w:val="0"/>
            <w:cs w:val="0"/>
          </w:rPr>
          <w:instrText xml:space="preserve"> PAGEREF _Toc239015149 \h </w:instrText>
        </w:r>
        <w:r w:rsidR="006B654A">
          <w:rPr>
            <w:noProof/>
            <w:webHidden/>
            <w:rtl w:val="0"/>
          </w:rPr>
        </w:r>
        <w:r w:rsidR="006B654A">
          <w:rPr>
            <w:noProof/>
            <w:webHidden/>
            <w:rtl w:val="0"/>
          </w:rPr>
          <w:fldChar w:fldCharType="separate"/>
        </w:r>
        <w:r w:rsidR="005B67C1">
          <w:rPr>
            <w:noProof/>
            <w:webHidden/>
            <w:cs w:val="0"/>
            <w:lang w:bidi="ar-SA"/>
          </w:rPr>
          <w:t>50</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50" w:history="1">
        <w:r w:rsidR="006B654A">
          <w:rPr>
            <w:rStyle w:val="Hyperlink"/>
            <w:noProof/>
            <w:cs w:val="0"/>
          </w:rPr>
          <w:t>۲-۵-۲- پیشینه خارجی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_Toc239015150 \h </w:instrText>
        </w:r>
        <w:r w:rsidR="006B654A">
          <w:rPr>
            <w:noProof/>
            <w:webHidden/>
            <w:rtl w:val="0"/>
          </w:rPr>
        </w:r>
        <w:r w:rsidR="006B654A">
          <w:rPr>
            <w:noProof/>
            <w:webHidden/>
            <w:rtl w:val="0"/>
          </w:rPr>
          <w:fldChar w:fldCharType="separate"/>
        </w:r>
        <w:r w:rsidR="005B67C1">
          <w:rPr>
            <w:noProof/>
            <w:webHidden/>
            <w:cs w:val="0"/>
            <w:lang w:bidi="ar-SA"/>
          </w:rPr>
          <w:t>54</w:t>
        </w:r>
        <w:r w:rsidR="006B654A">
          <w:rPr>
            <w:noProof/>
            <w:webHidden/>
            <w:rtl w:val="0"/>
          </w:rPr>
          <w:fldChar w:fldCharType="end"/>
        </w:r>
      </w:hyperlink>
    </w:p>
    <w:p w:rsidR="004118A0" w:rsidRDefault="004118A0" w:rsidP="004118A0">
      <w:pPr>
        <w:spacing w:after="240" w:line="276" w:lineRule="auto"/>
        <w:jc w:val="center"/>
        <w:rPr>
          <w:rFonts w:eastAsia="MS Mincho"/>
          <w:b/>
          <w:bCs/>
          <w:i/>
          <w:iCs/>
          <w:noProof/>
          <w:color w:val="auto"/>
          <w:cs w:val="0"/>
        </w:rPr>
      </w:pPr>
      <w:r w:rsidRPr="004118A0">
        <w:rPr>
          <w:rFonts w:eastAsia="MS Mincho"/>
          <w:b/>
          <w:bCs/>
          <w:i/>
          <w:iCs/>
          <w:noProof/>
          <w:color w:val="auto"/>
          <w:cs w:val="0"/>
        </w:rPr>
        <w:t>فصل سوم: روش پژوهش</w:t>
      </w:r>
    </w:p>
    <w:p w:rsidR="002D64E3" w:rsidRDefault="004A15EF">
      <w:pPr>
        <w:pStyle w:val="TableofFigures"/>
        <w:tabs>
          <w:tab w:val="clear" w:pos="8778"/>
          <w:tab w:val="right" w:leader="dot" w:pos="8788"/>
        </w:tabs>
        <w:spacing w:line="240" w:lineRule="auto"/>
        <w:rPr>
          <w:cs w:val="0"/>
        </w:rPr>
      </w:pPr>
      <w:hyperlink w:anchor="_Toc239015152" w:history="1">
        <w:r w:rsidR="006B654A">
          <w:rPr>
            <w:rStyle w:val="Hyperlink"/>
            <w:noProof/>
            <w:cs w:val="0"/>
          </w:rPr>
          <w:t>۳-۱- طرح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_Toc239015152 \h </w:instrText>
        </w:r>
        <w:r w:rsidR="006B654A">
          <w:rPr>
            <w:noProof/>
            <w:webHidden/>
            <w:rtl w:val="0"/>
          </w:rPr>
        </w:r>
        <w:r w:rsidR="006B654A">
          <w:rPr>
            <w:noProof/>
            <w:webHidden/>
            <w:rtl w:val="0"/>
          </w:rPr>
          <w:fldChar w:fldCharType="separate"/>
        </w:r>
        <w:r w:rsidR="005B67C1">
          <w:rPr>
            <w:noProof/>
            <w:webHidden/>
            <w:cs w:val="0"/>
            <w:lang w:bidi="ar-SA"/>
          </w:rPr>
          <w:t>60</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53" w:history="1">
        <w:r w:rsidR="006B654A">
          <w:rPr>
            <w:rStyle w:val="Hyperlink"/>
            <w:noProof/>
            <w:cs w:val="0"/>
          </w:rPr>
          <w:t>۳-۲- جامعه، نمونه و روش نمونه‌گیری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_Toc239015153 \h </w:instrText>
        </w:r>
        <w:r w:rsidR="006B654A">
          <w:rPr>
            <w:noProof/>
            <w:webHidden/>
            <w:rtl w:val="0"/>
          </w:rPr>
        </w:r>
        <w:r w:rsidR="006B654A">
          <w:rPr>
            <w:noProof/>
            <w:webHidden/>
            <w:rtl w:val="0"/>
          </w:rPr>
          <w:fldChar w:fldCharType="separate"/>
        </w:r>
        <w:r w:rsidR="005B67C1">
          <w:rPr>
            <w:noProof/>
            <w:webHidden/>
            <w:cs w:val="0"/>
            <w:lang w:bidi="ar-SA"/>
          </w:rPr>
          <w:t>60</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54" w:history="1">
        <w:r w:rsidR="006B654A">
          <w:rPr>
            <w:rStyle w:val="Hyperlink"/>
            <w:noProof/>
            <w:cs w:val="0"/>
          </w:rPr>
          <w:t>۳-۳- ابزار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_Toc239015154 \h </w:instrText>
        </w:r>
        <w:r w:rsidR="006B654A">
          <w:rPr>
            <w:noProof/>
            <w:webHidden/>
            <w:rtl w:val="0"/>
          </w:rPr>
        </w:r>
        <w:r w:rsidR="006B654A">
          <w:rPr>
            <w:noProof/>
            <w:webHidden/>
            <w:rtl w:val="0"/>
          </w:rPr>
          <w:fldChar w:fldCharType="separate"/>
        </w:r>
        <w:r w:rsidR="005B67C1">
          <w:rPr>
            <w:noProof/>
            <w:webHidden/>
            <w:cs w:val="0"/>
            <w:lang w:bidi="ar-SA"/>
          </w:rPr>
          <w:t>60</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55" w:history="1">
        <w:r w:rsidR="006B654A">
          <w:rPr>
            <w:rStyle w:val="Hyperlink"/>
            <w:noProof/>
            <w:cs w:val="0"/>
          </w:rPr>
          <w:t>۳-۳-۱- پرسشنامه هوش معنوی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_Toc239015155 \h </w:instrText>
        </w:r>
        <w:r w:rsidR="006B654A">
          <w:rPr>
            <w:noProof/>
            <w:webHidden/>
            <w:rtl w:val="0"/>
          </w:rPr>
        </w:r>
        <w:r w:rsidR="006B654A">
          <w:rPr>
            <w:noProof/>
            <w:webHidden/>
            <w:rtl w:val="0"/>
          </w:rPr>
          <w:fldChar w:fldCharType="separate"/>
        </w:r>
        <w:r w:rsidR="005B67C1">
          <w:rPr>
            <w:noProof/>
            <w:webHidden/>
            <w:cs w:val="0"/>
            <w:lang w:bidi="ar-SA"/>
          </w:rPr>
          <w:t>60</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56" w:history="1">
        <w:r w:rsidR="006B654A">
          <w:rPr>
            <w:rStyle w:val="Hyperlink"/>
            <w:noProof/>
            <w:cs w:val="0"/>
          </w:rPr>
          <w:t>۳-۳-۲- پرسشنامه اضطراب مرگ (DAS)</w:t>
        </w:r>
        <w:r w:rsidR="006B654A">
          <w:rPr>
            <w:noProof/>
            <w:webHidden/>
            <w:cs w:val="0"/>
          </w:rPr>
          <w:tab/>
        </w:r>
        <w:r w:rsidR="006B654A">
          <w:rPr>
            <w:noProof/>
            <w:webHidden/>
            <w:rtl w:val="0"/>
          </w:rPr>
          <w:fldChar w:fldCharType="begin"/>
        </w:r>
        <w:r w:rsidR="006B654A">
          <w:rPr>
            <w:noProof/>
            <w:webHidden/>
            <w:rtl w:val="0"/>
            <w:cs w:val="0"/>
          </w:rPr>
          <w:instrText xml:space="preserve"> PAGEREF _Toc239015156 \h </w:instrText>
        </w:r>
        <w:r w:rsidR="006B654A">
          <w:rPr>
            <w:noProof/>
            <w:webHidden/>
            <w:rtl w:val="0"/>
          </w:rPr>
        </w:r>
        <w:r w:rsidR="006B654A">
          <w:rPr>
            <w:noProof/>
            <w:webHidden/>
            <w:rtl w:val="0"/>
          </w:rPr>
          <w:fldChar w:fldCharType="separate"/>
        </w:r>
        <w:r w:rsidR="005B67C1">
          <w:rPr>
            <w:noProof/>
            <w:webHidden/>
            <w:cs w:val="0"/>
            <w:lang w:bidi="ar-SA"/>
          </w:rPr>
          <w:t>61</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57" w:history="1">
        <w:r w:rsidR="006B654A">
          <w:rPr>
            <w:rStyle w:val="Hyperlink"/>
            <w:noProof/>
            <w:cs w:val="0"/>
          </w:rPr>
          <w:t>۳-۳-۳- پرسشنامه اضطراب سلامتی (HAI)</w:t>
        </w:r>
        <w:r w:rsidR="006B654A">
          <w:rPr>
            <w:noProof/>
            <w:webHidden/>
            <w:cs w:val="0"/>
          </w:rPr>
          <w:tab/>
        </w:r>
        <w:r w:rsidR="006B654A">
          <w:rPr>
            <w:noProof/>
            <w:webHidden/>
            <w:rtl w:val="0"/>
          </w:rPr>
          <w:fldChar w:fldCharType="begin"/>
        </w:r>
        <w:r w:rsidR="006B654A">
          <w:rPr>
            <w:noProof/>
            <w:webHidden/>
            <w:rtl w:val="0"/>
            <w:cs w:val="0"/>
          </w:rPr>
          <w:instrText xml:space="preserve"> PAGEREF _Toc239015157 \h </w:instrText>
        </w:r>
        <w:r w:rsidR="006B654A">
          <w:rPr>
            <w:noProof/>
            <w:webHidden/>
            <w:rtl w:val="0"/>
          </w:rPr>
        </w:r>
        <w:r w:rsidR="006B654A">
          <w:rPr>
            <w:noProof/>
            <w:webHidden/>
            <w:rtl w:val="0"/>
          </w:rPr>
          <w:fldChar w:fldCharType="separate"/>
        </w:r>
        <w:r w:rsidR="005B67C1">
          <w:rPr>
            <w:noProof/>
            <w:webHidden/>
            <w:cs w:val="0"/>
            <w:lang w:bidi="ar-SA"/>
          </w:rPr>
          <w:t>61</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58" w:history="1">
        <w:r w:rsidR="006B654A">
          <w:rPr>
            <w:rStyle w:val="Hyperlink"/>
            <w:noProof/>
            <w:cs w:val="0"/>
          </w:rPr>
          <w:t>۳-۴- روش اجرای پژوهش</w:t>
        </w:r>
        <w:r w:rsidR="006B654A">
          <w:rPr>
            <w:noProof/>
            <w:webHidden/>
            <w:cs w:val="0"/>
          </w:rPr>
          <w:tab/>
        </w:r>
        <w:r w:rsidR="006B654A">
          <w:rPr>
            <w:noProof/>
            <w:webHidden/>
            <w:rtl w:val="0"/>
          </w:rPr>
          <w:fldChar w:fldCharType="begin"/>
        </w:r>
        <w:r w:rsidR="006B654A">
          <w:rPr>
            <w:noProof/>
            <w:webHidden/>
            <w:rtl w:val="0"/>
            <w:cs w:val="0"/>
          </w:rPr>
          <w:instrText xml:space="preserve"> PAGEREF _Toc239015158 \h </w:instrText>
        </w:r>
        <w:r w:rsidR="006B654A">
          <w:rPr>
            <w:noProof/>
            <w:webHidden/>
            <w:rtl w:val="0"/>
          </w:rPr>
        </w:r>
        <w:r w:rsidR="006B654A">
          <w:rPr>
            <w:noProof/>
            <w:webHidden/>
            <w:rtl w:val="0"/>
          </w:rPr>
          <w:fldChar w:fldCharType="separate"/>
        </w:r>
        <w:r w:rsidR="005B67C1">
          <w:rPr>
            <w:noProof/>
            <w:webHidden/>
            <w:cs w:val="0"/>
            <w:lang w:bidi="ar-SA"/>
          </w:rPr>
          <w:t>62</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59" w:history="1">
        <w:r w:rsidR="006B654A">
          <w:rPr>
            <w:rStyle w:val="Hyperlink"/>
            <w:noProof/>
            <w:cs w:val="0"/>
          </w:rPr>
          <w:t>۳-۵- روش تجزیه و تحلیل داده‌ها</w:t>
        </w:r>
        <w:r w:rsidR="006B654A">
          <w:rPr>
            <w:noProof/>
            <w:webHidden/>
            <w:cs w:val="0"/>
          </w:rPr>
          <w:tab/>
        </w:r>
        <w:r w:rsidR="006B654A">
          <w:rPr>
            <w:noProof/>
            <w:webHidden/>
            <w:rtl w:val="0"/>
          </w:rPr>
          <w:fldChar w:fldCharType="begin"/>
        </w:r>
        <w:r w:rsidR="006B654A">
          <w:rPr>
            <w:noProof/>
            <w:webHidden/>
            <w:rtl w:val="0"/>
            <w:cs w:val="0"/>
          </w:rPr>
          <w:instrText xml:space="preserve"> PAGEREF _Toc239015159 \h </w:instrText>
        </w:r>
        <w:r w:rsidR="006B654A">
          <w:rPr>
            <w:noProof/>
            <w:webHidden/>
            <w:rtl w:val="0"/>
          </w:rPr>
        </w:r>
        <w:r w:rsidR="006B654A">
          <w:rPr>
            <w:noProof/>
            <w:webHidden/>
            <w:rtl w:val="0"/>
          </w:rPr>
          <w:fldChar w:fldCharType="separate"/>
        </w:r>
        <w:r w:rsidR="005B67C1">
          <w:rPr>
            <w:noProof/>
            <w:webHidden/>
            <w:cs w:val="0"/>
            <w:lang w:bidi="ar-SA"/>
          </w:rPr>
          <w:t>62</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چهارم: تجز</w:t>
      </w:r>
      <w:r w:rsidRPr="004118A0">
        <w:rPr>
          <w:rFonts w:hint="cs"/>
          <w:b/>
          <w:bCs/>
          <w:cs w:val="0"/>
        </w:rPr>
        <w:t>ی</w:t>
      </w:r>
      <w:r w:rsidRPr="004118A0">
        <w:rPr>
          <w:rFonts w:hint="eastAsia"/>
          <w:b/>
          <w:bCs/>
          <w:cs w:val="0"/>
        </w:rPr>
        <w:t>ه</w:t>
      </w:r>
      <w:r w:rsidRPr="004118A0">
        <w:rPr>
          <w:b/>
          <w:bCs/>
          <w:cs w:val="0"/>
        </w:rPr>
        <w:t xml:space="preserve"> و تحل</w:t>
      </w:r>
      <w:r w:rsidRPr="004118A0">
        <w:rPr>
          <w:rFonts w:hint="cs"/>
          <w:b/>
          <w:bCs/>
          <w:cs w:val="0"/>
        </w:rPr>
        <w:t>ی</w:t>
      </w:r>
      <w:r w:rsidRPr="004118A0">
        <w:rPr>
          <w:rFonts w:hint="eastAsia"/>
          <w:b/>
          <w:bCs/>
          <w:cs w:val="0"/>
        </w:rPr>
        <w:t>ل</w:t>
      </w:r>
      <w:r w:rsidRPr="004118A0">
        <w:rPr>
          <w:b/>
          <w:bCs/>
          <w:cs w:val="0"/>
        </w:rPr>
        <w:t xml:space="preserve"> داده ها</w:t>
      </w:r>
    </w:p>
    <w:p w:rsidR="002D64E3" w:rsidRDefault="004A15EF">
      <w:pPr>
        <w:pStyle w:val="TableofFigures"/>
        <w:tabs>
          <w:tab w:val="clear" w:pos="8778"/>
          <w:tab w:val="right" w:leader="dot" w:pos="8788"/>
        </w:tabs>
        <w:spacing w:line="240" w:lineRule="auto"/>
        <w:rPr>
          <w:cs w:val="0"/>
        </w:rPr>
      </w:pPr>
      <w:hyperlink w:anchor="_Toc239015161" w:history="1">
        <w:r w:rsidR="006B654A">
          <w:rPr>
            <w:rStyle w:val="Hyperlink"/>
            <w:noProof/>
            <w:cs w:val="0"/>
          </w:rPr>
          <w:t>۴-۱- یافته‌های توصیفی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_Toc239015161 \h </w:instrText>
        </w:r>
        <w:r w:rsidR="006B654A">
          <w:rPr>
            <w:noProof/>
            <w:webHidden/>
            <w:rtl w:val="0"/>
          </w:rPr>
        </w:r>
        <w:r w:rsidR="006B654A">
          <w:rPr>
            <w:noProof/>
            <w:webHidden/>
            <w:rtl w:val="0"/>
          </w:rPr>
          <w:fldChar w:fldCharType="separate"/>
        </w:r>
        <w:r w:rsidR="005B67C1">
          <w:rPr>
            <w:noProof/>
            <w:webHidden/>
            <w:cs w:val="0"/>
            <w:lang w:bidi="ar-SA"/>
          </w:rPr>
          <w:t>64</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62" w:history="1">
        <w:r w:rsidR="006B654A">
          <w:rPr>
            <w:rStyle w:val="Hyperlink"/>
            <w:noProof/>
            <w:cs w:val="0"/>
          </w:rPr>
          <w:t>۴-۲- یافته‌های استنباطی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_Toc239015162 \h </w:instrText>
        </w:r>
        <w:r w:rsidR="006B654A">
          <w:rPr>
            <w:noProof/>
            <w:webHidden/>
            <w:rtl w:val="0"/>
          </w:rPr>
        </w:r>
        <w:r w:rsidR="006B654A">
          <w:rPr>
            <w:noProof/>
            <w:webHidden/>
            <w:rtl w:val="0"/>
          </w:rPr>
          <w:fldChar w:fldCharType="separate"/>
        </w:r>
        <w:r w:rsidR="005B67C1">
          <w:rPr>
            <w:noProof/>
            <w:webHidden/>
            <w:cs w:val="0"/>
            <w:lang w:bidi="ar-SA"/>
          </w:rPr>
          <w:t>66</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63" w:history="1">
        <w:r w:rsidR="006B654A">
          <w:rPr>
            <w:rStyle w:val="Hyperlink"/>
            <w:noProof/>
            <w:cs w:val="0"/>
          </w:rPr>
          <w:t>۴-۲-۱- بررسی فرضیه فرعی اول پژوهش: بین هوش معنوی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_Toc239015163 \h </w:instrText>
        </w:r>
        <w:r w:rsidR="006B654A">
          <w:rPr>
            <w:noProof/>
            <w:webHidden/>
            <w:rtl w:val="0"/>
          </w:rPr>
        </w:r>
        <w:r w:rsidR="006B654A">
          <w:rPr>
            <w:noProof/>
            <w:webHidden/>
            <w:rtl w:val="0"/>
          </w:rPr>
          <w:fldChar w:fldCharType="separate"/>
        </w:r>
        <w:r w:rsidR="005B67C1">
          <w:rPr>
            <w:noProof/>
            <w:webHidden/>
            <w:cs w:val="0"/>
            <w:lang w:bidi="ar-SA"/>
          </w:rPr>
          <w:t>66</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64" w:history="1">
        <w:r w:rsidR="006B654A">
          <w:rPr>
            <w:rStyle w:val="Hyperlink"/>
            <w:noProof/>
            <w:cs w:val="0"/>
          </w:rPr>
          <w:t>۴-۲-۲- بررسی فرضیه فرعی دوم پژوهش: بین اضطراب سلامتی و اضطراب مرگ در سالمندان رابطه وجود دارد.</w:t>
        </w:r>
        <w:r w:rsidR="006B654A">
          <w:rPr>
            <w:noProof/>
            <w:webHidden/>
            <w:cs w:val="0"/>
          </w:rPr>
          <w:tab/>
        </w:r>
        <w:r w:rsidR="006B654A">
          <w:rPr>
            <w:noProof/>
            <w:webHidden/>
            <w:rtl w:val="0"/>
          </w:rPr>
          <w:fldChar w:fldCharType="begin"/>
        </w:r>
        <w:r w:rsidR="006B654A">
          <w:rPr>
            <w:noProof/>
            <w:webHidden/>
            <w:rtl w:val="0"/>
            <w:cs w:val="0"/>
          </w:rPr>
          <w:instrText xml:space="preserve"> PAGEREF _Toc239015164 \h </w:instrText>
        </w:r>
        <w:r w:rsidR="006B654A">
          <w:rPr>
            <w:noProof/>
            <w:webHidden/>
            <w:rtl w:val="0"/>
          </w:rPr>
        </w:r>
        <w:r w:rsidR="006B654A">
          <w:rPr>
            <w:noProof/>
            <w:webHidden/>
            <w:rtl w:val="0"/>
          </w:rPr>
          <w:fldChar w:fldCharType="separate"/>
        </w:r>
        <w:r w:rsidR="005B67C1">
          <w:rPr>
            <w:noProof/>
            <w:webHidden/>
            <w:cs w:val="0"/>
            <w:lang w:bidi="ar-SA"/>
          </w:rPr>
          <w:t>67</w:t>
        </w:r>
        <w:r w:rsidR="006B654A">
          <w:rPr>
            <w:noProof/>
            <w:webHidden/>
            <w:rtl w:val="0"/>
          </w:rPr>
          <w:fldChar w:fldCharType="end"/>
        </w:r>
      </w:hyperlink>
    </w:p>
    <w:p w:rsidR="002D64E3" w:rsidRDefault="004A15EF" w:rsidP="00971726">
      <w:pPr>
        <w:pStyle w:val="TableofFigures"/>
        <w:tabs>
          <w:tab w:val="clear" w:pos="8778"/>
          <w:tab w:val="right" w:leader="dot" w:pos="8788"/>
        </w:tabs>
        <w:spacing w:line="240" w:lineRule="auto"/>
        <w:rPr>
          <w:cs w:val="0"/>
        </w:rPr>
      </w:pPr>
      <w:hyperlink w:anchor="_Toc239015165" w:history="1">
        <w:r w:rsidR="006B654A">
          <w:rPr>
            <w:rStyle w:val="Hyperlink"/>
            <w:noProof/>
            <w:cs w:val="0"/>
          </w:rPr>
          <w:t>۴-۲-۳- بررسی فرضیه اصلی پژوهش: بین هوش معنوی و اضطراب سلامتی با اضطراب مرگ در سالمندان</w:t>
        </w:r>
        <w:r w:rsidR="00971726">
          <w:rPr>
            <w:rStyle w:val="Hyperlink"/>
            <w:rFonts w:hint="cs"/>
            <w:noProof/>
            <w:cs w:val="0"/>
          </w:rPr>
          <w:t>(...)</w:t>
        </w:r>
        <w:r w:rsidR="006B654A">
          <w:rPr>
            <w:rStyle w:val="Hyperlink"/>
            <w:noProof/>
            <w:cs w:val="0"/>
          </w:rPr>
          <w:t>.</w:t>
        </w:r>
        <w:r w:rsidR="006B654A">
          <w:rPr>
            <w:noProof/>
            <w:webHidden/>
            <w:cs w:val="0"/>
          </w:rPr>
          <w:tab/>
        </w:r>
        <w:r w:rsidR="006B654A">
          <w:rPr>
            <w:noProof/>
            <w:webHidden/>
            <w:rtl w:val="0"/>
          </w:rPr>
          <w:fldChar w:fldCharType="begin"/>
        </w:r>
        <w:r w:rsidR="006B654A">
          <w:rPr>
            <w:noProof/>
            <w:webHidden/>
            <w:rtl w:val="0"/>
            <w:cs w:val="0"/>
          </w:rPr>
          <w:instrText xml:space="preserve"> PAGEREF _Toc239015165 \h </w:instrText>
        </w:r>
        <w:r w:rsidR="006B654A">
          <w:rPr>
            <w:noProof/>
            <w:webHidden/>
            <w:rtl w:val="0"/>
          </w:rPr>
        </w:r>
        <w:r w:rsidR="006B654A">
          <w:rPr>
            <w:noProof/>
            <w:webHidden/>
            <w:rtl w:val="0"/>
          </w:rPr>
          <w:fldChar w:fldCharType="separate"/>
        </w:r>
        <w:r w:rsidR="005B67C1">
          <w:rPr>
            <w:noProof/>
            <w:webHidden/>
            <w:cs w:val="0"/>
            <w:lang w:bidi="ar-SA"/>
          </w:rPr>
          <w:t>67</w:t>
        </w:r>
        <w:r w:rsidR="006B654A">
          <w:rPr>
            <w:noProof/>
            <w:webHidden/>
            <w:rtl w:val="0"/>
          </w:rPr>
          <w:fldChar w:fldCharType="end"/>
        </w:r>
      </w:hyperlink>
    </w:p>
    <w:p w:rsidR="004118A0" w:rsidRDefault="004118A0" w:rsidP="004118A0">
      <w:pPr>
        <w:spacing w:after="240" w:line="276" w:lineRule="auto"/>
        <w:jc w:val="center"/>
        <w:rPr>
          <w:b/>
          <w:bCs/>
          <w:cs w:val="0"/>
        </w:rPr>
      </w:pPr>
      <w:r w:rsidRPr="004118A0">
        <w:rPr>
          <w:b/>
          <w:bCs/>
          <w:cs w:val="0"/>
        </w:rPr>
        <w:t>فصل پنجم: بحث و نت</w:t>
      </w:r>
      <w:r w:rsidRPr="004118A0">
        <w:rPr>
          <w:rFonts w:hint="cs"/>
          <w:b/>
          <w:bCs/>
          <w:cs w:val="0"/>
        </w:rPr>
        <w:t>ی</w:t>
      </w:r>
      <w:r w:rsidRPr="004118A0">
        <w:rPr>
          <w:rFonts w:hint="eastAsia"/>
          <w:b/>
          <w:bCs/>
          <w:cs w:val="0"/>
        </w:rPr>
        <w:t>جه</w:t>
      </w:r>
      <w:r w:rsidRPr="004118A0">
        <w:rPr>
          <w:b/>
          <w:bCs/>
          <w:cs w:val="0"/>
        </w:rPr>
        <w:t xml:space="preserve"> گ</w:t>
      </w:r>
      <w:r w:rsidRPr="004118A0">
        <w:rPr>
          <w:rFonts w:hint="cs"/>
          <w:b/>
          <w:bCs/>
          <w:cs w:val="0"/>
        </w:rPr>
        <w:t>ی</w:t>
      </w:r>
      <w:r w:rsidRPr="004118A0">
        <w:rPr>
          <w:rFonts w:hint="eastAsia"/>
          <w:b/>
          <w:bCs/>
          <w:cs w:val="0"/>
        </w:rPr>
        <w:t>ر</w:t>
      </w:r>
      <w:r w:rsidRPr="004118A0">
        <w:rPr>
          <w:rFonts w:hint="cs"/>
          <w:b/>
          <w:bCs/>
          <w:cs w:val="0"/>
        </w:rPr>
        <w:t>ی</w:t>
      </w:r>
    </w:p>
    <w:p w:rsidR="002D64E3" w:rsidRDefault="004A15EF">
      <w:pPr>
        <w:pStyle w:val="TableofFigures"/>
        <w:tabs>
          <w:tab w:val="clear" w:pos="8778"/>
          <w:tab w:val="right" w:leader="dot" w:pos="8788"/>
        </w:tabs>
        <w:spacing w:line="240" w:lineRule="auto"/>
        <w:rPr>
          <w:cs w:val="0"/>
        </w:rPr>
      </w:pPr>
      <w:hyperlink w:anchor="_Toc239015167" w:history="1">
        <w:r w:rsidR="006B654A">
          <w:rPr>
            <w:rStyle w:val="Hyperlink"/>
            <w:noProof/>
            <w:cs w:val="0"/>
          </w:rPr>
          <w:t>۵-۱- بحث و نتیجه گیری</w:t>
        </w:r>
        <w:r w:rsidR="006B654A">
          <w:rPr>
            <w:noProof/>
            <w:webHidden/>
            <w:cs w:val="0"/>
          </w:rPr>
          <w:tab/>
        </w:r>
        <w:r w:rsidR="006B654A">
          <w:rPr>
            <w:noProof/>
            <w:webHidden/>
            <w:rtl w:val="0"/>
          </w:rPr>
          <w:fldChar w:fldCharType="begin"/>
        </w:r>
        <w:r w:rsidR="006B654A">
          <w:rPr>
            <w:noProof/>
            <w:webHidden/>
            <w:rtl w:val="0"/>
            <w:cs w:val="0"/>
          </w:rPr>
          <w:instrText xml:space="preserve"> PAGEREF _Toc239015167 \h </w:instrText>
        </w:r>
        <w:r w:rsidR="006B654A">
          <w:rPr>
            <w:noProof/>
            <w:webHidden/>
            <w:rtl w:val="0"/>
          </w:rPr>
        </w:r>
        <w:r w:rsidR="006B654A">
          <w:rPr>
            <w:noProof/>
            <w:webHidden/>
            <w:rtl w:val="0"/>
          </w:rPr>
          <w:fldChar w:fldCharType="separate"/>
        </w:r>
        <w:r w:rsidR="005B67C1">
          <w:rPr>
            <w:noProof/>
            <w:webHidden/>
            <w:cs w:val="0"/>
            <w:lang w:bidi="ar-SA"/>
          </w:rPr>
          <w:t>71</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68" w:history="1">
        <w:r w:rsidR="006B654A">
          <w:rPr>
            <w:rStyle w:val="Hyperlink"/>
            <w:noProof/>
            <w:cs w:val="0"/>
          </w:rPr>
          <w:t>۵-۲- محدودیت‌های تحقیق</w:t>
        </w:r>
        <w:r w:rsidR="006B654A">
          <w:rPr>
            <w:noProof/>
            <w:webHidden/>
            <w:cs w:val="0"/>
          </w:rPr>
          <w:tab/>
        </w:r>
        <w:r w:rsidR="006B654A">
          <w:rPr>
            <w:noProof/>
            <w:webHidden/>
            <w:rtl w:val="0"/>
          </w:rPr>
          <w:fldChar w:fldCharType="begin"/>
        </w:r>
        <w:r w:rsidR="006B654A">
          <w:rPr>
            <w:noProof/>
            <w:webHidden/>
            <w:rtl w:val="0"/>
            <w:cs w:val="0"/>
          </w:rPr>
          <w:instrText xml:space="preserve"> PAGEREF _Toc239015168 \h </w:instrText>
        </w:r>
        <w:r w:rsidR="006B654A">
          <w:rPr>
            <w:noProof/>
            <w:webHidden/>
            <w:rtl w:val="0"/>
          </w:rPr>
        </w:r>
        <w:r w:rsidR="006B654A">
          <w:rPr>
            <w:noProof/>
            <w:webHidden/>
            <w:rtl w:val="0"/>
          </w:rPr>
          <w:fldChar w:fldCharType="separate"/>
        </w:r>
        <w:r w:rsidR="005B67C1">
          <w:rPr>
            <w:noProof/>
            <w:webHidden/>
            <w:cs w:val="0"/>
            <w:lang w:bidi="ar-SA"/>
          </w:rPr>
          <w:t>74</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69" w:history="1">
        <w:r w:rsidR="006B654A">
          <w:rPr>
            <w:rStyle w:val="Hyperlink"/>
            <w:noProof/>
            <w:cs w:val="0"/>
          </w:rPr>
          <w:t>۵-۳- پیشنهادات</w:t>
        </w:r>
        <w:r w:rsidR="006B654A">
          <w:rPr>
            <w:noProof/>
            <w:webHidden/>
            <w:cs w:val="0"/>
          </w:rPr>
          <w:tab/>
        </w:r>
        <w:r w:rsidR="006B654A">
          <w:rPr>
            <w:noProof/>
            <w:webHidden/>
            <w:rtl w:val="0"/>
          </w:rPr>
          <w:fldChar w:fldCharType="begin"/>
        </w:r>
        <w:r w:rsidR="006B654A">
          <w:rPr>
            <w:noProof/>
            <w:webHidden/>
            <w:rtl w:val="0"/>
            <w:cs w:val="0"/>
          </w:rPr>
          <w:instrText xml:space="preserve"> PAGEREF _Toc239015169 \h </w:instrText>
        </w:r>
        <w:r w:rsidR="006B654A">
          <w:rPr>
            <w:noProof/>
            <w:webHidden/>
            <w:rtl w:val="0"/>
          </w:rPr>
        </w:r>
        <w:r w:rsidR="006B654A">
          <w:rPr>
            <w:noProof/>
            <w:webHidden/>
            <w:rtl w:val="0"/>
          </w:rPr>
          <w:fldChar w:fldCharType="separate"/>
        </w:r>
        <w:r w:rsidR="005B67C1">
          <w:rPr>
            <w:noProof/>
            <w:webHidden/>
            <w:cs w:val="0"/>
            <w:lang w:bidi="ar-SA"/>
          </w:rPr>
          <w:t>74</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70" w:history="1">
        <w:r w:rsidR="006B654A">
          <w:rPr>
            <w:rStyle w:val="Hyperlink"/>
            <w:noProof/>
            <w:cs w:val="0"/>
          </w:rPr>
          <w:t>۵-۳-۱- پیشنهادهای پژوهشی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_Toc239015170 \h </w:instrText>
        </w:r>
        <w:r w:rsidR="006B654A">
          <w:rPr>
            <w:noProof/>
            <w:webHidden/>
            <w:rtl w:val="0"/>
          </w:rPr>
        </w:r>
        <w:r w:rsidR="006B654A">
          <w:rPr>
            <w:noProof/>
            <w:webHidden/>
            <w:rtl w:val="0"/>
          </w:rPr>
          <w:fldChar w:fldCharType="separate"/>
        </w:r>
        <w:r w:rsidR="005B67C1">
          <w:rPr>
            <w:noProof/>
            <w:webHidden/>
            <w:cs w:val="0"/>
            <w:lang w:bidi="ar-SA"/>
          </w:rPr>
          <w:t>74</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71" w:history="1">
        <w:r w:rsidR="006B654A">
          <w:rPr>
            <w:rStyle w:val="Hyperlink"/>
            <w:noProof/>
            <w:cs w:val="0"/>
          </w:rPr>
          <w:t>۵-۳-۲- پیشنهادهای کاربردی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_Toc239015171 \h </w:instrText>
        </w:r>
        <w:r w:rsidR="006B654A">
          <w:rPr>
            <w:noProof/>
            <w:webHidden/>
            <w:rtl w:val="0"/>
          </w:rPr>
        </w:r>
        <w:r w:rsidR="006B654A">
          <w:rPr>
            <w:noProof/>
            <w:webHidden/>
            <w:rtl w:val="0"/>
          </w:rPr>
          <w:fldChar w:fldCharType="separate"/>
        </w:r>
        <w:r w:rsidR="005B67C1">
          <w:rPr>
            <w:noProof/>
            <w:webHidden/>
            <w:cs w:val="0"/>
            <w:lang w:bidi="ar-SA"/>
          </w:rPr>
          <w:t>74</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72" w:history="1">
        <w:r w:rsidR="006B654A">
          <w:rPr>
            <w:rStyle w:val="Hyperlink"/>
            <w:b/>
            <w:bCs/>
            <w:noProof/>
            <w:cs w:val="0"/>
          </w:rPr>
          <w:t>منابع فارسی</w:t>
        </w:r>
        <w:r w:rsidR="006B654A">
          <w:rPr>
            <w:noProof/>
            <w:webHidden/>
            <w:cs w:val="0"/>
          </w:rPr>
          <w:tab/>
        </w:r>
        <w:r w:rsidR="006B654A">
          <w:rPr>
            <w:noProof/>
            <w:webHidden/>
            <w:rtl w:val="0"/>
          </w:rPr>
          <w:fldChar w:fldCharType="begin"/>
        </w:r>
        <w:r w:rsidR="006B654A">
          <w:rPr>
            <w:noProof/>
            <w:webHidden/>
            <w:rtl w:val="0"/>
            <w:cs w:val="0"/>
          </w:rPr>
          <w:instrText xml:space="preserve"> PAGEREF _Toc239015172 \h </w:instrText>
        </w:r>
        <w:r w:rsidR="006B654A">
          <w:rPr>
            <w:noProof/>
            <w:webHidden/>
            <w:rtl w:val="0"/>
          </w:rPr>
        </w:r>
        <w:r w:rsidR="006B654A">
          <w:rPr>
            <w:noProof/>
            <w:webHidden/>
            <w:rtl w:val="0"/>
          </w:rPr>
          <w:fldChar w:fldCharType="separate"/>
        </w:r>
        <w:r w:rsidR="005B67C1">
          <w:rPr>
            <w:noProof/>
            <w:webHidden/>
            <w:cs w:val="0"/>
            <w:lang w:bidi="ar-SA"/>
          </w:rPr>
          <w:t>76</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73" w:history="1">
        <w:r w:rsidR="006B654A">
          <w:rPr>
            <w:rStyle w:val="Hyperlink"/>
            <w:b/>
            <w:bCs/>
            <w:noProof/>
            <w:cs w:val="0"/>
          </w:rPr>
          <w:t>منابع لاتین</w:t>
        </w:r>
        <w:r w:rsidR="006B654A">
          <w:rPr>
            <w:noProof/>
            <w:webHidden/>
            <w:cs w:val="0"/>
          </w:rPr>
          <w:tab/>
        </w:r>
        <w:r w:rsidR="006B654A">
          <w:rPr>
            <w:noProof/>
            <w:webHidden/>
            <w:rtl w:val="0"/>
          </w:rPr>
          <w:fldChar w:fldCharType="begin"/>
        </w:r>
        <w:r w:rsidR="006B654A">
          <w:rPr>
            <w:noProof/>
            <w:webHidden/>
            <w:rtl w:val="0"/>
            <w:cs w:val="0"/>
          </w:rPr>
          <w:instrText xml:space="preserve"> PAGEREF _Toc239015173 \h </w:instrText>
        </w:r>
        <w:r w:rsidR="006B654A">
          <w:rPr>
            <w:noProof/>
            <w:webHidden/>
            <w:rtl w:val="0"/>
          </w:rPr>
        </w:r>
        <w:r w:rsidR="006B654A">
          <w:rPr>
            <w:noProof/>
            <w:webHidden/>
            <w:rtl w:val="0"/>
          </w:rPr>
          <w:fldChar w:fldCharType="separate"/>
        </w:r>
        <w:r w:rsidR="005B67C1">
          <w:rPr>
            <w:noProof/>
            <w:webHidden/>
            <w:cs w:val="0"/>
            <w:lang w:bidi="ar-SA"/>
          </w:rPr>
          <w:t>78</w:t>
        </w:r>
        <w:r w:rsidR="006B654A">
          <w:rPr>
            <w:noProof/>
            <w:webHidden/>
            <w:rtl w:val="0"/>
          </w:rPr>
          <w:fldChar w:fldCharType="end"/>
        </w:r>
      </w:hyperlink>
    </w:p>
    <w:p w:rsidR="002D64E3" w:rsidRDefault="004A15EF">
      <w:pPr>
        <w:pStyle w:val="TableofFigures"/>
        <w:tabs>
          <w:tab w:val="clear" w:pos="8778"/>
          <w:tab w:val="right" w:leader="dot" w:pos="8788"/>
        </w:tabs>
        <w:spacing w:line="240" w:lineRule="auto"/>
        <w:rPr>
          <w:cs w:val="0"/>
        </w:rPr>
      </w:pPr>
      <w:hyperlink w:anchor="_Toc239015174" w:history="1">
        <w:r w:rsidR="006B654A">
          <w:rPr>
            <w:rStyle w:val="Hyperlink"/>
            <w:b/>
            <w:bCs/>
            <w:noProof/>
            <w:rtl w:val="0"/>
            <w:cs w:val="0"/>
          </w:rPr>
          <w:t>ABSTRACT</w:t>
        </w:r>
        <w:r w:rsidR="006B654A">
          <w:rPr>
            <w:noProof/>
            <w:webHidden/>
            <w:cs w:val="0"/>
          </w:rPr>
          <w:tab/>
        </w:r>
        <w:r w:rsidR="006B654A">
          <w:rPr>
            <w:noProof/>
            <w:webHidden/>
            <w:rtl w:val="0"/>
          </w:rPr>
          <w:fldChar w:fldCharType="begin"/>
        </w:r>
        <w:r w:rsidR="006B654A">
          <w:rPr>
            <w:noProof/>
            <w:webHidden/>
            <w:rtl w:val="0"/>
            <w:cs w:val="0"/>
          </w:rPr>
          <w:instrText xml:space="preserve"> PAGEREF _Toc239015174 \h </w:instrText>
        </w:r>
        <w:r w:rsidR="006B654A">
          <w:rPr>
            <w:noProof/>
            <w:webHidden/>
            <w:rtl w:val="0"/>
          </w:rPr>
        </w:r>
        <w:r w:rsidR="006B654A">
          <w:rPr>
            <w:noProof/>
            <w:webHidden/>
            <w:rtl w:val="0"/>
          </w:rPr>
          <w:fldChar w:fldCharType="separate"/>
        </w:r>
        <w:r w:rsidR="005B67C1">
          <w:rPr>
            <w:noProof/>
            <w:webHidden/>
            <w:cs w:val="0"/>
            <w:lang w:bidi="ar-SA"/>
          </w:rPr>
          <w:t>84</w:t>
        </w:r>
        <w:r w:rsidR="006B654A">
          <w:rPr>
            <w:noProof/>
            <w:webHidden/>
            <w:rtl w:val="0"/>
          </w:rPr>
          <w:fldChar w:fldCharType="end"/>
        </w:r>
      </w:hyperlink>
    </w:p>
    <w:p w:rsidR="009D4143" w:rsidRDefault="009D4143" w:rsidP="009D4143">
      <w:pPr>
        <w:pStyle w:val="Heading1"/>
        <w:keepLines/>
        <w:spacing w:after="80" w:line="276" w:lineRule="auto"/>
        <w:rPr>
          <w:cs w:val="0"/>
        </w:rPr>
      </w:pPr>
      <w:bookmarkStart w:id="0" w:name="_Toc239431966"/>
    </w:p>
    <w:p w:rsidR="006B654A" w:rsidRDefault="006B654A" w:rsidP="00D419F3">
      <w:pPr>
        <w:pStyle w:val="Heading1"/>
        <w:keepLines/>
        <w:spacing w:after="80" w:line="276" w:lineRule="auto"/>
        <w:jc w:val="center"/>
        <w:rPr>
          <w:cs w:val="0"/>
        </w:rPr>
      </w:pPr>
      <w:r w:rsidRPr="00323012">
        <w:rPr>
          <w:cs w:val="0"/>
        </w:rPr>
        <w:t>فهرست جداول</w:t>
      </w:r>
      <w:bookmarkEnd w:id="0"/>
    </w:p>
    <w:p w:rsidR="00D419F3" w:rsidRDefault="006B654A" w:rsidP="003960F0">
      <w:pPr>
        <w:pStyle w:val="TableofFigures"/>
        <w:spacing w:line="240" w:lineRule="auto"/>
        <w:rPr>
          <w:rFonts w:asciiTheme="minorHAnsi" w:eastAsiaTheme="minorEastAsia" w:hAnsiTheme="minorHAnsi" w:cstheme="minorBidi"/>
          <w:noProof/>
          <w:color w:val="auto"/>
          <w:sz w:val="22"/>
          <w:szCs w:val="22"/>
          <w:cs w:val="0"/>
          <w:lang w:bidi="ar-SA"/>
        </w:rPr>
      </w:pPr>
      <w:r>
        <w:fldChar w:fldCharType="begin"/>
      </w:r>
      <w:r>
        <w:rPr>
          <w:cs w:val="0"/>
        </w:rPr>
        <w:instrText xml:space="preserve"> TOC \h \z \c "جدول" </w:instrText>
      </w:r>
      <w:r>
        <w:fldChar w:fldCharType="separate"/>
      </w:r>
      <w:hyperlink w:anchor="_Toc239451794" w:history="1">
        <w:r w:rsidR="00D419F3" w:rsidRPr="00D024E4">
          <w:rPr>
            <w:rStyle w:val="Hyperlink"/>
            <w:noProof/>
            <w:cs w:val="0"/>
          </w:rPr>
          <w:t>جدول ۴-1-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جنس</w:t>
        </w:r>
        <w:r w:rsidR="00D419F3" w:rsidRPr="00D024E4">
          <w:rPr>
            <w:rStyle w:val="Hyperlink"/>
            <w:rFonts w:hint="cs"/>
            <w:noProof/>
            <w:cs w:val="0"/>
          </w:rPr>
          <w:t>ی</w:t>
        </w:r>
        <w:r w:rsidR="00D419F3" w:rsidRPr="00D024E4">
          <w:rPr>
            <w:rStyle w:val="Hyperlink"/>
            <w:rFonts w:hint="eastAsia"/>
            <w:noProof/>
            <w:cs w:val="0"/>
          </w:rPr>
          <w:t>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_Toc239451794 \h </w:instrText>
        </w:r>
        <w:r w:rsidR="00D419F3">
          <w:rPr>
            <w:noProof/>
            <w:webHidden/>
            <w:rtl w:val="0"/>
          </w:rPr>
        </w:r>
        <w:r w:rsidR="00D419F3">
          <w:rPr>
            <w:noProof/>
            <w:webHidden/>
            <w:rtl w:val="0"/>
          </w:rPr>
          <w:fldChar w:fldCharType="separate"/>
        </w:r>
        <w:r w:rsidR="005B67C1">
          <w:rPr>
            <w:noProof/>
            <w:webHidden/>
            <w:cs w:val="0"/>
            <w:lang w:bidi="ar-SA"/>
          </w:rPr>
          <w:t>64</w:t>
        </w:r>
        <w:r w:rsidR="00D419F3">
          <w:rPr>
            <w:noProof/>
            <w:webHidden/>
            <w:rtl w:val="0"/>
          </w:rPr>
          <w:fldChar w:fldCharType="end"/>
        </w:r>
      </w:hyperlink>
    </w:p>
    <w:p w:rsidR="00D419F3" w:rsidRDefault="004A15EF"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5" w:history="1">
        <w:r w:rsidR="00D419F3" w:rsidRPr="00D024E4">
          <w:rPr>
            <w:rStyle w:val="Hyperlink"/>
            <w:noProof/>
            <w:cs w:val="0"/>
          </w:rPr>
          <w:t>جدول ۴-2-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وضع</w:t>
        </w:r>
        <w:r w:rsidR="00D419F3" w:rsidRPr="00D024E4">
          <w:rPr>
            <w:rStyle w:val="Hyperlink"/>
            <w:rFonts w:hint="cs"/>
            <w:noProof/>
            <w:cs w:val="0"/>
          </w:rPr>
          <w:t>ی</w:t>
        </w:r>
        <w:r w:rsidR="00D419F3" w:rsidRPr="00D024E4">
          <w:rPr>
            <w:rStyle w:val="Hyperlink"/>
            <w:rFonts w:hint="eastAsia"/>
            <w:noProof/>
            <w:cs w:val="0"/>
          </w:rPr>
          <w:t>ت</w:t>
        </w:r>
        <w:r w:rsidR="00D419F3" w:rsidRPr="00D024E4">
          <w:rPr>
            <w:rStyle w:val="Hyperlink"/>
            <w:noProof/>
            <w:cs w:val="0"/>
          </w:rPr>
          <w:t xml:space="preserve"> تأهل</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_Toc239451795 \h </w:instrText>
        </w:r>
        <w:r w:rsidR="00D419F3">
          <w:rPr>
            <w:noProof/>
            <w:webHidden/>
            <w:rtl w:val="0"/>
          </w:rPr>
        </w:r>
        <w:r w:rsidR="00D419F3">
          <w:rPr>
            <w:noProof/>
            <w:webHidden/>
            <w:rtl w:val="0"/>
          </w:rPr>
          <w:fldChar w:fldCharType="separate"/>
        </w:r>
        <w:r w:rsidR="005B67C1">
          <w:rPr>
            <w:noProof/>
            <w:webHidden/>
            <w:cs w:val="0"/>
            <w:lang w:bidi="ar-SA"/>
          </w:rPr>
          <w:t>64</w:t>
        </w:r>
        <w:r w:rsidR="00D419F3">
          <w:rPr>
            <w:noProof/>
            <w:webHidden/>
            <w:rtl w:val="0"/>
          </w:rPr>
          <w:fldChar w:fldCharType="end"/>
        </w:r>
      </w:hyperlink>
    </w:p>
    <w:p w:rsidR="00D419F3" w:rsidRDefault="004A15EF"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6" w:history="1">
        <w:r w:rsidR="00D419F3" w:rsidRPr="00D024E4">
          <w:rPr>
            <w:rStyle w:val="Hyperlink"/>
            <w:noProof/>
            <w:cs w:val="0"/>
          </w:rPr>
          <w:t>جدول ۴-3- فراوان</w:t>
        </w:r>
        <w:r w:rsidR="00D419F3" w:rsidRPr="00D024E4">
          <w:rPr>
            <w:rStyle w:val="Hyperlink"/>
            <w:rFonts w:hint="cs"/>
            <w:noProof/>
            <w:cs w:val="0"/>
          </w:rPr>
          <w:t>ی</w:t>
        </w:r>
        <w:r w:rsidR="00D419F3" w:rsidRPr="00D024E4">
          <w:rPr>
            <w:rStyle w:val="Hyperlink"/>
            <w:noProof/>
            <w:cs w:val="0"/>
          </w:rPr>
          <w:t xml:space="preserve"> و درصد شرکت کنندگان براساس م</w:t>
        </w:r>
        <w:r w:rsidR="00D419F3" w:rsidRPr="00D024E4">
          <w:rPr>
            <w:rStyle w:val="Hyperlink"/>
            <w:rFonts w:hint="cs"/>
            <w:noProof/>
            <w:cs w:val="0"/>
          </w:rPr>
          <w:t>ی</w:t>
        </w:r>
        <w:r w:rsidR="00D419F3" w:rsidRPr="00D024E4">
          <w:rPr>
            <w:rStyle w:val="Hyperlink"/>
            <w:rFonts w:hint="eastAsia"/>
            <w:noProof/>
            <w:cs w:val="0"/>
          </w:rPr>
          <w:t>زان</w:t>
        </w:r>
        <w:r w:rsidR="00D419F3" w:rsidRPr="00D024E4">
          <w:rPr>
            <w:rStyle w:val="Hyperlink"/>
            <w:noProof/>
            <w:cs w:val="0"/>
          </w:rPr>
          <w:t xml:space="preserve"> تحص</w:t>
        </w:r>
        <w:r w:rsidR="00D419F3" w:rsidRPr="00D024E4">
          <w:rPr>
            <w:rStyle w:val="Hyperlink"/>
            <w:rFonts w:hint="cs"/>
            <w:noProof/>
            <w:cs w:val="0"/>
          </w:rPr>
          <w:t>ی</w:t>
        </w:r>
        <w:r w:rsidR="00D419F3" w:rsidRPr="00D024E4">
          <w:rPr>
            <w:rStyle w:val="Hyperlink"/>
            <w:rFonts w:hint="eastAsia"/>
            <w:noProof/>
            <w:cs w:val="0"/>
          </w:rPr>
          <w:t>لات</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_Toc239451796 \h </w:instrText>
        </w:r>
        <w:r w:rsidR="00D419F3">
          <w:rPr>
            <w:noProof/>
            <w:webHidden/>
            <w:rtl w:val="0"/>
          </w:rPr>
        </w:r>
        <w:r w:rsidR="00D419F3">
          <w:rPr>
            <w:noProof/>
            <w:webHidden/>
            <w:rtl w:val="0"/>
          </w:rPr>
          <w:fldChar w:fldCharType="separate"/>
        </w:r>
        <w:r w:rsidR="005B67C1">
          <w:rPr>
            <w:noProof/>
            <w:webHidden/>
            <w:cs w:val="0"/>
            <w:lang w:bidi="ar-SA"/>
          </w:rPr>
          <w:t>64</w:t>
        </w:r>
        <w:r w:rsidR="00D419F3">
          <w:rPr>
            <w:noProof/>
            <w:webHidden/>
            <w:rtl w:val="0"/>
          </w:rPr>
          <w:fldChar w:fldCharType="end"/>
        </w:r>
      </w:hyperlink>
    </w:p>
    <w:p w:rsidR="00D419F3" w:rsidRDefault="004A15EF"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7" w:history="1">
        <w:r w:rsidR="00D419F3" w:rsidRPr="00D024E4">
          <w:rPr>
            <w:rStyle w:val="Hyperlink"/>
            <w:noProof/>
            <w:cs w:val="0"/>
          </w:rPr>
          <w:t>جدول ۴-4-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مربوط به سن شرکت کنندگان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_Toc239451797 \h </w:instrText>
        </w:r>
        <w:r w:rsidR="00D419F3">
          <w:rPr>
            <w:noProof/>
            <w:webHidden/>
            <w:rtl w:val="0"/>
          </w:rPr>
        </w:r>
        <w:r w:rsidR="00D419F3">
          <w:rPr>
            <w:noProof/>
            <w:webHidden/>
            <w:rtl w:val="0"/>
          </w:rPr>
          <w:fldChar w:fldCharType="separate"/>
        </w:r>
        <w:r w:rsidR="005B67C1">
          <w:rPr>
            <w:noProof/>
            <w:webHidden/>
            <w:cs w:val="0"/>
            <w:lang w:bidi="ar-SA"/>
          </w:rPr>
          <w:t>65</w:t>
        </w:r>
        <w:r w:rsidR="00D419F3">
          <w:rPr>
            <w:noProof/>
            <w:webHidden/>
            <w:rtl w:val="0"/>
          </w:rPr>
          <w:fldChar w:fldCharType="end"/>
        </w:r>
      </w:hyperlink>
    </w:p>
    <w:p w:rsidR="00D419F3" w:rsidRDefault="004A15EF"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8" w:history="1">
        <w:r w:rsidR="00D419F3" w:rsidRPr="00D024E4">
          <w:rPr>
            <w:rStyle w:val="Hyperlink"/>
            <w:noProof/>
            <w:cs w:val="0"/>
          </w:rPr>
          <w:t>جدول ۴-5- شاخص‌ها</w:t>
        </w:r>
        <w:r w:rsidR="00D419F3" w:rsidRPr="00D024E4">
          <w:rPr>
            <w:rStyle w:val="Hyperlink"/>
            <w:rFonts w:hint="cs"/>
            <w:noProof/>
            <w:cs w:val="0"/>
          </w:rPr>
          <w:t>ی</w:t>
        </w:r>
        <w:r w:rsidR="00D419F3" w:rsidRPr="00D024E4">
          <w:rPr>
            <w:rStyle w:val="Hyperlink"/>
            <w:noProof/>
            <w:cs w:val="0"/>
          </w:rPr>
          <w:t xml:space="preserve"> توص</w:t>
        </w:r>
        <w:r w:rsidR="00D419F3" w:rsidRPr="00D024E4">
          <w:rPr>
            <w:rStyle w:val="Hyperlink"/>
            <w:rFonts w:hint="cs"/>
            <w:noProof/>
            <w:cs w:val="0"/>
          </w:rPr>
          <w:t>ی</w:t>
        </w:r>
        <w:r w:rsidR="00D419F3" w:rsidRPr="00D024E4">
          <w:rPr>
            <w:rStyle w:val="Hyperlink"/>
            <w:rFonts w:hint="eastAsia"/>
            <w:noProof/>
            <w:cs w:val="0"/>
          </w:rPr>
          <w:t>ف</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پژوهش</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_Toc239451798 \h </w:instrText>
        </w:r>
        <w:r w:rsidR="00D419F3">
          <w:rPr>
            <w:noProof/>
            <w:webHidden/>
            <w:rtl w:val="0"/>
          </w:rPr>
        </w:r>
        <w:r w:rsidR="00D419F3">
          <w:rPr>
            <w:noProof/>
            <w:webHidden/>
            <w:rtl w:val="0"/>
          </w:rPr>
          <w:fldChar w:fldCharType="separate"/>
        </w:r>
        <w:r w:rsidR="005B67C1">
          <w:rPr>
            <w:noProof/>
            <w:webHidden/>
            <w:cs w:val="0"/>
            <w:lang w:bidi="ar-SA"/>
          </w:rPr>
          <w:t>65</w:t>
        </w:r>
        <w:r w:rsidR="00D419F3">
          <w:rPr>
            <w:noProof/>
            <w:webHidden/>
            <w:rtl w:val="0"/>
          </w:rPr>
          <w:fldChar w:fldCharType="end"/>
        </w:r>
      </w:hyperlink>
    </w:p>
    <w:p w:rsidR="00D419F3" w:rsidRDefault="004A15EF"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799" w:history="1">
        <w:r w:rsidR="00D419F3" w:rsidRPr="00D024E4">
          <w:rPr>
            <w:rStyle w:val="Hyperlink"/>
            <w:noProof/>
            <w:cs w:val="0"/>
          </w:rPr>
          <w:t>جدول ۴-6-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هوش معنو</w:t>
        </w:r>
        <w:r w:rsidR="00D419F3" w:rsidRPr="00D024E4">
          <w:rPr>
            <w:rStyle w:val="Hyperlink"/>
            <w:rFonts w:hint="cs"/>
            <w:noProof/>
            <w:cs w:val="0"/>
          </w:rPr>
          <w:t>ی</w:t>
        </w:r>
        <w:r w:rsidR="00D419F3" w:rsidRPr="00D024E4">
          <w:rPr>
            <w:rStyle w:val="Hyperlink"/>
            <w:noProof/>
            <w:cs w:val="0"/>
          </w:rPr>
          <w:t xml:space="preserve">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_Toc239451799 \h </w:instrText>
        </w:r>
        <w:r w:rsidR="00D419F3">
          <w:rPr>
            <w:noProof/>
            <w:webHidden/>
            <w:rtl w:val="0"/>
          </w:rPr>
        </w:r>
        <w:r w:rsidR="00D419F3">
          <w:rPr>
            <w:noProof/>
            <w:webHidden/>
            <w:rtl w:val="0"/>
          </w:rPr>
          <w:fldChar w:fldCharType="separate"/>
        </w:r>
        <w:r w:rsidR="005B67C1">
          <w:rPr>
            <w:noProof/>
            <w:webHidden/>
            <w:cs w:val="0"/>
            <w:lang w:bidi="ar-SA"/>
          </w:rPr>
          <w:t>66</w:t>
        </w:r>
        <w:r w:rsidR="00D419F3">
          <w:rPr>
            <w:noProof/>
            <w:webHidden/>
            <w:rtl w:val="0"/>
          </w:rPr>
          <w:fldChar w:fldCharType="end"/>
        </w:r>
      </w:hyperlink>
    </w:p>
    <w:p w:rsidR="00D419F3" w:rsidRDefault="004A15EF"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0" w:history="1">
        <w:r w:rsidR="00D419F3" w:rsidRPr="00D024E4">
          <w:rPr>
            <w:rStyle w:val="Hyperlink"/>
            <w:noProof/>
            <w:cs w:val="0"/>
          </w:rPr>
          <w:t>جدول ۴-7-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همبستگ</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رسون</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sidRPr="00D024E4">
          <w:rPr>
            <w:rStyle w:val="Hyperlink"/>
            <w:noProof/>
            <w:cs w:val="0"/>
          </w:rPr>
          <w:t xml:space="preserve"> اضطراب سلامت</w:t>
        </w:r>
        <w:r w:rsidR="00D419F3" w:rsidRPr="00D024E4">
          <w:rPr>
            <w:rStyle w:val="Hyperlink"/>
            <w:rFonts w:hint="cs"/>
            <w:noProof/>
            <w:cs w:val="0"/>
          </w:rPr>
          <w:t>ی</w:t>
        </w:r>
        <w:r w:rsidR="00D419F3" w:rsidRPr="00D024E4">
          <w:rPr>
            <w:rStyle w:val="Hyperlink"/>
            <w:noProof/>
            <w:cs w:val="0"/>
          </w:rPr>
          <w:t xml:space="preserve"> و اضطراب مرگ سالمندان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_Toc239451800 \h </w:instrText>
        </w:r>
        <w:r w:rsidR="00D419F3">
          <w:rPr>
            <w:noProof/>
            <w:webHidden/>
            <w:rtl w:val="0"/>
          </w:rPr>
        </w:r>
        <w:r w:rsidR="00D419F3">
          <w:rPr>
            <w:noProof/>
            <w:webHidden/>
            <w:rtl w:val="0"/>
          </w:rPr>
          <w:fldChar w:fldCharType="separate"/>
        </w:r>
        <w:r w:rsidR="005B67C1">
          <w:rPr>
            <w:noProof/>
            <w:webHidden/>
            <w:cs w:val="0"/>
            <w:lang w:bidi="ar-SA"/>
          </w:rPr>
          <w:t>67</w:t>
        </w:r>
        <w:r w:rsidR="00D419F3">
          <w:rPr>
            <w:noProof/>
            <w:webHidden/>
            <w:rtl w:val="0"/>
          </w:rPr>
          <w:fldChar w:fldCharType="end"/>
        </w:r>
      </w:hyperlink>
    </w:p>
    <w:p w:rsidR="00D419F3" w:rsidRDefault="004A15EF"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1" w:history="1">
        <w:r w:rsidR="00D419F3" w:rsidRPr="00D024E4">
          <w:rPr>
            <w:rStyle w:val="Hyperlink"/>
            <w:noProof/>
            <w:cs w:val="0"/>
          </w:rPr>
          <w:t>جدول ۴-8- خلاصه مدل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و مشخصه ها</w:t>
        </w:r>
        <w:r w:rsidR="00D419F3" w:rsidRPr="00D024E4">
          <w:rPr>
            <w:rStyle w:val="Hyperlink"/>
            <w:rFonts w:hint="cs"/>
            <w:noProof/>
            <w:cs w:val="0"/>
          </w:rPr>
          <w:t>ی</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اضطراب مرگ بر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_Toc239451801 \h </w:instrText>
        </w:r>
        <w:r w:rsidR="00D419F3">
          <w:rPr>
            <w:noProof/>
            <w:webHidden/>
            <w:rtl w:val="0"/>
          </w:rPr>
        </w:r>
        <w:r w:rsidR="00D419F3">
          <w:rPr>
            <w:noProof/>
            <w:webHidden/>
            <w:rtl w:val="0"/>
          </w:rPr>
          <w:fldChar w:fldCharType="separate"/>
        </w:r>
        <w:r w:rsidR="005B67C1">
          <w:rPr>
            <w:noProof/>
            <w:webHidden/>
            <w:cs w:val="0"/>
            <w:lang w:bidi="ar-SA"/>
          </w:rPr>
          <w:t>68</w:t>
        </w:r>
        <w:r w:rsidR="00D419F3">
          <w:rPr>
            <w:noProof/>
            <w:webHidden/>
            <w:rtl w:val="0"/>
          </w:rPr>
          <w:fldChar w:fldCharType="end"/>
        </w:r>
      </w:hyperlink>
    </w:p>
    <w:p w:rsidR="00D419F3" w:rsidRDefault="004A15EF" w:rsidP="003960F0">
      <w:pPr>
        <w:pStyle w:val="TableofFigures"/>
        <w:spacing w:line="240" w:lineRule="auto"/>
        <w:rPr>
          <w:rFonts w:asciiTheme="minorHAnsi" w:eastAsiaTheme="minorEastAsia" w:hAnsiTheme="minorHAnsi" w:cstheme="minorBidi"/>
          <w:noProof/>
          <w:color w:val="auto"/>
          <w:sz w:val="22"/>
          <w:szCs w:val="22"/>
          <w:cs w:val="0"/>
          <w:lang w:bidi="ar-SA"/>
        </w:rPr>
      </w:pPr>
      <w:hyperlink w:anchor="_Toc239451802" w:history="1">
        <w:r w:rsidR="00D419F3" w:rsidRPr="00D024E4">
          <w:rPr>
            <w:rStyle w:val="Hyperlink"/>
            <w:noProof/>
            <w:cs w:val="0"/>
          </w:rPr>
          <w:t>جدول ۴-9- ضرا</w:t>
        </w:r>
        <w:r w:rsidR="00D419F3" w:rsidRPr="00D024E4">
          <w:rPr>
            <w:rStyle w:val="Hyperlink"/>
            <w:rFonts w:hint="cs"/>
            <w:noProof/>
            <w:cs w:val="0"/>
          </w:rPr>
          <w:t>ی</w:t>
        </w:r>
        <w:r w:rsidR="00D419F3" w:rsidRPr="00D024E4">
          <w:rPr>
            <w:rStyle w:val="Hyperlink"/>
            <w:rFonts w:hint="eastAsia"/>
            <w:noProof/>
            <w:cs w:val="0"/>
          </w:rPr>
          <w:t>ب</w:t>
        </w:r>
        <w:r w:rsidR="00D419F3" w:rsidRPr="00D024E4">
          <w:rPr>
            <w:rStyle w:val="Hyperlink"/>
            <w:noProof/>
            <w:cs w:val="0"/>
          </w:rPr>
          <w:t xml:space="preserve"> رگرس</w:t>
        </w:r>
        <w:r w:rsidR="00D419F3" w:rsidRPr="00D024E4">
          <w:rPr>
            <w:rStyle w:val="Hyperlink"/>
            <w:rFonts w:hint="cs"/>
            <w:noProof/>
            <w:cs w:val="0"/>
          </w:rPr>
          <w:t>ی</w:t>
        </w:r>
        <w:r w:rsidR="00D419F3" w:rsidRPr="00D024E4">
          <w:rPr>
            <w:rStyle w:val="Hyperlink"/>
            <w:rFonts w:hint="eastAsia"/>
            <w:noProof/>
            <w:cs w:val="0"/>
          </w:rPr>
          <w:t>ون</w:t>
        </w:r>
        <w:r w:rsidR="00D419F3" w:rsidRPr="00D024E4">
          <w:rPr>
            <w:rStyle w:val="Hyperlink"/>
            <w:noProof/>
            <w:cs w:val="0"/>
          </w:rPr>
          <w:t xml:space="preserve"> گام به گام اضطراب مرگ بر رو</w:t>
        </w:r>
        <w:r w:rsidR="00D419F3" w:rsidRPr="00D024E4">
          <w:rPr>
            <w:rStyle w:val="Hyperlink"/>
            <w:rFonts w:hint="cs"/>
            <w:noProof/>
            <w:cs w:val="0"/>
          </w:rPr>
          <w:t>ی</w:t>
        </w:r>
        <w:r w:rsidR="00D419F3" w:rsidRPr="00D024E4">
          <w:rPr>
            <w:rStyle w:val="Hyperlink"/>
            <w:noProof/>
            <w:cs w:val="0"/>
          </w:rPr>
          <w:t xml:space="preserve"> متغ</w:t>
        </w:r>
        <w:r w:rsidR="00D419F3" w:rsidRPr="00D024E4">
          <w:rPr>
            <w:rStyle w:val="Hyperlink"/>
            <w:rFonts w:hint="cs"/>
            <w:noProof/>
            <w:cs w:val="0"/>
          </w:rPr>
          <w:t>ی</w:t>
        </w:r>
        <w:r w:rsidR="00D419F3" w:rsidRPr="00D024E4">
          <w:rPr>
            <w:rStyle w:val="Hyperlink"/>
            <w:rFonts w:hint="eastAsia"/>
            <w:noProof/>
            <w:cs w:val="0"/>
          </w:rPr>
          <w:t>رها</w:t>
        </w:r>
        <w:r w:rsidR="00D419F3" w:rsidRPr="00D024E4">
          <w:rPr>
            <w:rStyle w:val="Hyperlink"/>
            <w:rFonts w:hint="cs"/>
            <w:noProof/>
            <w:cs w:val="0"/>
          </w:rPr>
          <w:t>ی</w:t>
        </w:r>
        <w:r w:rsidR="00D419F3" w:rsidRPr="00D024E4">
          <w:rPr>
            <w:rStyle w:val="Hyperlink"/>
            <w:noProof/>
            <w:cs w:val="0"/>
          </w:rPr>
          <w:t xml:space="preserve"> پ</w:t>
        </w:r>
        <w:r w:rsidR="00D419F3" w:rsidRPr="00D024E4">
          <w:rPr>
            <w:rStyle w:val="Hyperlink"/>
            <w:rFonts w:hint="cs"/>
            <w:noProof/>
            <w:cs w:val="0"/>
          </w:rPr>
          <w:t>ی</w:t>
        </w:r>
        <w:r w:rsidR="00D419F3" w:rsidRPr="00D024E4">
          <w:rPr>
            <w:rStyle w:val="Hyperlink"/>
            <w:rFonts w:hint="eastAsia"/>
            <w:noProof/>
            <w:cs w:val="0"/>
          </w:rPr>
          <w:t>ش</w:t>
        </w:r>
        <w:r w:rsidR="00D419F3" w:rsidRPr="00D024E4">
          <w:rPr>
            <w:rStyle w:val="Hyperlink"/>
            <w:noProof/>
            <w:cs w:val="0"/>
          </w:rPr>
          <w:t xml:space="preserve"> ب</w:t>
        </w:r>
        <w:r w:rsidR="00D419F3" w:rsidRPr="00D024E4">
          <w:rPr>
            <w:rStyle w:val="Hyperlink"/>
            <w:rFonts w:hint="cs"/>
            <w:noProof/>
            <w:cs w:val="0"/>
          </w:rPr>
          <w:t>ی</w:t>
        </w:r>
        <w:r w:rsidR="00D419F3" w:rsidRPr="00D024E4">
          <w:rPr>
            <w:rStyle w:val="Hyperlink"/>
            <w:rFonts w:hint="eastAsia"/>
            <w:noProof/>
            <w:cs w:val="0"/>
          </w:rPr>
          <w:t>ن</w:t>
        </w:r>
        <w:r w:rsidR="00D419F3">
          <w:rPr>
            <w:noProof/>
            <w:webHidden/>
            <w:rtl w:val="0"/>
            <w:cs w:val="0"/>
          </w:rPr>
          <w:tab/>
        </w:r>
        <w:r w:rsidR="00D419F3">
          <w:rPr>
            <w:noProof/>
            <w:webHidden/>
            <w:rtl w:val="0"/>
          </w:rPr>
          <w:fldChar w:fldCharType="begin"/>
        </w:r>
        <w:r w:rsidR="00D419F3">
          <w:rPr>
            <w:noProof/>
            <w:webHidden/>
            <w:rtl w:val="0"/>
            <w:cs w:val="0"/>
          </w:rPr>
          <w:instrText xml:space="preserve"> PAGEREF _Toc239451802 \h </w:instrText>
        </w:r>
        <w:r w:rsidR="00D419F3">
          <w:rPr>
            <w:noProof/>
            <w:webHidden/>
            <w:rtl w:val="0"/>
          </w:rPr>
        </w:r>
        <w:r w:rsidR="00D419F3">
          <w:rPr>
            <w:noProof/>
            <w:webHidden/>
            <w:rtl w:val="0"/>
          </w:rPr>
          <w:fldChar w:fldCharType="separate"/>
        </w:r>
        <w:r w:rsidR="005B67C1">
          <w:rPr>
            <w:noProof/>
            <w:webHidden/>
            <w:cs w:val="0"/>
            <w:lang w:bidi="ar-SA"/>
          </w:rPr>
          <w:t>69</w:t>
        </w:r>
        <w:r w:rsidR="00D419F3">
          <w:rPr>
            <w:noProof/>
            <w:webHidden/>
            <w:rtl w:val="0"/>
          </w:rPr>
          <w:fldChar w:fldCharType="end"/>
        </w:r>
      </w:hyperlink>
    </w:p>
    <w:p w:rsidR="006B654A" w:rsidRDefault="006B654A" w:rsidP="004118A0">
      <w:pPr>
        <w:pStyle w:val="TableofFigures"/>
        <w:spacing w:line="240" w:lineRule="auto"/>
        <w:rPr>
          <w:rFonts w:asciiTheme="minorHAnsi" w:eastAsiaTheme="minorEastAsia" w:hAnsiTheme="minorHAnsi" w:cstheme="minorBidi"/>
          <w:noProof/>
          <w:color w:val="auto"/>
          <w:sz w:val="22"/>
          <w:szCs w:val="22"/>
          <w:cs w:val="0"/>
          <w:lang w:bidi="ar-SA"/>
        </w:rPr>
      </w:pPr>
      <w:r>
        <w:fldChar w:fldCharType="end"/>
      </w:r>
    </w:p>
    <w:p w:rsidR="00254F2A" w:rsidRDefault="00254F2A" w:rsidP="006B654A">
      <w:pPr>
        <w:pStyle w:val="Heading1"/>
        <w:keepLines/>
        <w:spacing w:after="80" w:line="276" w:lineRule="auto"/>
        <w:rPr>
          <w:cs w:val="0"/>
        </w:rPr>
      </w:pPr>
      <w:bookmarkStart w:id="1" w:name="_Toc239431967"/>
    </w:p>
    <w:p w:rsidR="006B654A" w:rsidRDefault="006B654A" w:rsidP="00D419F3">
      <w:pPr>
        <w:pStyle w:val="Heading1"/>
        <w:keepLines/>
        <w:spacing w:after="80" w:line="276" w:lineRule="auto"/>
        <w:jc w:val="center"/>
        <w:rPr>
          <w:cs w:val="0"/>
        </w:rPr>
      </w:pPr>
      <w:r w:rsidRPr="00323012">
        <w:rPr>
          <w:cs w:val="0"/>
        </w:rPr>
        <w:t>فهرست اشکال</w:t>
      </w:r>
      <w:bookmarkEnd w:id="1"/>
    </w:p>
    <w:p w:rsidR="006B654A" w:rsidRDefault="004A15EF" w:rsidP="004118A0">
      <w:pPr>
        <w:pStyle w:val="TableofFigures"/>
        <w:tabs>
          <w:tab w:val="clear" w:pos="8778"/>
          <w:tab w:val="right" w:leader="dot" w:pos="8788"/>
        </w:tabs>
        <w:spacing w:line="240" w:lineRule="auto"/>
        <w:rPr>
          <w:cs w:val="0"/>
        </w:rPr>
      </w:pPr>
      <w:hyperlink w:anchor="_TocFig001" w:history="1">
        <w:r w:rsidR="006B654A">
          <w:rPr>
            <w:rStyle w:val="Hyperlink"/>
            <w:noProof/>
            <w:cs w:val="0"/>
          </w:rPr>
          <w:t>شکل ۱- درختواره نظریه‌های سالمندی (شاخه زیست‌شناختی، روان‌شناختی و جامعه‌شناختی)</w:t>
        </w:r>
        <w:r w:rsidR="006B654A">
          <w:rPr>
            <w:noProof/>
            <w:webHidden/>
            <w:cs w:val="0"/>
          </w:rPr>
          <w:tab/>
        </w:r>
        <w:r w:rsidR="006B654A">
          <w:rPr>
            <w:noProof/>
            <w:webHidden/>
            <w:rtl w:val="0"/>
          </w:rPr>
          <w:fldChar w:fldCharType="begin"/>
        </w:r>
        <w:r w:rsidR="006B654A">
          <w:rPr>
            <w:noProof/>
            <w:webHidden/>
            <w:rtl w:val="0"/>
            <w:cs w:val="0"/>
          </w:rPr>
          <w:instrText xml:space="preserve"> PAGEREF _TocFig001 \h </w:instrText>
        </w:r>
        <w:r w:rsidR="006B654A">
          <w:rPr>
            <w:noProof/>
            <w:webHidden/>
            <w:rtl w:val="0"/>
          </w:rPr>
        </w:r>
        <w:r w:rsidR="006B654A">
          <w:rPr>
            <w:noProof/>
            <w:webHidden/>
            <w:rtl w:val="0"/>
          </w:rPr>
          <w:fldChar w:fldCharType="separate"/>
        </w:r>
        <w:r w:rsidR="005B67C1">
          <w:rPr>
            <w:noProof/>
            <w:webHidden/>
            <w:cs w:val="0"/>
            <w:lang w:bidi="ar-SA"/>
          </w:rPr>
          <w:t>16</w:t>
        </w:r>
        <w:r w:rsidR="006B654A">
          <w:rPr>
            <w:noProof/>
            <w:webHidden/>
            <w:rtl w:val="0"/>
          </w:rPr>
          <w:fldChar w:fldCharType="end"/>
        </w:r>
      </w:hyperlink>
    </w:p>
    <w:p w:rsidR="006B654A" w:rsidRDefault="004A15EF" w:rsidP="004118A0">
      <w:pPr>
        <w:pStyle w:val="TableofFigures"/>
        <w:tabs>
          <w:tab w:val="clear" w:pos="8778"/>
          <w:tab w:val="right" w:leader="dot" w:pos="8788"/>
        </w:tabs>
        <w:spacing w:line="240" w:lineRule="auto"/>
        <w:rPr>
          <w:cs w:val="0"/>
        </w:rPr>
      </w:pPr>
      <w:hyperlink w:anchor="_TocFig002" w:history="1">
        <w:r w:rsidR="006B654A">
          <w:rPr>
            <w:rStyle w:val="Hyperlink"/>
            <w:noProof/>
            <w:cs w:val="0"/>
          </w:rPr>
          <w:t>شکل ۲- درختواره اضطراب مرگ (نظریه‌ها، ابعاد، عوامل و پیامدها)</w:t>
        </w:r>
        <w:r w:rsidR="006B654A">
          <w:rPr>
            <w:noProof/>
            <w:webHidden/>
            <w:cs w:val="0"/>
          </w:rPr>
          <w:tab/>
        </w:r>
        <w:r w:rsidR="006B654A">
          <w:rPr>
            <w:noProof/>
            <w:webHidden/>
            <w:rtl w:val="0"/>
          </w:rPr>
          <w:fldChar w:fldCharType="begin"/>
        </w:r>
        <w:r w:rsidR="006B654A">
          <w:rPr>
            <w:noProof/>
            <w:webHidden/>
            <w:rtl w:val="0"/>
            <w:cs w:val="0"/>
          </w:rPr>
          <w:instrText xml:space="preserve"> PAGEREF _TocFig002 \h </w:instrText>
        </w:r>
        <w:r w:rsidR="006B654A">
          <w:rPr>
            <w:noProof/>
            <w:webHidden/>
            <w:rtl w:val="0"/>
          </w:rPr>
        </w:r>
        <w:r w:rsidR="006B654A">
          <w:rPr>
            <w:noProof/>
            <w:webHidden/>
            <w:rtl w:val="0"/>
          </w:rPr>
          <w:fldChar w:fldCharType="separate"/>
        </w:r>
        <w:r w:rsidR="005B67C1">
          <w:rPr>
            <w:noProof/>
            <w:webHidden/>
            <w:cs w:val="0"/>
            <w:lang w:bidi="ar-SA"/>
          </w:rPr>
          <w:t>24</w:t>
        </w:r>
        <w:r w:rsidR="006B654A">
          <w:rPr>
            <w:noProof/>
            <w:webHidden/>
            <w:rtl w:val="0"/>
          </w:rPr>
          <w:fldChar w:fldCharType="end"/>
        </w:r>
      </w:hyperlink>
    </w:p>
    <w:p w:rsidR="006B654A" w:rsidRDefault="004A15EF" w:rsidP="004118A0">
      <w:pPr>
        <w:pStyle w:val="TableofFigures"/>
        <w:tabs>
          <w:tab w:val="clear" w:pos="8778"/>
          <w:tab w:val="right" w:leader="dot" w:pos="8788"/>
        </w:tabs>
        <w:spacing w:line="240" w:lineRule="auto"/>
        <w:rPr>
          <w:cs w:val="0"/>
        </w:rPr>
      </w:pPr>
      <w:hyperlink w:anchor="_TocFig003" w:history="1">
        <w:r w:rsidR="006B654A">
          <w:rPr>
            <w:rStyle w:val="Hyperlink"/>
            <w:noProof/>
            <w:cs w:val="0"/>
          </w:rPr>
          <w:t>شکل ۳- درختواره هوش معنوی (مفهوم، فضیلت‌گرایی، عوامل و مدل چهارعاملی کینگ)</w:t>
        </w:r>
        <w:r w:rsidR="006B654A">
          <w:rPr>
            <w:noProof/>
            <w:webHidden/>
            <w:cs w:val="0"/>
          </w:rPr>
          <w:tab/>
        </w:r>
        <w:r w:rsidR="006B654A">
          <w:rPr>
            <w:noProof/>
            <w:webHidden/>
            <w:rtl w:val="0"/>
          </w:rPr>
          <w:fldChar w:fldCharType="begin"/>
        </w:r>
        <w:r w:rsidR="006B654A">
          <w:rPr>
            <w:noProof/>
            <w:webHidden/>
            <w:rtl w:val="0"/>
            <w:cs w:val="0"/>
          </w:rPr>
          <w:instrText xml:space="preserve"> PAGEREF _TocFig003 \h </w:instrText>
        </w:r>
        <w:r w:rsidR="006B654A">
          <w:rPr>
            <w:noProof/>
            <w:webHidden/>
            <w:rtl w:val="0"/>
          </w:rPr>
        </w:r>
        <w:r w:rsidR="006B654A">
          <w:rPr>
            <w:noProof/>
            <w:webHidden/>
            <w:rtl w:val="0"/>
          </w:rPr>
          <w:fldChar w:fldCharType="separate"/>
        </w:r>
        <w:r w:rsidR="005B67C1">
          <w:rPr>
            <w:noProof/>
            <w:webHidden/>
            <w:cs w:val="0"/>
            <w:lang w:bidi="ar-SA"/>
          </w:rPr>
          <w:t>29</w:t>
        </w:r>
        <w:r w:rsidR="006B654A">
          <w:rPr>
            <w:noProof/>
            <w:webHidden/>
            <w:rtl w:val="0"/>
          </w:rPr>
          <w:fldChar w:fldCharType="end"/>
        </w:r>
      </w:hyperlink>
    </w:p>
    <w:p w:rsidR="007A0CC6" w:rsidRDefault="004A15EF" w:rsidP="004118A0">
      <w:pPr>
        <w:pStyle w:val="TableofFigures"/>
        <w:spacing w:line="240" w:lineRule="auto"/>
        <w:rPr>
          <w:rFonts w:ascii="IranNastaliq" w:hAnsi="IranNastaliq" w:cs="IranNastaliq"/>
          <w:b/>
          <w:bCs/>
          <w:color w:val="70AD47"/>
          <w:spacing w:val="10"/>
          <w:sz w:val="40"/>
          <w:szCs w:val="40"/>
          <w:cs w:val="0"/>
          <w14:glow w14:rad="38100">
            <w14:schemeClr w14:val="accent1">
              <w14:alpha w14:val="60000"/>
            </w14:schemeClr>
          </w14:glow>
          <w14:textOutline w14:w="9525" w14:cap="flat" w14:cmpd="sng" w14:algn="ctr">
            <w14:solidFill>
              <w14:schemeClr w14:val="accent1"/>
            </w14:solidFill>
            <w14:prstDash w14:val="solid"/>
            <w14:round/>
          </w14:textOutline>
          <w14:textFill>
            <w14:solidFill>
              <w14:srgbClr w14:val="70AD47">
                <w14:tint w14:val="1000"/>
              </w14:srgbClr>
            </w14:solidFill>
          </w14:textFill>
        </w:rPr>
      </w:pPr>
      <w:hyperlink w:anchor="_TocFig004" w:history="1">
        <w:r w:rsidR="006B654A">
          <w:rPr>
            <w:rStyle w:val="Hyperlink"/>
            <w:noProof/>
            <w:cs w:val="0"/>
          </w:rPr>
          <w:t>شکل ۴- درختواره اضطراب سلامت (مفهوم، مدل‌های نظری، عوامل و مداخلات)</w:t>
        </w:r>
        <w:r w:rsidR="006B654A">
          <w:rPr>
            <w:noProof/>
            <w:webHidden/>
            <w:cs w:val="0"/>
          </w:rPr>
          <w:tab/>
        </w:r>
        <w:r w:rsidR="006B654A">
          <w:rPr>
            <w:noProof/>
            <w:webHidden/>
            <w:rtl w:val="0"/>
          </w:rPr>
          <w:fldChar w:fldCharType="begin"/>
        </w:r>
        <w:r w:rsidR="006B654A">
          <w:rPr>
            <w:noProof/>
            <w:webHidden/>
            <w:rtl w:val="0"/>
            <w:cs w:val="0"/>
          </w:rPr>
          <w:instrText xml:space="preserve"> PAGEREF _TocFig004 \h </w:instrText>
        </w:r>
        <w:r w:rsidR="006B654A">
          <w:rPr>
            <w:noProof/>
            <w:webHidden/>
            <w:rtl w:val="0"/>
          </w:rPr>
        </w:r>
        <w:r w:rsidR="006B654A">
          <w:rPr>
            <w:noProof/>
            <w:webHidden/>
            <w:rtl w:val="0"/>
          </w:rPr>
          <w:fldChar w:fldCharType="separate"/>
        </w:r>
        <w:r w:rsidR="005B67C1">
          <w:rPr>
            <w:noProof/>
            <w:webHidden/>
            <w:cs w:val="0"/>
            <w:lang w:bidi="ar-SA"/>
          </w:rPr>
          <w:t>38</w:t>
        </w:r>
        <w:r w:rsidR="006B654A">
          <w:rPr>
            <w:noProof/>
            <w:webHidden/>
            <w:rtl w:val="0"/>
          </w:rPr>
          <w:fldChar w:fldCharType="end"/>
        </w:r>
      </w:hyperlink>
    </w:p>
    <w:p w:rsidR="007A0CC6" w:rsidRDefault="007A0CC6" w:rsidP="007A0CC6">
      <w:pPr>
        <w:rPr>
          <w:rFonts w:ascii="IranNastaliq" w:hAnsi="IranNastaliq" w:cs="IranNastaliq"/>
          <w:sz w:val="40"/>
          <w:szCs w:val="40"/>
          <w:cs w:val="0"/>
        </w:rPr>
        <w:sectPr w:rsidR="007A0CC6" w:rsidSect="002700C9">
          <w:footerReference w:type="default" r:id="rId10"/>
          <w:footnotePr>
            <w:numRestart w:val="eachPage"/>
          </w:footnotePr>
          <w:pgSz w:w="11906" w:h="16838" w:code="9"/>
          <w:pgMar w:top="1417" w:right="1561" w:bottom="1417" w:left="1277" w:header="709" w:footer="567" w:gutter="0"/>
          <w:pgNumType w:fmt="arabicAlpha" w:start="1"/>
          <w:cols w:space="708"/>
          <w:bidi/>
          <w:rtlGutter/>
          <w:docGrid w:linePitch="381"/>
        </w:sectPr>
      </w:pPr>
    </w:p>
    <w:p w:rsidR="008908D0" w:rsidRDefault="002D5E38" w:rsidP="00D419F3">
      <w:pPr>
        <w:pStyle w:val="Heading1"/>
        <w:keepLines/>
        <w:spacing w:after="80" w:line="276" w:lineRule="auto"/>
        <w:rPr>
          <w:color w:val="auto"/>
          <w:cs w:val="0"/>
        </w:rPr>
      </w:pPr>
      <w:bookmarkStart w:id="2" w:name="_چکیده"/>
      <w:bookmarkStart w:id="3" w:name="_Toc239015091"/>
      <w:bookmarkStart w:id="4" w:name="_Toc239431968"/>
      <w:bookmarkEnd w:id="2"/>
      <w:r>
        <w:rPr>
          <w:rFonts w:hint="cs"/>
          <w:cs w:val="0"/>
        </w:rPr>
        <w:lastRenderedPageBreak/>
        <w:t>چکیده</w:t>
      </w:r>
      <w:bookmarkEnd w:id="3"/>
      <w:bookmarkEnd w:id="4"/>
      <w:r>
        <w:rPr>
          <w:rFonts w:hint="cs"/>
          <w:cs w:val="0"/>
        </w:rPr>
        <w:t xml:space="preserve"> </w:t>
      </w:r>
    </w:p>
    <w:p w:rsidR="008908D0" w:rsidRDefault="002D5E38">
      <w:pPr>
        <w:spacing w:after="80" w:line="276" w:lineRule="auto"/>
        <w:ind w:firstLine="397"/>
        <w:jc w:val="both"/>
        <w:rPr>
          <w:color w:val="auto"/>
          <w:sz w:val="16"/>
          <w:szCs w:val="16"/>
          <w:cs w:val="0"/>
        </w:rPr>
      </w:pPr>
      <w:r>
        <w:rPr>
          <w:rFonts w:hint="cs"/>
          <w:cs w:val="0"/>
        </w:rPr>
        <w:t>بررسی فرایندهای تحولی در گستره عمر به اثبات می‌رساند که با افزایش امید به زندگی در جوامع امروزی، جمعیت سالمندان رو به گسترش است و توجه به سلامت روان آنان اهمیت ویژه‌ای یافته است. پژوهش حاضر با هدف بررسی رابطه هوش معنوی و اضطراب سلامتی با اضطراب مرگ سالمندان انجام شد. این پژوهش از نظر هدف کاربردی و از نظر روش توصیفی ـ همبستگی بود. جامعه آماری پژوهش شامل کلیه سالمندان بالای۶۰ سال، ساکن خانه سالمندان فرشتگان شهر اسلامشهر</w:t>
      </w:r>
      <w:r w:rsidR="002A4CFB">
        <w:rPr>
          <w:rFonts w:hint="cs"/>
          <w:cs w:val="0"/>
        </w:rPr>
        <w:t>(تهران)</w:t>
      </w:r>
      <w:r>
        <w:rPr>
          <w:rFonts w:hint="cs"/>
          <w:cs w:val="0"/>
        </w:rPr>
        <w:t xml:space="preserve"> در سال ۱۴۰۴ بود. بر اساس جدول کرجسی</w:t>
      </w:r>
      <w:r>
        <w:rPr>
          <w:rStyle w:val="FootnoteReference"/>
        </w:rPr>
        <w:footnoteReference w:id="1"/>
      </w:r>
      <w:r>
        <w:rPr>
          <w:rFonts w:hint="cs"/>
          <w:cs w:val="0"/>
        </w:rPr>
        <w:t xml:space="preserve"> و مورگان</w:t>
      </w:r>
      <w:r>
        <w:rPr>
          <w:rStyle w:val="FootnoteReference"/>
        </w:rPr>
        <w:footnoteReference w:id="2"/>
      </w:r>
      <w:r>
        <w:rPr>
          <w:rFonts w:hint="cs"/>
          <w:cs w:val="0"/>
        </w:rPr>
        <w:t xml:space="preserve"> (۱۹۷۰) و با توجه به حجم جامعه آماری، ۸۰ نفر به روش نمونه‌گیری در دسترس انتخاب شدند. ابزارهای گردآوری داده‌ها شامل پرسشنامه هوش معنوی کینگ</w:t>
      </w:r>
      <w:r>
        <w:rPr>
          <w:rStyle w:val="FootnoteReference"/>
        </w:rPr>
        <w:footnoteReference w:id="3"/>
      </w:r>
      <w:r>
        <w:rPr>
          <w:rFonts w:hint="cs"/>
          <w:cs w:val="0"/>
        </w:rPr>
        <w:t xml:space="preserve"> (۲۰۰۰)، پرسشنامه اضطراب سلامتی</w:t>
      </w:r>
      <w:r>
        <w:rPr>
          <w:rStyle w:val="FootnoteReference"/>
        </w:rPr>
        <w:footnoteReference w:id="4"/>
      </w:r>
      <w:r>
        <w:rPr>
          <w:rFonts w:hint="cs"/>
          <w:cs w:val="0"/>
        </w:rPr>
        <w:t xml:space="preserve"> سالکووسکیس</w:t>
      </w:r>
      <w:r>
        <w:rPr>
          <w:rStyle w:val="FootnoteReference"/>
        </w:rPr>
        <w:footnoteReference w:id="5"/>
      </w:r>
      <w:r>
        <w:rPr>
          <w:rFonts w:hint="cs"/>
          <w:cs w:val="0"/>
        </w:rPr>
        <w:t xml:space="preserve"> و وارویک</w:t>
      </w:r>
      <w:r>
        <w:rPr>
          <w:rStyle w:val="FootnoteReference"/>
        </w:rPr>
        <w:footnoteReference w:id="6"/>
      </w:r>
      <w:r>
        <w:rPr>
          <w:rFonts w:hint="cs"/>
          <w:cs w:val="0"/>
        </w:rPr>
        <w:t xml:space="preserve"> (۲۰۰۲) و پرسشنامه اضطراب مرگ</w:t>
      </w:r>
      <w:r>
        <w:rPr>
          <w:rStyle w:val="FootnoteReference"/>
        </w:rPr>
        <w:footnoteReference w:id="7"/>
      </w:r>
      <w:r>
        <w:rPr>
          <w:rFonts w:hint="cs"/>
          <w:cs w:val="0"/>
        </w:rPr>
        <w:t xml:space="preserve"> تمپلر</w:t>
      </w:r>
      <w:r>
        <w:rPr>
          <w:rStyle w:val="FootnoteReference"/>
        </w:rPr>
        <w:footnoteReference w:id="8"/>
      </w:r>
      <w:r>
        <w:rPr>
          <w:rFonts w:hint="cs"/>
          <w:cs w:val="0"/>
        </w:rPr>
        <w:t xml:space="preserve"> (۱۹۷۰) بود. داده‌ها با استفاده از ضریب همبستگی پیرسون و رگرسیون گام به گام تحلیل شدند. تحلیل‌های صورت‌گرفته روشن ساخت که بین هوش معنوی و اضطراب مرگ سالمندان رابطه منفی و معنادار وجود دارد </w:t>
      </w:r>
      <w:r>
        <w:rPr>
          <w:rFonts w:hint="cs"/>
          <w:rtl w:val="0"/>
          <w:cs w:val="0"/>
        </w:rPr>
        <w:t>(r=-</w:t>
      </w:r>
      <w:r>
        <w:rPr>
          <w:rFonts w:cs="Times New Roman" w:hint="cs"/>
          <w:rtl w:val="0"/>
          <w:cs w:val="0"/>
        </w:rPr>
        <w:t>۰</w:t>
      </w:r>
      <w:r>
        <w:rPr>
          <w:rFonts w:hint="cs"/>
          <w:rtl w:val="0"/>
          <w:cs w:val="0"/>
        </w:rPr>
        <w:t>.</w:t>
      </w:r>
      <w:r>
        <w:rPr>
          <w:rFonts w:cs="Times New Roman" w:hint="cs"/>
          <w:rtl w:val="0"/>
          <w:cs w:val="0"/>
        </w:rPr>
        <w:t>۴۶</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و بین اضطراب سلامتی و اضطراب مرگ رابطه مثبت و معنادار مشاهده شد </w:t>
      </w:r>
      <w:r>
        <w:rPr>
          <w:rFonts w:hint="cs"/>
          <w:rtl w:val="0"/>
          <w:cs w:val="0"/>
        </w:rPr>
        <w:t>(r=</w:t>
      </w:r>
      <w:r>
        <w:rPr>
          <w:rFonts w:cs="Times New Roman" w:hint="cs"/>
          <w:rtl w:val="0"/>
          <w:cs w:val="0"/>
        </w:rPr>
        <w:t>۰</w:t>
      </w:r>
      <w:r>
        <w:rPr>
          <w:rFonts w:hint="cs"/>
          <w:rtl w:val="0"/>
          <w:cs w:val="0"/>
        </w:rPr>
        <w:t>.</w:t>
      </w:r>
      <w:r>
        <w:rPr>
          <w:rFonts w:cs="Times New Roman" w:hint="cs"/>
          <w:rtl w:val="0"/>
          <w:cs w:val="0"/>
        </w:rPr>
        <w:t>۵۸</w:t>
      </w:r>
      <w:r>
        <w:rPr>
          <w:rFonts w:hint="cs"/>
          <w:rtl w:val="0"/>
          <w:cs w:val="0"/>
        </w:rPr>
        <w:t>, p&lt;</w:t>
      </w:r>
      <w:r>
        <w:rPr>
          <w:rFonts w:cs="Times New Roman" w:hint="cs"/>
          <w:rtl w:val="0"/>
          <w:cs w:val="0"/>
        </w:rPr>
        <w:t>۰</w:t>
      </w:r>
      <w:r>
        <w:rPr>
          <w:rFonts w:hint="cs"/>
          <w:rtl w:val="0"/>
          <w:cs w:val="0"/>
        </w:rPr>
        <w:t>.</w:t>
      </w:r>
      <w:r>
        <w:rPr>
          <w:rFonts w:cs="Times New Roman" w:hint="cs"/>
          <w:rtl w:val="0"/>
          <w:cs w:val="0"/>
        </w:rPr>
        <w:t>۰۱</w:t>
      </w:r>
      <w:r>
        <w:rPr>
          <w:rFonts w:hint="cs"/>
          <w:rtl w:val="0"/>
          <w:cs w:val="0"/>
        </w:rPr>
        <w:t>)</w:t>
      </w:r>
      <w:r>
        <w:rPr>
          <w:rFonts w:hint="cs"/>
          <w:cs w:val="0"/>
        </w:rPr>
        <w:t xml:space="preserve">. در عین حال نتایج رگرسیون گام به گام نشان داد که متغیرهای اضطراب سلامتی، هوش معنوی، ایجاد معنای شخصی و تفکر وجودی انتقادی در مجموع ۵۴ درصد از واریانس اضطراب مرگ سالمندان را تبیین می‌کنند </w:t>
      </w:r>
      <w:r>
        <w:rPr>
          <w:rFonts w:hint="cs"/>
          <w:rtl w:val="0"/>
          <w:cs w:val="0"/>
        </w:rPr>
        <w:t>(R²=</w:t>
      </w:r>
      <w:r>
        <w:rPr>
          <w:rFonts w:cs="Times New Roman" w:hint="cs"/>
          <w:rtl w:val="0"/>
          <w:cs w:val="0"/>
        </w:rPr>
        <w:t>۰</w:t>
      </w:r>
      <w:r>
        <w:rPr>
          <w:rFonts w:hint="cs"/>
          <w:rtl w:val="0"/>
          <w:cs w:val="0"/>
        </w:rPr>
        <w:t>.</w:t>
      </w:r>
      <w:r>
        <w:rPr>
          <w:rFonts w:cs="Times New Roman" w:hint="cs"/>
          <w:rtl w:val="0"/>
          <w:cs w:val="0"/>
        </w:rPr>
        <w:t>۵۴</w:t>
      </w:r>
      <w:r>
        <w:rPr>
          <w:rFonts w:hint="cs"/>
          <w:rtl w:val="0"/>
          <w:cs w:val="0"/>
        </w:rPr>
        <w:t>, p&lt;</w:t>
      </w:r>
      <w:r>
        <w:rPr>
          <w:rFonts w:cs="Times New Roman" w:hint="cs"/>
          <w:rtl w:val="0"/>
          <w:cs w:val="0"/>
        </w:rPr>
        <w:t>۰</w:t>
      </w:r>
      <w:r>
        <w:rPr>
          <w:rFonts w:hint="cs"/>
          <w:rtl w:val="0"/>
          <w:cs w:val="0"/>
        </w:rPr>
        <w:t>.</w:t>
      </w:r>
      <w:r>
        <w:rPr>
          <w:rFonts w:cs="Times New Roman" w:hint="cs"/>
          <w:rtl w:val="0"/>
          <w:cs w:val="0"/>
        </w:rPr>
        <w:t>۰۰۱</w:t>
      </w:r>
      <w:r>
        <w:rPr>
          <w:rFonts w:hint="cs"/>
          <w:rtl w:val="0"/>
          <w:cs w:val="0"/>
        </w:rPr>
        <w:t>)</w:t>
      </w:r>
      <w:r>
        <w:rPr>
          <w:rFonts w:hint="cs"/>
          <w:cs w:val="0"/>
        </w:rPr>
        <w:t>. به طور کلی، افزایش هوش معنوی با کاهش اضطراب مرگ و افزایش اضطراب سلامتی با افزایش اضطراب مرگ همراه است. یافته‌های این پژوهش بر اهمیت عوامل روان‌شناختی و معنوی در تبیین اضطراب مرگ سالمندان و ضرورت توجه به آن‌ها در برنامه‌های ارتقای سلامت روان سالمندان تأکید دارد.</w:t>
      </w:r>
    </w:p>
    <w:p w:rsidR="008908D0" w:rsidRDefault="002D5E38">
      <w:pPr>
        <w:spacing w:after="80" w:line="276" w:lineRule="auto"/>
        <w:ind w:firstLine="397"/>
        <w:jc w:val="both"/>
        <w:rPr>
          <w:color w:val="auto"/>
          <w:cs w:val="0"/>
        </w:rPr>
      </w:pPr>
      <w:r>
        <w:rPr>
          <w:rFonts w:hint="cs"/>
          <w:cs w:val="0"/>
        </w:rPr>
        <w:t>کلیدواژه ها: هوش معنوی، اضطراب سلامتی، اضطراب مرگ، سالمندان.</w:t>
      </w:r>
    </w:p>
    <w:p w:rsidR="006B654A" w:rsidRDefault="006B654A">
      <w:pPr>
        <w:autoSpaceDE/>
        <w:autoSpaceDN/>
        <w:adjustRightInd/>
        <w:spacing w:after="0" w:line="240" w:lineRule="auto"/>
        <w:jc w:val="right"/>
        <w:rPr>
          <w:rFonts w:cs="B Titr"/>
          <w:b/>
          <w:bCs/>
          <w:kern w:val="32"/>
          <w:sz w:val="56"/>
          <w:cs w:val="0"/>
        </w:rPr>
        <w:sectPr w:rsidR="006B654A" w:rsidSect="00F24684">
          <w:footerReference w:type="default" r:id="rId11"/>
          <w:footnotePr>
            <w:numRestart w:val="eachPage"/>
          </w:footnotePr>
          <w:pgSz w:w="11906" w:h="16838" w:code="9"/>
          <w:pgMar w:top="1417" w:right="1561" w:bottom="1417" w:left="1277" w:header="709" w:footer="567" w:gutter="0"/>
          <w:pgNumType w:start="1"/>
          <w:cols w:space="708"/>
          <w:bidi/>
          <w:rtlGutter/>
          <w:docGrid w:linePitch="381"/>
        </w:sectPr>
      </w:pPr>
      <w:bookmarkStart w:id="5" w:name="_Toc239015092"/>
    </w:p>
    <w:p w:rsidR="006B654A" w:rsidRPr="006B654A" w:rsidRDefault="006B654A" w:rsidP="006B654A">
      <w:pPr>
        <w:autoSpaceDE/>
        <w:autoSpaceDN/>
        <w:adjustRightInd/>
        <w:spacing w:after="0" w:line="240" w:lineRule="auto"/>
        <w:jc w:val="center"/>
        <w:rPr>
          <w:rFonts w:cs="B Titr"/>
          <w:sz w:val="72"/>
          <w:szCs w:val="72"/>
          <w:cs w:val="0"/>
        </w:rPr>
      </w:pPr>
      <w:r w:rsidRPr="006B654A">
        <w:rPr>
          <w:rFonts w:cs="B Titr"/>
          <w:sz w:val="72"/>
          <w:szCs w:val="72"/>
          <w:cs w:val="0"/>
        </w:rPr>
        <w:lastRenderedPageBreak/>
        <w:t>فصل اول:</w:t>
      </w:r>
    </w:p>
    <w:p w:rsidR="006B654A" w:rsidRDefault="006B654A" w:rsidP="006B654A">
      <w:pPr>
        <w:autoSpaceDE/>
        <w:autoSpaceDN/>
        <w:adjustRightInd/>
        <w:spacing w:after="0" w:line="240" w:lineRule="auto"/>
        <w:jc w:val="center"/>
        <w:rPr>
          <w:rFonts w:cs="B Titr"/>
          <w:b/>
          <w:bCs/>
          <w:kern w:val="32"/>
          <w:sz w:val="56"/>
          <w:cs w:val="0"/>
        </w:rPr>
        <w:sectPr w:rsidR="006B654A">
          <w:footerReference w:type="default" r:id="rId12"/>
          <w:footnotePr>
            <w:numRestart w:val="eachPage"/>
          </w:footnotePr>
          <w:pgSz w:w="11906" w:h="16838" w:code="9"/>
          <w:pgMar w:top="1417" w:right="1561" w:bottom="1417" w:left="1277" w:header="709" w:footer="567" w:gutter="0"/>
          <w:cols w:space="708"/>
          <w:vAlign w:val="center"/>
          <w:bidi/>
          <w:rtlGutter/>
          <w:docGrid w:linePitch="360"/>
        </w:sectPr>
      </w:pPr>
      <w:r w:rsidRPr="006B654A">
        <w:rPr>
          <w:rFonts w:cs="B Titr"/>
          <w:sz w:val="72"/>
          <w:szCs w:val="72"/>
          <w:cs w:val="0"/>
        </w:rPr>
        <w:t>کل</w:t>
      </w:r>
      <w:r w:rsidRPr="006B654A">
        <w:rPr>
          <w:rFonts w:cs="B Titr" w:hint="cs"/>
          <w:sz w:val="72"/>
          <w:szCs w:val="72"/>
          <w:cs w:val="0"/>
        </w:rPr>
        <w:t>ی</w:t>
      </w:r>
      <w:r w:rsidRPr="006B654A">
        <w:rPr>
          <w:rFonts w:cs="B Titr" w:hint="eastAsia"/>
          <w:sz w:val="72"/>
          <w:szCs w:val="72"/>
          <w:cs w:val="0"/>
        </w:rPr>
        <w:t>ات</w:t>
      </w:r>
      <w:r w:rsidRPr="006B654A">
        <w:rPr>
          <w:rFonts w:cs="B Titr"/>
          <w:sz w:val="72"/>
          <w:szCs w:val="72"/>
          <w:cs w:val="0"/>
        </w:rPr>
        <w:t xml:space="preserve"> پژوهش</w:t>
      </w:r>
    </w:p>
    <w:p w:rsidR="008908D0" w:rsidRDefault="002D5E38" w:rsidP="00785D06">
      <w:pPr>
        <w:pStyle w:val="Heading2"/>
        <w:rPr>
          <w:cs w:val="0"/>
        </w:rPr>
      </w:pPr>
      <w:bookmarkStart w:id="6" w:name="_Toc239015093"/>
      <w:bookmarkStart w:id="7" w:name="_Toc239431970"/>
      <w:bookmarkEnd w:id="5"/>
      <w:r>
        <w:rPr>
          <w:cs w:val="0"/>
        </w:rPr>
        <w:lastRenderedPageBreak/>
        <w:t xml:space="preserve">۱-۱- </w:t>
      </w:r>
      <w:r w:rsidRPr="00785D06">
        <w:rPr>
          <w:cs w:val="0"/>
        </w:rPr>
        <w:t>مقدمه</w:t>
      </w:r>
      <w:bookmarkEnd w:id="6"/>
      <w:bookmarkEnd w:id="7"/>
    </w:p>
    <w:p w:rsidR="008908D0" w:rsidRDefault="002D5E38">
      <w:pPr>
        <w:spacing w:after="0" w:line="276" w:lineRule="auto"/>
        <w:ind w:firstLine="397"/>
        <w:jc w:val="both"/>
        <w:rPr>
          <w:color w:val="auto"/>
          <w:cs w:val="0"/>
        </w:rPr>
      </w:pPr>
      <w:r>
        <w:rPr>
          <w:rFonts w:hint="cs"/>
          <w:cs w:val="0"/>
        </w:rPr>
        <w:t>جمعیت سالمندان جهان در دهه‌های اخیر با سرعت قابل توجهی در حال افزایش است و سالمندی جمعیت به یکی از مهم‌ترین تغییرات جمعیتی در سطح جهان تبدیل شده است. بر اساس برآوردهای سازمان ملل متحد</w:t>
      </w:r>
      <w:r>
        <w:rPr>
          <w:rStyle w:val="FootnoteReference"/>
        </w:rPr>
        <w:footnoteReference w:id="9"/>
      </w:r>
      <w:r>
        <w:rPr>
          <w:rFonts w:hint="cs"/>
          <w:cs w:val="0"/>
        </w:rPr>
        <w:t>، تعداد افراد ۶۵ ساله و بالاتر در جهان در دهه‌های آینده به‌طور چشمگیری افزایش خواهد یافت و سهم این گروه از جمعیت جهان نیز روندی صعودی خواهد داشت. این روند عمدتاً ناشی از کاهش باروری و افزایش امید به زندگی است و در کشورهای با درآمد کم و متوسط نیز با سرعت بیشتری در حال وقوع است (سازمان ملل متحد، ۲۰۲۴). ایران نیز از این روند جمعیتی مستثنا نیست و با در نظر گرفتن کاهش باروری و افزایش امید به زندگی، در مسیر سالمندی سریع جمعیت قرار دارد. بر اساس اطلاعات صندوق جمعیت سازمان ملل متحد</w:t>
      </w:r>
      <w:r>
        <w:rPr>
          <w:rStyle w:val="FootnoteReference"/>
        </w:rPr>
        <w:footnoteReference w:id="10"/>
      </w:r>
      <w:r>
        <w:rPr>
          <w:rFonts w:hint="cs"/>
          <w:cs w:val="0"/>
        </w:rPr>
        <w:t>، انتظار می‌رود سهم افراد ۶۰ ساله و بالاتر در جمعیت ایران طی دهه‌های آینده به‌طور قابل توجهی افزایش یابد و تا سال ۲۰۵۰ حدود ۲۷٫۹ درصد جمعیت کشور را تشکیل دهد (صندوق جمعیت سازمان ملل متحد، ۲۰۲۶). بدین ترتیب، شتاب سالمندی جمعیت در ایران ضرورت توجه بیشتر به نیازهای جسمی، روانی و اجتماعی سالمندان و برنامه‌ریزی برای ارائه خدمات متناسب با این تغییر جمعیتی را بیش از پیش آشکار می‌سازد.</w:t>
      </w:r>
    </w:p>
    <w:p w:rsidR="008908D0" w:rsidRDefault="002D5E38">
      <w:pPr>
        <w:spacing w:after="0" w:line="276" w:lineRule="auto"/>
        <w:ind w:firstLine="397"/>
        <w:jc w:val="both"/>
        <w:rPr>
          <w:color w:val="auto"/>
          <w:cs w:val="0"/>
        </w:rPr>
      </w:pPr>
      <w:r>
        <w:rPr>
          <w:rFonts w:hint="cs"/>
          <w:cs w:val="0"/>
        </w:rPr>
        <w:t>سالخوردگی جمعیت هم‌زمان با تغییرات گسترده اجتماعی، اقتصادی و خانوادگی در سراسر جهان در حال وقوع است. افزایش امید به زندگی، کاهش باروری، شهرنشینی، مهاجرت و تغییر الگوهای خانواده، شیوه زندگی و ترتیبات سکونت سالمندان را نیز تحت تأثیر قرار داده است. در بسیاری از جوامع، الگوهای زندگی سالمندان از زندگی در خانواده‌های گسترده و چندنسلی به سمت شکل‌های مستقل‌تر زندگی، برای نمونه زندگی به‌تنهایی یا زندگی با همسر، در حال تغییر است. این تغییرات می‌توانند پیامدهایی برای میزان حمایت خانوادگی، تعاملات اجتماعی و دسترسی سالمندان به مراقبت و حمایت داشته باشند. بر اساس گزارش سازمان ملل متحد، تغییرات جمعیتی و اجتماعی و افزایش تعداد سالمندان، ضرورت توجه به ترتیبات زندگی، حمایت اجتماعی و نیازهای مراقبتی این گروه را بیش از پیش افزایش داده است. همچنین، شواهد سازمان ملل بیانگر این نکته است که زنان سالمند تقریباً دو برابر مردان سالمند احتمال دارد به‌تنهایی زندگی کنند که بخش مهمی از آن با بالاتر بودن میزان بیوگی در میان زنان مرتبط است (سازمان ملل متحد، ۲۰۲۳).</w:t>
      </w:r>
    </w:p>
    <w:p w:rsidR="008908D0" w:rsidRDefault="002D5E38">
      <w:pPr>
        <w:spacing w:after="0" w:line="276" w:lineRule="auto"/>
        <w:ind w:firstLine="397"/>
        <w:jc w:val="both"/>
        <w:rPr>
          <w:color w:val="auto"/>
          <w:cs w:val="0"/>
        </w:rPr>
      </w:pPr>
      <w:r>
        <w:rPr>
          <w:rFonts w:hint="cs"/>
          <w:cs w:val="0"/>
        </w:rPr>
        <w:lastRenderedPageBreak/>
        <w:t>سالخوردگی جمعیت یکی از مهم‌ترین تحولات جمعیتی در جهان معاصر و از چالش‌های اساسی نظام‌های سلامت و رفاه اجتماعی به شمار می‌رود. افزایش طول عمر و کاهش باروری موجب افزایش تعداد و سهم سالمندان در جمعیت شده است و این تغییر جمعیتی با پیامدهای جسمی، روانی و اجتماعی متعددی همراه است. سالمندان در این دوره ممکن است با افزایش بیماری‌های مزمن، کاهش توانایی‌های جسمی و عملکردی، محدودیت در فعالیت‌های روزمره و تغییر در روابط و حمایت‌های اجتماعی مواجه شوند؛ عواملی که می‌توانند استقلال فردی و کیفیت زندگی آنان را تحت تأثیر قرار دهند (گودرزی</w:t>
      </w:r>
      <w:r>
        <w:rPr>
          <w:rStyle w:val="FootnoteReference"/>
        </w:rPr>
        <w:footnoteReference w:id="11"/>
      </w:r>
      <w:r>
        <w:rPr>
          <w:rFonts w:hint="cs"/>
          <w:cs w:val="0"/>
        </w:rPr>
        <w:t xml:space="preserve"> و همکاران، ۲۰۲۴؛ میری</w:t>
      </w:r>
      <w:r>
        <w:rPr>
          <w:rStyle w:val="FootnoteReference"/>
        </w:rPr>
        <w:footnoteReference w:id="12"/>
      </w:r>
      <w:r>
        <w:rPr>
          <w:rFonts w:hint="cs"/>
          <w:cs w:val="0"/>
        </w:rPr>
        <w:t xml:space="preserve"> و همکاران، ۲۰۲۴). در ایران نیز پژوهش‌های جدید نشان می‌دهند که وضعیت سلامت، بیماری‌های مزمن، شرایط اجتماعی ـ اقتصادی و عوامل روانی ـ اجتماعی با نحوه تجربه سالمندی و حفظ استقلال عملکردی ارتباط دارند. برای نمونه، گودرزی و همکاران (۲۰۲۴) در یک مرور نظام‌مند و فراتحلیل، بر نقش عوامل روانی ـ اجتماعی در حفظ استقلال عملکردی سالمندان تأکید کرده‌اند. علاوه بر آن، پژوهش‌های انجام‌شده در میان سالمندان ایرانی نشان داده‌اند که افزایش سن، بیماری‌های مزمن، وضعیت اقتصادی و میزان حمایت اجتماعی می‌توانند با وضعیت عملکردی و کیفیت زندگی سالمندان ارتباط داشته باشند (جافری‌کولایی</w:t>
      </w:r>
      <w:r>
        <w:rPr>
          <w:rStyle w:val="FootnoteReference"/>
        </w:rPr>
        <w:footnoteReference w:id="13"/>
      </w:r>
      <w:r>
        <w:rPr>
          <w:rFonts w:hint="cs"/>
          <w:cs w:val="0"/>
        </w:rPr>
        <w:t xml:space="preserve"> و همکاران، ۲۰۲۴؛ محمدزاده و همکاران، ۲۰۲۴). توجه به نیازهای جسمی، روانی و اجتماعی سالمندان و فراهم کردن شرایط مناسب برای حفظ استقلال، حمایت اجتماعی و مشارکت آنان، از ضرورت‌های مهم در برنامه‌ریزی برای سالمندی سالم در ایران محسوب می‌شود.</w:t>
      </w:r>
    </w:p>
    <w:p w:rsidR="008908D0" w:rsidRDefault="002D5E38" w:rsidP="000E3BC2">
      <w:pPr>
        <w:spacing w:after="0" w:line="276" w:lineRule="auto"/>
        <w:ind w:firstLine="397"/>
        <w:jc w:val="both"/>
        <w:rPr>
          <w:color w:val="auto"/>
          <w:cs w:val="0"/>
        </w:rPr>
      </w:pPr>
      <w:r w:rsidRPr="000E3BC2">
        <w:rPr>
          <w:cs w:val="0"/>
        </w:rPr>
        <w:t xml:space="preserve">سالمندی فرایندی طبیعی و چندبعدی است که با تغییرات تدریجی در ابعاد جسمی، روانی، شناختی و اجتماعی زندگی همراه می‌باشدسالمندی در کنار تغییرات جسمی و شناختی، با دگرگونی در نقش‌های اجتماعی و منابع حمایت نیز همراه است؛ عواملی که می‌توانند کیفیت زندگی و بهزیستی روان‌شناختی را تحت تأثیر قرار دهند. </w:t>
      </w:r>
      <w:r>
        <w:rPr>
          <w:cs w:val="0"/>
        </w:rPr>
        <w:t>امروزه مفهوم سالمندی موفق صرفاً به طول عمر یا فقدان بیماری محدود نمی‌شود، بلکه ابعادی همچون حفظ سلامت و عملکرد جسمی و شناختی، استقلال، مشارکت اجتماعی و برخورداری از بهزیستی روان‌شناختی را نیز دربرمی‌گیرد (لیو</w:t>
      </w:r>
      <w:r>
        <w:rPr>
          <w:rStyle w:val="FootnoteReference"/>
        </w:rPr>
        <w:footnoteReference w:id="14"/>
      </w:r>
      <w:r>
        <w:rPr>
          <w:cs w:val="0"/>
        </w:rPr>
        <w:t xml:space="preserve"> و همکاران، ۲۰۲۵). شواهد پژوهشی نشان می‌دهد که کیفیت تجربه سالمندی تحت تأثیر عوامل قابل تعدیلی همچون وضعیت سلامت ادراک‌شده، شرایط اقتصادی و عوامل اجتماعی قرار دارد؛ به‌گونه‌ای که در مطالعه‌ای بر سالمندان ایرانی، سلامت ادراک‌شده، کفایت درآمد و جایگاه </w:t>
      </w:r>
      <w:r>
        <w:rPr>
          <w:cs w:val="0"/>
        </w:rPr>
        <w:lastRenderedPageBreak/>
        <w:t>اجتماعی ادراک‌شده از مهم‌ترین عوامل مرتبط با سالمندی موفق بودند (محمدزاده و همکاران، ۲۰۲۴). ازاین‌رو، سالمندی را نمی‌توان صرفاً فرایندی زیستی دانست، بلکه نحوه سازگاری فرد با تغییرات این دوره و برخورداری از منابع جسمی، روانی و اجتماعی در تعیین کیفیت زندگی و بهزیستی وی اهمیت دارد. با در نظر گرفتن اهمیت سلامت روان در این دوره و افزایش نگرانی‌های مرتبط با مسائل وجودی و سلامت، در پژوهش حاضر نقش هوش معنوی و اضطراب سلامت در ارتباط با اضطراب مرگ در سالمندان مورد بررسی قرار گرفته است.</w:t>
      </w:r>
    </w:p>
    <w:p w:rsidR="008908D0" w:rsidRDefault="002D5E38" w:rsidP="00785D06">
      <w:pPr>
        <w:pStyle w:val="Heading2"/>
        <w:rPr>
          <w:cs w:val="0"/>
        </w:rPr>
      </w:pPr>
      <w:bookmarkStart w:id="8" w:name="_Toc239015094"/>
      <w:bookmarkStart w:id="9" w:name="_Toc239431971"/>
      <w:r>
        <w:rPr>
          <w:cs w:val="0"/>
        </w:rPr>
        <w:t xml:space="preserve">۱-۲- </w:t>
      </w:r>
      <w:r w:rsidRPr="00785D06">
        <w:rPr>
          <w:cs w:val="0"/>
        </w:rPr>
        <w:t>بیان</w:t>
      </w:r>
      <w:r>
        <w:rPr>
          <w:cs w:val="0"/>
        </w:rPr>
        <w:t xml:space="preserve"> مسأله</w:t>
      </w:r>
      <w:bookmarkEnd w:id="8"/>
      <w:bookmarkEnd w:id="9"/>
    </w:p>
    <w:p w:rsidR="008908D0" w:rsidRDefault="002D5E38">
      <w:pPr>
        <w:autoSpaceDE/>
        <w:autoSpaceDN/>
        <w:adjustRightInd/>
        <w:spacing w:after="0" w:line="276" w:lineRule="auto"/>
        <w:ind w:firstLine="397"/>
        <w:jc w:val="both"/>
        <w:rPr>
          <w:color w:val="auto"/>
          <w:cs w:val="0"/>
        </w:rPr>
      </w:pPr>
      <w:r>
        <w:rPr>
          <w:rFonts w:hint="cs"/>
          <w:cs w:val="0"/>
        </w:rPr>
        <w:t>سالمندی جمعیت یکی از مهم‌ترین تحولات جمعیتی قرن حاضر و از چالش‌های اساسی نظام‌های سلامت و رفاه اجتماعی در جوامع مختلف به شمار می‌رود. افزایش امید به زندگی و کاهش باروری موجب شده است که ساختار سنی جمعیت جهان به‌تدریج به سمت سنین بالاتر تغییر کند. بر اساس گزارش سازمان جهانی بهداشت</w:t>
      </w:r>
      <w:r>
        <w:rPr>
          <w:rStyle w:val="FootnoteReference"/>
        </w:rPr>
        <w:footnoteReference w:id="15"/>
      </w:r>
      <w:r>
        <w:rPr>
          <w:rFonts w:hint="cs"/>
          <w:cs w:val="0"/>
        </w:rPr>
        <w:t xml:space="preserve">، در سال ۲۰۲۳ حدود ۱٫۱ میلیارد نفر از جمعیت جهان را افراد ۶۰ ساله و بالاتر تشکیل می‌دادند و پیش‌بینی می‌شود این تعداد تا سال ۲۰۳۰ به ۱٫۴ میلیارد نفر و تا سال ۲۰۵۰ به حدود ۲٫۱ میلیارد نفر افزایش یابد. در کنار این، انتظار می‌رود تا سال ۲۰۵۰ حدود ۸۰ درصد افراد سالمند جهان در کشورهای با درآمد کم و متوسط زندگی کنند. این روند نشان‌دهنده تغییر چشمگیر ساختار جمعیتی جهان و ضرورت برنامه‌ریزی نظام‌های بهداشتی و اجتماعی برای پاسخگویی به نیازهای جمعیت سالمند است (سازمان جهانی بهداشت، ۲۰۲۵). افزایش تعداد سالمندان صرفاً یک تغییر در ساختار سنی جمعیت نیست، بلکه پیامدهای گسترده‌ای برای سلامت جسمی، روانی و اجتماعی افراد و به علاوه خانواده‌ها و نظام‌های مراقبتی به همراه دارد. سالمندی با تغییرات متعددی از جمله بازنشستگی، تغییر نقش‌های اجتماعی، کاهش تعاملات اجتماعی، فقدان همسر یا دوستان و افزایش احتمال ابتلا به بیماری‌های مزمن و محدودیت‌های عملکردی همراه است. ازاین‌رو، افزایش طول عمر به‌تنهایی به معنای برخورداری از سال‌های بیشتر همراه با سلامت و رفاه نیست و لازم است کیفیت زندگی و سلامت افراد در سال‌های سالمندی نیز مورد توجه قرار گیرد (سازمان جهانی بهداشت، ۲۰۲۵). سلامت روان بخش مهمی از سلامت و کیفیت زندگی سالمندان محسوب می‌شود. بر اساس گزارش سازمان جهانی بهداشت، در سال ۲۰۲۳ حدود ۱٫۱ میلیارد نفر در جهان ۶۰ ساله و بالاتر بودند و پیش‌بینی می‌شود این تعداد تا سال ۲۰۵۰ تقریباً دو برابر شده و به ۲٫۱ میلیارد نفر برسد. همچنین، حدود ۱۴ درصد از افراد ۷۰ </w:t>
      </w:r>
      <w:r>
        <w:rPr>
          <w:rFonts w:hint="cs"/>
          <w:cs w:val="0"/>
        </w:rPr>
        <w:lastRenderedPageBreak/>
        <w:t>ساله و بالاتر با یک اختلال روانی زندگی می‌کنند. تنهایی و انزوای اجتماعی نیز از عوامل مهم خطر برای مشکلات سلامت روان در دوران سالمندی محسوب می‌شوند. بدین ترتیب، توجه به نیازهای روانی و اجتماعی سالمندان، فراهم کردن حمایت اجتماعی و ایجاد فرصت برای مشارکت آنان در فعالیت‌های خانوادگی و اجتماعی از اهمیت ویژه‌ای برخوردار است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همین راستا، سازمان جهانی بهداشت</w:t>
      </w:r>
      <w:r>
        <w:rPr>
          <w:rStyle w:val="FootnoteReference"/>
        </w:rPr>
        <w:footnoteReference w:id="16"/>
      </w:r>
      <w:r>
        <w:rPr>
          <w:rFonts w:hint="cs"/>
          <w:cs w:val="0"/>
        </w:rPr>
        <w:t xml:space="preserve"> بر ضرورت ایجاد محیط‌های مناسب و دوستدار سالمند، ارائه مراقبت‌های یکپارچه و فردمحور و فراهم کردن دسترسی سالمندان نیازمند به خدمات مراقبت طولانی‌مدت تأکید کرده است. «دهه سالمندی سالم سازمان ملل متحد</w:t>
      </w:r>
      <w:r>
        <w:rPr>
          <w:rStyle w:val="FootnoteReference"/>
        </w:rPr>
        <w:footnoteReference w:id="17"/>
      </w:r>
      <w:r>
        <w:rPr>
          <w:rFonts w:hint="cs"/>
          <w:cs w:val="0"/>
        </w:rPr>
        <w:t xml:space="preserve"> ۲۰۲۱–۲۰۳۰» با هدف بهبود زندگی سالمندان، خانواده‌های آنان و جوامعی که در آن زندگی می‌کنند، بر افزایش توانمندی افراد سالمند و ایجاد شرایطی برای حفظ استقلال و مشارکت آنان در جامعه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ایران نیز از روند جهانی سالمندی جمعیت مستثنا نیست و با سرعت قابل توجهی در حال تجربه تغییرات جمعیتی مرتبط با سالمندی است. بر اساس اطلاعات صندوق جمعیت سازمان ملل متحد، ایران یکی از کشورهایی است که با سرعت بالایی در حال سالمند شدن است. کاهش باروری و افزایش امید به زندگی از عوامل اصلی این تحول جمعیتی در کشور به شمار می‌روند. بر اساس اطلاعات منتشرشده توسط صندوق جمعیت سازمان ملل متحد، نرخ باروری در ایران در سال ۲۰۲۲ حدود ۱٫۶ فرزند به ازای هر زن بوده است و پیش‌بینی می‌شود تا سال ۲۰۵۰، حدود ۲۷٫۹ درصد جمعیت ایران را افراد ۶۰ ساله و بالاتر تشکیل دهند. همچنین، پیش‌بینی شده است که حدود ۵۲ درصد از جمعیت سالمند ایران در آن زمان را زنان تشکیل دهند. روند شتابان سالمندی در ایران ضرورت توجه به نیازهای جسمی، روانی و اجتماعی این گروه را بیش از پیش آشکار می‌سازد. افزایش جمعیت سالمندان می‌تواند نیاز به خدمات سلامت، مراقبت‌های طولانی‌مدت، حمایت‌های اجتماعی و خدمات مرتبط با سلامت روان را افزایش دهد. ازاین‌رو، شناسایی نیازهای روانی سالمندان، تقویت حمایت‌های اجتماعی، کاهش تنهایی و انزوای اجتماعی، فراهم کردن زمینه مشارکت آنان در جامعه و حفظ استقلال و کرامت انسانی آنان نظیر ضرورت‌های مهم در برنامه‌ریزی نظام سلامت و رفاه اجتماعی کشور محسوب می‌شود. در این میان، توجه به سلامت روان سالمندان و عوامل مؤثر بر آن می‌تواند از مؤلفه‌های کلیدی در ارتقای کیفیت زندگی و دستیابی به سالمندی سالم و فعال داشته باشد. (صندوق جمعیت سازمان ملل متحد، ۲۰۲۶).</w:t>
      </w:r>
    </w:p>
    <w:p w:rsidR="008908D0" w:rsidRDefault="002D5E38">
      <w:pPr>
        <w:autoSpaceDE/>
        <w:autoSpaceDN/>
        <w:adjustRightInd/>
        <w:spacing w:after="0" w:line="276" w:lineRule="auto"/>
        <w:ind w:firstLine="397"/>
        <w:jc w:val="both"/>
        <w:rPr>
          <w:color w:val="auto"/>
          <w:cs w:val="0"/>
        </w:rPr>
      </w:pPr>
      <w:r>
        <w:rPr>
          <w:rFonts w:hint="cs"/>
          <w:cs w:val="0"/>
        </w:rPr>
        <w:lastRenderedPageBreak/>
        <w:t>اقدامات پیشگیرانه در سالمندان با هدف حفظ سلامت، پیشگیری یا به تأخیر انداختن کاهش ظرفیت‌های جسمی و روانی، حفظ استقلال و توانایی عملکردی و ارتقای کیفیت زندگی انجام می‌شوند. در رویکردهای جدید سازمان جهانی بهداشت، پیشگیری در سالمندی به‌عنوان بخشی از یک فرایند پیوسته مراقبت در نظر گرفته می‌شود که از ارتقای سلامت و پیشگیری آغاز شده و غربالگری، تشخیص و مدیریت بیماری‌ها، توانبخشی و مراقبت‌های طولانی‌مدت را نیز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پیشگیری اولیه شامل اقداماتی است که پیش از ایجاد بیماری یا ناتوانی با هدف کاهش عوامل خطر و حفظ ظرفیت‌های جسمی و روانی سالمندان انجام می‌شود. ارتقای فعالیت بدنی، تغذیه مناسب، ترک مصرف دخانیات، کاهش مصرف الکل، واکسیناسیون و ایجاد محیط‌های ایمن و دوستدار سالمند از جمله اقدامات مهم در این سطح محسوب می‌شوند. سازمان جهانی بهداشت</w:t>
      </w:r>
      <w:r>
        <w:rPr>
          <w:rStyle w:val="FootnoteReference"/>
        </w:rPr>
        <w:footnoteReference w:id="18"/>
      </w:r>
      <w:r>
        <w:rPr>
          <w:rFonts w:hint="cs"/>
          <w:cs w:val="0"/>
        </w:rPr>
        <w:t xml:space="preserve"> بر این باور است که مراقبت‌های اولیه سلامت باید خدمات جامعی همچون ارتقای سلامت، واکسیناسیون، غربالگری و پیشگیری از بیماری‌های غیرواگیر و بیماری‌های مرتبط با سالمندی را در دسترس افراد سالمند قرار دهد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ثانویه بر شناسایی زودهنگام کاهش ظرفیت‌های جسمی و روانی، عوامل خطر و بیماری‌ها و انجام مداخلات به‌موقع تمرکز دارد. در این سطح، ارزیابی منظم وضعیت سالمند، شناسایی مشکلاتی مانند کاهش تحرک، اختلالات شناختی، مشکلات تغذیه‌ای، اختلالات بینایی و شنوایی، علائم افسردگی و خطر سقوط می‌تواند امکان مداخله زودهنگام و جلوگیری از تشدید مشکلات را فراهم کند. رویکرد «مراقبت یکپارچه برای سالمندان» </w:t>
      </w:r>
      <w:r>
        <w:rPr>
          <w:rFonts w:hint="cs"/>
          <w:rtl w:val="0"/>
          <w:cs w:val="0"/>
        </w:rPr>
        <w:t>(ICOPE)</w:t>
      </w:r>
      <w:r>
        <w:rPr>
          <w:rFonts w:hint="cs"/>
          <w:cs w:val="0"/>
        </w:rPr>
        <w:t xml:space="preserve"> سازمان جهانی بهداشت بر ارزیابی فردمحور برای شناسایی کاهش ظرفیت ذاتی، نیازهای مراقبتی و حمایتی و تدوین برنامه مراقبتی متناسب با شرایط هر سالمند تأکید دارد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 xml:space="preserve">پیشگیری ثالثیه در سالمندانی اهمیت بیشتری دارد که به بیماری‌های مزمن، محدودیت عملکردی یا کاهش ظرفیت‌های جسمی و روانی مبتلا شده‌اند. هدف اصلی در این سطح، جلوگیری از تشدید بیماری و ناتوانی، حفظ بیشترین میزان استقلال و توانایی عملکردی و ارتقای کیفیت زندگی سالمند است. مدیریت بیماری‌های مزمن، اصلاح عوامل خطر، بازبینی و مدیریت داروها، مداخلات توانبخشی، حمایت روانی و اجتماعی و ارائه مراقبت‌های طولانی‌مدت متناسب با نیازهای فرد به عنوان نمونه اقداماتی هستند که می‌توانند در این زمینه مورد استفاده قرار گیرند. سازمان جهانی بهداشت تأکید می‌کند که مراقبت از سالمندان باید فردمحور، یکپارچه </w:t>
      </w:r>
      <w:r>
        <w:rPr>
          <w:rFonts w:hint="cs"/>
          <w:cs w:val="0"/>
        </w:rPr>
        <w:lastRenderedPageBreak/>
        <w:t>و مبتنی بر نیازها و ترجیحات آنان باشد و در صورت نیاز، خدمات سلامت و مراقبت اجتماعی و مراقبت‌های طولانی‌مدت را در یک پیوستار مراقبتی به یکدیگر متصل کند (سازمان جهانی بهداشت، ۲۰۲۴؛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در مجموع، رویکرد نوین به پیشگیری در سالمندان صرفاً بر پیشگیری از بیماری متمرکز نیست، بلکه هدف اساسی آن حفظ و ارتقای «ظرفیت ذاتی» و «توانایی عملکردی» سالمندان و کمک به آنان برای داشتن زندگی سالم، مستقل و باکیفیت است. بر همین اساس، سازمان جهانی بهداشت</w:t>
      </w:r>
      <w:r>
        <w:rPr>
          <w:rStyle w:val="FootnoteReference"/>
        </w:rPr>
        <w:footnoteReference w:id="19"/>
      </w:r>
      <w:r>
        <w:rPr>
          <w:rFonts w:hint="cs"/>
          <w:cs w:val="0"/>
        </w:rPr>
        <w:t xml:space="preserve"> بر حرکت نظام‌های سلامت از رویکرد بیماری‌محور به سمت مراقبت پیشگیرانه، فردمحور و یکپارچه تأکید دارد؛ رویکردی که خدمات ارتقای سلامت، پیشگیری، درمان، توانبخشی و مراقبت طولانی‌مدت را دربرمی‌گیرد (سازمان جهانی بهداشت، ۲۰۲۵).</w:t>
      </w:r>
    </w:p>
    <w:p w:rsidR="008908D0" w:rsidRDefault="002D5E38">
      <w:pPr>
        <w:autoSpaceDE/>
        <w:autoSpaceDN/>
        <w:adjustRightInd/>
        <w:spacing w:after="0" w:line="276" w:lineRule="auto"/>
        <w:ind w:firstLine="397"/>
        <w:jc w:val="both"/>
        <w:rPr>
          <w:color w:val="auto"/>
          <w:cs w:val="0"/>
        </w:rPr>
      </w:pPr>
      <w:r>
        <w:rPr>
          <w:rFonts w:hint="cs"/>
          <w:cs w:val="0"/>
        </w:rPr>
        <w:t>یکی از متغیرهای مرتبط با اضطراب مرگ در سالمندان، هوش معنوی است. هوش معنوی به ظرفیت فرد برای درک معنا و هدف زندگی، استفاده از منابع معنوی در مواجهه با مسائل و چالش‌های زندگی و ایجاد نگرشی عمیق‌تر نسبت به وجود و تجربه‌های انسانی اشاره دارد. این نوع هوش می‌تواند به فرد کمک کند تا در مواجهه با رویدادهای دشوار زندگی، نظیر بیماری، فقدان و آگاهی از مرگ، معنا و انسجام بیشتری در تجربیات خود ایجاد کند. دوران سالمندی با تغییرات و چالش‌های مختلفی از جمله کاهش توانایی‌های جسمی، تغییر نقش‌های اجتماعی، تجربه فقدان نزدیکان و افزایش آگاهی از محدودیت زمان زندگی همراه است. این شرایط می‌تواند مسیر هموار برای افزایش نگرانی و اضطراب مرتبط با مرگ شود. در چنین شرایطی، برخورداری از منابع معنوی و توانایی یافتن معنا و هدف در زندگی می‌تواند به سالمندان در سازگاری با چالش‌های این دوره و مواجهه مناسب‌تر با مسئله مرگ کمک کند. به علاوه، جست‌وجوی معنا در زندگی و برخورداری از تاب‌آوری می‌تواند در نحوه مواجهه سالمندان با اضطراب مرگ نقش داشته باشد (یوسفی افراشته، فرتاش و ابوترابی، ۲۰۲۵).</w:t>
      </w:r>
    </w:p>
    <w:p w:rsidR="008908D0" w:rsidRDefault="002D5E38">
      <w:pPr>
        <w:autoSpaceDE/>
        <w:autoSpaceDN/>
        <w:adjustRightInd/>
        <w:spacing w:after="0" w:line="276" w:lineRule="auto"/>
        <w:ind w:firstLine="397"/>
        <w:jc w:val="both"/>
        <w:rPr>
          <w:color w:val="auto"/>
          <w:cs w:val="0"/>
        </w:rPr>
      </w:pPr>
      <w:r>
        <w:rPr>
          <w:rFonts w:hint="cs"/>
          <w:cs w:val="0"/>
        </w:rPr>
        <w:t xml:space="preserve">در پژوهشی که توسط یوسفی افراشته، فرتاش و ابوترابی در سال ۲۰۲۵ انجام شد، رابطه بین هوش معنوی و اضطراب مرگ با نقش میانجی جست‌وجوی معنا در زندگی و تاب‌آوری در سالمندان ایرانی بررسی شد. این پژوهش به روش توصیفی ـ همبستگی بر روی ۳۴۸ فرد سالمند بالای ۶۰ سال در شهر زنجان انجام گرفت. یافته‌های پژوهش نشان داد که بین هوش معنوی و اضطراب مرگ رابطه منفی و معناداری وجود دارد؛ </w:t>
      </w:r>
      <w:r>
        <w:rPr>
          <w:rFonts w:hint="cs"/>
          <w:cs w:val="0"/>
        </w:rPr>
        <w:lastRenderedPageBreak/>
        <w:t>به این معنا که با افزایش هوش معنوی، میزان اضطراب مرگ کاهش می‌یابد. در کنار این، جست‌وجوی معنا در زندگی و تاب‌آوری در رابطه میان هوش معنوی و اضطراب مرگ نقش میانجی داشتند. این یافته‌ها نشان می‌دهد که برخورداری از منابع معنوی، یافتن معنا در زندگی و توانایی سازگاری با شرایط دشوار می‌تواند در کاهش اضطراب مرگ سالمندان نقش داشته باشد (یوسفی افراشته و همکاران، ۲۰۲۵). بر این اساس، هوش معنوی می‌تواند به‌عنوان یکی از عوامل روان‌شناختی مهم در نحوه مواجهه سالمندان با مسئله مرگ مورد توجه قرار گیرد. توانایی یافتن معنا و هدف در زندگی، برخورداری از نگرش معنوی و استفاده از منابع درونی برای مواجهه با چالش‌های زندگی ممکن است به سالمندان کمک کند تا نگرش سازگارانه‌تری نسبت به مرگ داشته باشند و اضطراب ناشی از آن را کاهش دهند. بر همین اساس، بررسی هوش معنوی و ارتباط آن با اضطراب مرگ می‌تواند در شناخت عوامل مؤثر بر سلامت روان سالمندان و طراحی مداخلات روان‌شناختی و معنوی متناسب با نیازهای این گروه اهمیت داشته باشد (یوسفی افراشته و همکاران، ۲۰۲۵).</w:t>
      </w:r>
    </w:p>
    <w:p w:rsidR="008908D0" w:rsidRDefault="002D5E38">
      <w:pPr>
        <w:autoSpaceDE/>
        <w:autoSpaceDN/>
        <w:adjustRightInd/>
        <w:spacing w:after="0" w:line="276" w:lineRule="auto"/>
        <w:ind w:firstLine="397"/>
        <w:jc w:val="both"/>
        <w:rPr>
          <w:color w:val="auto"/>
          <w:cs w:val="0"/>
        </w:rPr>
      </w:pPr>
      <w:r>
        <w:rPr>
          <w:rFonts w:hint="cs"/>
          <w:cs w:val="0"/>
        </w:rPr>
        <w:t>دیگر متغیری که در پژوهش حاضر در ارتباط با اضطراب مرگ در سالمندان مورد بررسی قرار گرفت، اضطراب سلامت می‌باشد. دوران سالمندی با تغییرات جسمی، روانی و اجتماعی و افزایش احتمال ابتلا به بیماری‌های مزمن همراه است و این شرایط می‌تواند توجه و نگرانی افراد نسبت به وضعیت سلامت خود را افزایش دهد. اضطراب سلامت به نگرانی مداوم و بیش از حد درباره ابتلا به بیماری یا احتمال ابتلا به یک بیماری جدی اشاره دارد؛ به‌گونه‌ای که فرد ممکن است احساسات و نشانه‌های جسمانی معمول را به‌عنوان نشانه‌ای از بیماری جدی تفسیر کند و درگیر جست‌وجوی مکرر اطمینان یا دریافت خدمات پزشکی شود. در شکل شدید، این وضعیت می‌تواند به صورت اختلال اضطراب بیماری بروز کند که مشخصه اصلی آن اشتغال ذهنی و نگرانی قابل توجه درباره ابتلا به بیماری جدی است، حتی در شرایطی که شواهد پزشکی کافی برای وجود چنین بیماری‌ای وجود نداشته باشد (کیکاس</w:t>
      </w:r>
      <w:r>
        <w:rPr>
          <w:rStyle w:val="FootnoteReference"/>
        </w:rPr>
        <w:footnoteReference w:id="20"/>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اضطراب سلامت در سالمندان از اهمیت ویژه‌ای برخوردار است؛ زیرا افزایش سن معمولاً با افزایش بیماری‌های جسمی، چندبیماری، محدودیت‌های عملکردی و تغییرات روانی ـ اجتماعی همراه است و این عوامل می‌توانند نگرانی‌های مرتبط با سلامت و علائم اضطرابی را تشدید کنند. شواهد حاصل از یک مرور نظام‌مند و فراتحلیل نشان داده است که بیماری‌های جسمی و چندبیماری، حمایت اجتماعی پایین و انزوای اجتماعی برای نمونه عوامل مرتبط با افزایش علائم اضطرابی در سالمندان هستند (شفیعی و همکاران، ۲۰۲۵). </w:t>
      </w:r>
      <w:r>
        <w:rPr>
          <w:rFonts w:hint="cs"/>
          <w:cs w:val="0"/>
        </w:rPr>
        <w:lastRenderedPageBreak/>
        <w:t>در ضمن، انزوای اجتماعی و کاهش روابط و حمایت‌های اجتماعی در دوران سالمندی، که می‌تواند در پی عواملی مانند زندگی تنها یا فقدان همسر رخ دهد، با پیامدهای نامطلوب روانی و سلامت مرتبط است (وانگ</w:t>
      </w:r>
      <w:r>
        <w:rPr>
          <w:rStyle w:val="FootnoteReference"/>
        </w:rPr>
        <w:footnoteReference w:id="21"/>
      </w:r>
      <w:r>
        <w:rPr>
          <w:rFonts w:hint="cs"/>
          <w:cs w:val="0"/>
        </w:rPr>
        <w:t xml:space="preserve"> و همکاران، ۲۰۲۴). از سوی دیگر، اضطراب و اختلالات اضطرابی در سالمندان ممکن است کمتر شناسایی شوند و بنابراین، نیاز به ارزیابی دقیق‌تر وضعیت روانی این گروه و توجه به عوامل جسمی و اجتماعی مرتبط با اضطراب وجود دارد (اتچیسون</w:t>
      </w:r>
      <w:r>
        <w:rPr>
          <w:rStyle w:val="FootnoteReference"/>
        </w:rPr>
        <w:footnoteReference w:id="22"/>
      </w:r>
      <w:r>
        <w:rPr>
          <w:rFonts w:hint="cs"/>
          <w:cs w:val="0"/>
        </w:rPr>
        <w:t xml:space="preserve"> و همکاران، ۲۰۲۴). بنابراین، نظر به هم‌زمانی تغییرات جسمی و روانی و اهمیت حمایت اجتماعی در دوران سالمندی، بررسی اضطراب سلامت در این گروه می‌تواند در شناخت بهتر عوامل مؤثر بر سلامت روان و کیفیت زندگی آنان و نیز در طراحی برنامه‌های مناسب پیشگیری و مداخله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بر این اساس، شناسایی عوامل مرتبط با اضطراب سلامت در سالمندان می‌تواند در طراحی برنامه‌های پیشگیرانه و مداخلات مناسب برای ارتقای سلامت روان این گروه اهمیت داشته باشد. در کنار اضطراب سلامت، اضطراب مرگ نیز از جمله مسائل مهم روان‌شناختی در دوران سالمندی است. اضطراب مرگ به نگرانی، ترس یا اشتغال ذهنی فرد نسبت به مرگ و فرایند مردن اشاره دارد و شدت آن می‌تواند تحت تأثیر عوامل جسمی، روان‌شناختی، اجتماعی و معنوی قرار گیرد. افزایش آگاهی از محدودیت زمان زندگی، تجربه بیماری‌های مزمن، کاهش توانایی‌های جسمانی، از دست دادن افراد نزدیک و تغییرات اجتماعی دوران سالمندی می‌تواند زمینه توجه بیشتر به مسئله مرگ را فراهم کند. یافته‌های پژوهشی جدید روشن می‌سازد که اضطراب مرگ در سالمندان با متغیرهایی مانند معنا و هدف زندگی، تاب‌آوری و هوش معنوی ارتباط دارد. در مطالعه‌ای که بر روی ۳۴۸ سالمند ایرانی انجام شد، بین هوش معنوی و اضطراب مرگ رابطه منفی و معناداری مشاهده شد؛ به‌گونه‌ای که سالمندان دارای هوش معنوی بالاتر، اضطراب مرگ پایین‌تری داشتند. در ضمن، معنا در زندگی و تاب‌آوری در رابطه میان هوش معنوی و اضطراب مرگ نقش میانجی داشتند (یوسفی افراشته، فرتاش و ابوترابی، ۲۰۲۵). ازاین‌رو، بررسی اضطراب مرگ در سالمندان و شناسایی عوامل روان‌شناختی مرتبط با آن می‌تواند در شناخت بهتر نیازهای این گروه و طراحی مداخلات مؤثر برای ارتقای سلامت روان و کیفیت زندگی آنان اهمیت داشته باشد.</w:t>
      </w:r>
    </w:p>
    <w:p w:rsidR="008908D0" w:rsidRDefault="002D5E38">
      <w:pPr>
        <w:autoSpaceDE/>
        <w:autoSpaceDN/>
        <w:adjustRightInd/>
        <w:spacing w:after="0" w:line="276" w:lineRule="auto"/>
        <w:ind w:firstLine="397"/>
        <w:jc w:val="both"/>
        <w:rPr>
          <w:color w:val="auto"/>
          <w:cs w:val="0"/>
        </w:rPr>
      </w:pPr>
      <w:r>
        <w:rPr>
          <w:rFonts w:hint="cs"/>
          <w:cs w:val="0"/>
        </w:rPr>
        <w:t>با نگاه به مطالب ارائه شده پژوهش حاضر در پی این سوال است که آیا ارتباطی بین هوش معنوی، اضطراب سلامتی با اضطراب مرگ در سالمندان وجود دارد؟</w:t>
      </w:r>
    </w:p>
    <w:p w:rsidR="008908D0" w:rsidRDefault="002D5E38">
      <w:pPr>
        <w:pStyle w:val="Heading2"/>
        <w:spacing w:before="240" w:after="100"/>
        <w:rPr>
          <w:cs w:val="0"/>
        </w:rPr>
      </w:pPr>
      <w:bookmarkStart w:id="10" w:name="_Toc239015095"/>
      <w:bookmarkStart w:id="11" w:name="_Toc239431972"/>
      <w:r>
        <w:rPr>
          <w:cs w:val="0"/>
        </w:rPr>
        <w:lastRenderedPageBreak/>
        <w:t>۱-۳- اهمیت و ضرورت پژوهش</w:t>
      </w:r>
      <w:bookmarkEnd w:id="10"/>
      <w:bookmarkEnd w:id="11"/>
    </w:p>
    <w:p w:rsidR="008908D0" w:rsidRDefault="002D5E38">
      <w:pPr>
        <w:spacing w:after="0" w:line="276" w:lineRule="auto"/>
        <w:ind w:firstLine="397"/>
        <w:jc w:val="both"/>
        <w:rPr>
          <w:color w:val="auto"/>
          <w:cs w:val="0"/>
        </w:rPr>
      </w:pPr>
      <w:r>
        <w:rPr>
          <w:rFonts w:hint="cs"/>
          <w:cs w:val="0"/>
        </w:rPr>
        <w:t>امروزه موضوع سالمندی و پیری جمعیت یکی از مسائل بسیار مهمی است که در اکثر کشورها مورد توجه قرار می‌گیرد. پیر شدن جمعیت به ویژه جمعیت کهنسالان برای کشورهایی که به دنبال فراهم آوردن امنیت و رفاه برای تعداد رو به رشد افراد سالمند خود هستند، چالشی واقعی محسوب می‌شود. مسأله سالمندی جمعیت جهان که به دلایل مهمی مانند کاهش مرگ و میر ناشی از پیشرفت علوم پزشکی، بهداشت، آموزش و پرورش در نتیجه افزایش نرخ امید به زندگی و طول عمر در سطح جهانی مطرح شده پدیده نسبتاً نوینی است. از آنجا که این پدیده در کلیه جنبه های زندگی جوامع بشری، از جمله در طیف گسترده ای از ساختارهای سنتی ارزش‌ها و هنجارها و ایجاد سازمان‌های اجتماعی تحولات قابل ملاحظه ای به وجود می‌آورد لذا مقابله با چالش‌های فرارو این پدیده و استفاده از تدابیر مناسب در جمعیت، ارتقاء وضعیت جسمی، روحی و اجتماعی سالمندان از اهمیت والایی برخوردار بوده و در دستور کار جامعه بین المللی قرار گرفته است. تداوم حیات مادی و معنوی یک جامعه مستلزم اتخاذ نگرشی اجتماعی و مسئولانه به ضرورت برقراری نظام جامع رفاه اجتماعی به صورت فراگیر است؛ نظامی که شاید بتوان آن را مهم ترین سازوکار برقراری عدالت اجتماعی دانست. واقعیت امر این است که بهبود رفاه اجتماعی و تأمین زندگی و سلامت اجتماعی، در صدر مسائل جامعه ایرانی قرار دارد که باید با در نظر گرفتن ویژگی‌های خود این جامعه مورد توجـه جـدی قرار گیرد.</w:t>
      </w:r>
    </w:p>
    <w:p w:rsidR="008908D0" w:rsidRDefault="002D5E38">
      <w:pPr>
        <w:spacing w:after="0" w:line="276" w:lineRule="auto"/>
        <w:ind w:firstLine="397"/>
        <w:jc w:val="both"/>
        <w:rPr>
          <w:color w:val="auto"/>
          <w:cs w:val="0"/>
        </w:rPr>
      </w:pPr>
      <w:r>
        <w:rPr>
          <w:rFonts w:hint="cs"/>
          <w:cs w:val="0"/>
        </w:rPr>
        <w:t xml:space="preserve">از دلایل ضرورت بررسی وضعیت اجتماعی سالمندان این است که آنها با توجه به رویدادهایی مانند بازنشستگی و پایان اشتغال احساس تنهایی، طرد شدگی و همچنین فشار ناشی از صنعتی شدن جوامع که به جدایی عاطفی و روانی افراد منجر می‌شود در معرض خطرات فزاینده ای قرار می‌گیرند. در ایران نیز طی سال‌های اخیر توجه دولت بیشتر معطوف به سیاست گذاری های رفاه اجتماعی و اجرای برنامه هایی جهت کاهش فقر، ایجاد برابری و عدالت اجتماعی بوده است. معمول است که در مطالعات سالمندی بیشتر به ابعاد جسمی و بیولوژیک سلامت سالمندان توجه شده و به جنبه های بسیار مهم روانشناختی سالمندان توجه کمتری می‌شود. این در حالی است که بعد روانی زندگی تأثیر به سزایی در سلامت افراد مخصوصاً سالمندان دارد، از طرفی جمعیت سالمندان نسبت به کل جمعیت از رشد سریع‌تری برخوردار است و پیش بینی می‌شود که جمعیت سالمند در جهان در سال ۲۰۵۰ به دو میلیارد نفر برسد. در ایران نیز به تدریج بر نسبت افراد میانسال افزوده شده و در حال حاضر ۹ میلیون از جمعیت کشور را سالمندان تشکیل می‌دهند. که این میزان </w:t>
      </w:r>
      <w:r>
        <w:rPr>
          <w:rFonts w:hint="cs"/>
          <w:cs w:val="0"/>
        </w:rPr>
        <w:lastRenderedPageBreak/>
        <w:t>تا سال ۱۴۲۹، جمعیت سالمندان کشور به ۲۵ درصد (۲۷میلیون نفر) خواهد رسید، این ارقام بیانگر این نکته است که اگر برنامه ریزان و سیاست‌گذاران کشور از هم اکنون برنامه مدون و خاصی برای این قشر نداشته باشند در آینده کشور با یک بحران و معضل اساسی برای رفع مشکل و مسائل پیش آمده ناشی از مسائل اقتصادی، بهداشتی، اجتماعی و غیره روبه رو می‌شود . لذا برای رسیدن به سالمندی فعال و سالم می‌بایست علاوه بر ابعاد فیزیولوژیک و جسمانی سالمندان سایر ابعاد بهداشت روحی، اجتماعی، اقتصادی و معنوی زندگی آنها نیز مورد توجه قرار گیرد. مسائل روانشناختی می‌تواند زندگی سالمندان و سلامت جسمانی و روانی آنان اثرات جدی داشته باشد. بنابراین انجام چنین پژوهشهای لازم و ضرورت می یابد.</w:t>
      </w:r>
    </w:p>
    <w:p w:rsidR="008908D0" w:rsidRDefault="002D5E38">
      <w:pPr>
        <w:pStyle w:val="Heading2"/>
        <w:spacing w:before="240" w:after="100"/>
        <w:rPr>
          <w:cs w:val="0"/>
        </w:rPr>
      </w:pPr>
      <w:bookmarkStart w:id="12" w:name="_Toc239015096"/>
      <w:bookmarkStart w:id="13" w:name="_Toc239431973"/>
      <w:r>
        <w:rPr>
          <w:cs w:val="0"/>
        </w:rPr>
        <w:t>۱-۴- اهداف پژوهش</w:t>
      </w:r>
      <w:bookmarkEnd w:id="12"/>
      <w:bookmarkEnd w:id="13"/>
    </w:p>
    <w:p w:rsidR="008908D0" w:rsidRDefault="002D5E38" w:rsidP="006E448F">
      <w:pPr>
        <w:pStyle w:val="Heading3"/>
        <w:rPr>
          <w:cs w:val="0"/>
        </w:rPr>
      </w:pPr>
      <w:bookmarkStart w:id="14" w:name="_Toc239015097"/>
      <w:bookmarkStart w:id="15" w:name="_Toc239431974"/>
      <w:r>
        <w:rPr>
          <w:cs w:val="0"/>
        </w:rPr>
        <w:t>۱-۴-۱- هدف اصلی:</w:t>
      </w:r>
      <w:bookmarkEnd w:id="14"/>
      <w:bookmarkEnd w:id="15"/>
    </w:p>
    <w:p w:rsidR="008908D0" w:rsidRDefault="002D5E38">
      <w:pPr>
        <w:autoSpaceDE/>
        <w:autoSpaceDN/>
        <w:adjustRightInd/>
        <w:spacing w:after="0" w:line="276" w:lineRule="auto"/>
        <w:ind w:firstLine="397"/>
        <w:jc w:val="both"/>
        <w:rPr>
          <w:color w:val="auto"/>
          <w:cs w:val="0"/>
        </w:rPr>
      </w:pPr>
      <w:r>
        <w:rPr>
          <w:rFonts w:hint="cs"/>
          <w:cs w:val="0"/>
        </w:rPr>
        <w:t>- تعیین رابطه هوش معنوی و اضطراب سلامتی با اضطراب مرگ در سالمندان</w:t>
      </w:r>
    </w:p>
    <w:p w:rsidR="008908D0" w:rsidRDefault="002D5E38">
      <w:pPr>
        <w:pStyle w:val="Heading3"/>
        <w:autoSpaceDE/>
        <w:autoSpaceDN/>
        <w:adjustRightInd/>
        <w:spacing w:before="240" w:after="100"/>
        <w:rPr>
          <w:cs w:val="0"/>
        </w:rPr>
      </w:pPr>
      <w:bookmarkStart w:id="16" w:name="_Toc239015098"/>
      <w:bookmarkStart w:id="17" w:name="_Toc239431975"/>
      <w:r>
        <w:rPr>
          <w:cs w:val="0"/>
        </w:rPr>
        <w:t>۱-۴-۲- اهداف فرعی:</w:t>
      </w:r>
      <w:bookmarkEnd w:id="16"/>
      <w:bookmarkEnd w:id="17"/>
    </w:p>
    <w:p w:rsidR="008908D0" w:rsidRDefault="002D5E38">
      <w:pPr>
        <w:autoSpaceDE/>
        <w:autoSpaceDN/>
        <w:adjustRightInd/>
        <w:spacing w:after="0" w:line="276" w:lineRule="auto"/>
        <w:ind w:firstLine="397"/>
        <w:jc w:val="both"/>
        <w:rPr>
          <w:color w:val="auto"/>
          <w:cs w:val="0"/>
        </w:rPr>
      </w:pPr>
      <w:r>
        <w:rPr>
          <w:rFonts w:hint="cs"/>
          <w:cs w:val="0"/>
        </w:rPr>
        <w:t>- تعیین رابطه بین هوش معنوی و اضطراب مرگ در سالمندان</w:t>
      </w:r>
    </w:p>
    <w:p w:rsidR="008908D0" w:rsidRDefault="002D5E38">
      <w:pPr>
        <w:autoSpaceDE/>
        <w:autoSpaceDN/>
        <w:adjustRightInd/>
        <w:spacing w:after="0" w:line="276" w:lineRule="auto"/>
        <w:ind w:firstLine="397"/>
        <w:jc w:val="both"/>
        <w:rPr>
          <w:color w:val="auto"/>
          <w:cs w:val="0"/>
        </w:rPr>
      </w:pPr>
      <w:r>
        <w:rPr>
          <w:rFonts w:hint="cs"/>
          <w:cs w:val="0"/>
        </w:rPr>
        <w:t>- تعیین رابطه بین اضطراب سلامتی و اضطراب مرگ در سالمندان</w:t>
      </w:r>
    </w:p>
    <w:p w:rsidR="008908D0" w:rsidRDefault="002D5E38">
      <w:pPr>
        <w:pStyle w:val="Heading2"/>
        <w:spacing w:before="240" w:after="100"/>
        <w:rPr>
          <w:cs w:val="0"/>
        </w:rPr>
      </w:pPr>
      <w:bookmarkStart w:id="18" w:name="_Toc239015099"/>
      <w:bookmarkStart w:id="19" w:name="_Toc239431976"/>
      <w:r>
        <w:rPr>
          <w:cs w:val="0"/>
        </w:rPr>
        <w:t>۱-۵- فرضیه‌های پژوهش</w:t>
      </w:r>
      <w:bookmarkEnd w:id="18"/>
      <w:bookmarkEnd w:id="19"/>
    </w:p>
    <w:p w:rsidR="008908D0" w:rsidRDefault="002D5E38">
      <w:pPr>
        <w:pStyle w:val="Heading3"/>
        <w:spacing w:before="240" w:after="100"/>
        <w:rPr>
          <w:cs w:val="0"/>
        </w:rPr>
      </w:pPr>
      <w:bookmarkStart w:id="20" w:name="_Toc239015100"/>
      <w:bookmarkStart w:id="21" w:name="_Toc239431977"/>
      <w:r>
        <w:rPr>
          <w:cs w:val="0"/>
        </w:rPr>
        <w:t>۱-۵-۱- فرضیه اصلی:</w:t>
      </w:r>
      <w:bookmarkEnd w:id="20"/>
      <w:bookmarkEnd w:id="21"/>
    </w:p>
    <w:p w:rsidR="008908D0" w:rsidRDefault="002D5E38">
      <w:pPr>
        <w:spacing w:after="0" w:line="276" w:lineRule="auto"/>
        <w:ind w:firstLine="397"/>
        <w:jc w:val="both"/>
        <w:rPr>
          <w:rFonts w:ascii="B Lotus"/>
          <w:color w:val="auto"/>
          <w:cs w:val="0"/>
        </w:rPr>
      </w:pPr>
      <w:r>
        <w:rPr>
          <w:rFonts w:hint="cs"/>
          <w:cs w:val="0"/>
        </w:rPr>
        <w:t>- بین هوش معنوی و اضطراب سلامتی با اضطراب مرگ در سالمندان رابطه وجود دارد.</w:t>
      </w:r>
    </w:p>
    <w:p w:rsidR="008908D0" w:rsidRDefault="002D5E38">
      <w:pPr>
        <w:pStyle w:val="Heading3"/>
        <w:spacing w:before="240" w:after="100"/>
        <w:rPr>
          <w:cs w:val="0"/>
        </w:rPr>
      </w:pPr>
      <w:bookmarkStart w:id="22" w:name="_Toc239015101"/>
      <w:bookmarkStart w:id="23" w:name="_Toc239431978"/>
      <w:r>
        <w:rPr>
          <w:cs w:val="0"/>
        </w:rPr>
        <w:t>۱-۵-۲- فرضیه‌های فرعی:</w:t>
      </w:r>
      <w:bookmarkEnd w:id="22"/>
      <w:bookmarkEnd w:id="23"/>
    </w:p>
    <w:p w:rsidR="008908D0" w:rsidRDefault="002D5E38">
      <w:pPr>
        <w:spacing w:after="0" w:line="276" w:lineRule="auto"/>
        <w:ind w:firstLine="397"/>
        <w:jc w:val="both"/>
        <w:rPr>
          <w:rFonts w:ascii="B Lotus"/>
          <w:color w:val="auto"/>
          <w:cs w:val="0"/>
        </w:rPr>
      </w:pPr>
      <w:r>
        <w:rPr>
          <w:rFonts w:hint="cs"/>
          <w:cs w:val="0"/>
        </w:rPr>
        <w:t>- بین هوش معنوی و اضطراب مرگ در سالمندان رابطه وجود دارد.</w:t>
      </w:r>
    </w:p>
    <w:p w:rsidR="008908D0" w:rsidRDefault="002D5E38">
      <w:pPr>
        <w:spacing w:after="0" w:line="276" w:lineRule="auto"/>
        <w:ind w:firstLine="397"/>
        <w:jc w:val="both"/>
        <w:rPr>
          <w:rFonts w:ascii="B Lotus"/>
          <w:color w:val="auto"/>
          <w:cs w:val="0"/>
        </w:rPr>
      </w:pPr>
      <w:r>
        <w:rPr>
          <w:rFonts w:hint="cs"/>
          <w:cs w:val="0"/>
        </w:rPr>
        <w:t>- بین اضطراب سلامتی و اضطراب مرگ در سالمندان رابطه وجود دارد.</w:t>
      </w:r>
    </w:p>
    <w:p w:rsidR="008908D0" w:rsidRPr="005B67C1" w:rsidRDefault="002D5E38" w:rsidP="005B67C1">
      <w:pPr>
        <w:pStyle w:val="Heading2"/>
        <w:rPr>
          <w:cs w:val="0"/>
        </w:rPr>
      </w:pPr>
      <w:bookmarkStart w:id="24" w:name="_Toc239015102"/>
      <w:bookmarkStart w:id="25" w:name="_Toc239431979"/>
      <w:r w:rsidRPr="005B67C1">
        <w:rPr>
          <w:cs w:val="0"/>
        </w:rPr>
        <w:lastRenderedPageBreak/>
        <w:t>۱-۶- تعاریف نظری و عملیاتی متغیرها</w:t>
      </w:r>
      <w:bookmarkEnd w:id="24"/>
      <w:bookmarkEnd w:id="25"/>
    </w:p>
    <w:p w:rsidR="008908D0" w:rsidRPr="005B67C1" w:rsidRDefault="002D5E38" w:rsidP="005B67C1">
      <w:pPr>
        <w:pStyle w:val="Heading3"/>
        <w:rPr>
          <w:cs w:val="0"/>
        </w:rPr>
      </w:pPr>
      <w:bookmarkStart w:id="26" w:name="_Toc239015103"/>
      <w:bookmarkStart w:id="27" w:name="_Toc239431980"/>
      <w:r w:rsidRPr="005B67C1">
        <w:rPr>
          <w:cs w:val="0"/>
        </w:rPr>
        <w:t>۱-۶-۱- تعاریف نظری متغیرها</w:t>
      </w:r>
      <w:bookmarkEnd w:id="26"/>
      <w:bookmarkEnd w:id="27"/>
    </w:p>
    <w:p w:rsidR="008908D0" w:rsidRDefault="002D5E38">
      <w:pPr>
        <w:spacing w:after="0" w:line="276" w:lineRule="auto"/>
        <w:ind w:firstLine="397"/>
        <w:jc w:val="both"/>
        <w:rPr>
          <w:rFonts w:ascii="B Lotus"/>
          <w:color w:val="auto"/>
          <w:cs w:val="0"/>
        </w:rPr>
      </w:pPr>
      <w:r>
        <w:rPr>
          <w:rFonts w:hint="cs"/>
          <w:cs w:val="0"/>
        </w:rPr>
        <w:t>تعریف عملیاتی هوش معنوی: منظور از هوش معنوی در پژوهش حاضر، توانایی فرد در بهره‌گیری از منابع درونی و معنوی جهت معنا بخشیدن به تجربیات زیسته، رویارویی سازنده با مشکلات و دستیابی به بینشی ژرف‌تر درباره هستی و مسائل بنیادین بشری است که از طریق نمره کسب‌شده در پرسشنامه هوش معنوی کینگ سنجیده می‌شود.</w:t>
      </w:r>
    </w:p>
    <w:p w:rsidR="008908D0" w:rsidRDefault="002D5E38">
      <w:pPr>
        <w:spacing w:after="0" w:line="276" w:lineRule="auto"/>
        <w:ind w:firstLine="397"/>
        <w:jc w:val="both"/>
        <w:rPr>
          <w:color w:val="auto"/>
          <w:cs w:val="0"/>
        </w:rPr>
      </w:pPr>
      <w:r>
        <w:rPr>
          <w:rFonts w:hint="cs"/>
          <w:cs w:val="0"/>
        </w:rPr>
        <w:t>اضطراب سلامتی: نوعی نگرانی و اشتغال ذهنی افراطی و مداوم درباره ابتلا به یک بیماری جدی یا احتمال ابتلا به آن است که ممکن است حتی در شرایطی که علائم جسمانی قابل‌توجه یا شواهد پزشکی کافی برای وجود بیماری وجود ندارد، ادامه یابد (کیکاس</w:t>
      </w:r>
      <w:r>
        <w:rPr>
          <w:rStyle w:val="FootnoteReference"/>
        </w:rPr>
        <w:footnoteReference w:id="23"/>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اضطراب مرگ: اضطراب مرگ مفهومی مهم در حوزه سلامت روان است و به ترس، نگرانی و اضطراب افراطی و غیرمنطقی درباره مرگ، فرایند مردن یا آنچه پس از مرگ رخ می‌دهد اشاره دارد (یوسفی افراشته و همکاران، ۲۰۲۵).</w:t>
      </w:r>
    </w:p>
    <w:p w:rsidR="008908D0" w:rsidRDefault="002D5E38">
      <w:pPr>
        <w:pStyle w:val="Heading3"/>
        <w:spacing w:before="240" w:after="100"/>
        <w:rPr>
          <w:cs w:val="0"/>
        </w:rPr>
      </w:pPr>
      <w:bookmarkStart w:id="28" w:name="_Toc239015104"/>
      <w:bookmarkStart w:id="29" w:name="_Toc239431981"/>
      <w:r>
        <w:rPr>
          <w:cs w:val="0"/>
        </w:rPr>
        <w:t>۱-۶-۲- تعاریف عملیاتی متغیرها</w:t>
      </w:r>
      <w:bookmarkEnd w:id="28"/>
      <w:bookmarkEnd w:id="29"/>
    </w:p>
    <w:p w:rsidR="008908D0" w:rsidRDefault="002D5E38">
      <w:pPr>
        <w:spacing w:after="0" w:line="276" w:lineRule="auto"/>
        <w:ind w:firstLine="397"/>
        <w:jc w:val="both"/>
        <w:rPr>
          <w:rFonts w:ascii="B Lotus"/>
          <w:color w:val="auto"/>
          <w:cs w:val="0"/>
        </w:rPr>
      </w:pPr>
      <w:r>
        <w:rPr>
          <w:rFonts w:hint="cs"/>
          <w:cs w:val="0"/>
        </w:rPr>
        <w:t>هوش معنوی: در این پژوهش منظور از هوش معنوی، نمره ای است که فرد در پرسشنامه هوش معنوی. کینگ</w:t>
      </w:r>
      <w:r>
        <w:rPr>
          <w:rStyle w:val="FootnoteReference"/>
        </w:rPr>
        <w:footnoteReference w:id="24"/>
      </w:r>
      <w:r>
        <w:rPr>
          <w:rFonts w:hint="cs"/>
          <w:cs w:val="0"/>
        </w:rPr>
        <w:t xml:space="preserve"> (۲۰۰۰) کسب می کند.</w:t>
      </w:r>
    </w:p>
    <w:p w:rsidR="008908D0" w:rsidRDefault="002D5E38">
      <w:pPr>
        <w:spacing w:after="0" w:line="276" w:lineRule="auto"/>
        <w:ind w:firstLine="397"/>
        <w:jc w:val="both"/>
        <w:rPr>
          <w:rFonts w:ascii="B Lotus"/>
          <w:color w:val="auto"/>
          <w:cs w:val="0"/>
        </w:rPr>
      </w:pPr>
      <w:r>
        <w:rPr>
          <w:rFonts w:hint="cs"/>
          <w:cs w:val="0"/>
        </w:rPr>
        <w:t>اضطراب سلامتی: در این پژوهش منظور از اضطراب سلامتی، نمره ای است که فرد در پرسشنامه اضطراب سلامتی</w:t>
      </w:r>
      <w:r>
        <w:rPr>
          <w:rStyle w:val="FootnoteReference"/>
        </w:rPr>
        <w:footnoteReference w:id="25"/>
      </w:r>
      <w:r>
        <w:rPr>
          <w:rFonts w:hint="cs"/>
          <w:cs w:val="0"/>
        </w:rPr>
        <w:t xml:space="preserve"> کسب می کند.</w:t>
      </w:r>
    </w:p>
    <w:p w:rsidR="008908D0" w:rsidRDefault="002D5E38">
      <w:pPr>
        <w:spacing w:after="0" w:line="276" w:lineRule="auto"/>
        <w:ind w:firstLine="397"/>
        <w:jc w:val="both"/>
        <w:rPr>
          <w:rFonts w:ascii="B Lotus"/>
          <w:color w:val="auto"/>
          <w:cs w:val="0"/>
        </w:rPr>
      </w:pPr>
      <w:r>
        <w:rPr>
          <w:rFonts w:hint="cs"/>
          <w:cs w:val="0"/>
        </w:rPr>
        <w:t>اضطراب مرگ: در این پژوهش منظور از اضطراب مرگ، نمره ای است که فرد در پرسشنامه اضطراب مرگ</w:t>
      </w:r>
      <w:r>
        <w:rPr>
          <w:rStyle w:val="FootnoteReference"/>
        </w:rPr>
        <w:footnoteReference w:id="26"/>
      </w:r>
      <w:r>
        <w:rPr>
          <w:rFonts w:hint="cs"/>
          <w:cs w:val="0"/>
        </w:rPr>
        <w:t xml:space="preserve"> کسب می کند.</w:t>
      </w:r>
    </w:p>
    <w:p w:rsidR="006E448F" w:rsidRDefault="006E448F">
      <w:pPr>
        <w:autoSpaceDE/>
        <w:autoSpaceDN/>
        <w:adjustRightInd/>
        <w:spacing w:after="0" w:line="240" w:lineRule="auto"/>
        <w:jc w:val="right"/>
        <w:rPr>
          <w:rFonts w:cs="B Titr"/>
          <w:b/>
          <w:bCs/>
          <w:kern w:val="32"/>
          <w:sz w:val="56"/>
          <w:cs w:val="0"/>
        </w:rPr>
        <w:sectPr w:rsidR="006E448F">
          <w:footerReference w:type="default" r:id="rId13"/>
          <w:footnotePr>
            <w:numRestart w:val="eachPage"/>
          </w:footnotePr>
          <w:pgSz w:w="11906" w:h="16838" w:code="9"/>
          <w:pgMar w:top="1417" w:right="1561" w:bottom="1417" w:left="1277" w:header="709" w:footer="567" w:gutter="0"/>
          <w:cols w:space="708"/>
          <w:bidi/>
          <w:rtlGutter/>
          <w:docGrid w:linePitch="360"/>
        </w:sectPr>
      </w:pPr>
      <w:bookmarkStart w:id="30" w:name="_Toc239015105"/>
    </w:p>
    <w:p w:rsidR="006E448F" w:rsidRPr="006E448F" w:rsidRDefault="006E448F" w:rsidP="006E448F">
      <w:pPr>
        <w:autoSpaceDE/>
        <w:autoSpaceDN/>
        <w:adjustRightInd/>
        <w:spacing w:after="0" w:line="240" w:lineRule="auto"/>
        <w:jc w:val="center"/>
        <w:rPr>
          <w:rFonts w:cs="B Titr"/>
          <w:sz w:val="72"/>
          <w:szCs w:val="72"/>
          <w:rtl w:val="0"/>
          <w:cs w:val="0"/>
        </w:rPr>
      </w:pPr>
      <w:r w:rsidRPr="006E448F">
        <w:rPr>
          <w:rFonts w:cs="B Titr"/>
          <w:sz w:val="72"/>
          <w:szCs w:val="72"/>
          <w:cs w:val="0"/>
        </w:rPr>
        <w:lastRenderedPageBreak/>
        <w:t>فصل دوم:</w:t>
      </w:r>
    </w:p>
    <w:p w:rsidR="006E448F" w:rsidRPr="006E448F" w:rsidRDefault="006E448F" w:rsidP="006E448F">
      <w:pPr>
        <w:autoSpaceDE/>
        <w:autoSpaceDN/>
        <w:adjustRightInd/>
        <w:spacing w:after="0" w:line="240" w:lineRule="auto"/>
        <w:jc w:val="center"/>
        <w:rPr>
          <w:rFonts w:cs="B Titr"/>
          <w:sz w:val="72"/>
          <w:szCs w:val="72"/>
          <w:rtl w:val="0"/>
          <w:cs w:val="0"/>
        </w:rPr>
      </w:pPr>
      <w:r w:rsidRPr="006E448F">
        <w:rPr>
          <w:rFonts w:cs="B Titr"/>
          <w:sz w:val="72"/>
          <w:szCs w:val="72"/>
          <w:cs w:val="0"/>
        </w:rPr>
        <w:t>مبان</w:t>
      </w:r>
      <w:r w:rsidRPr="006E448F">
        <w:rPr>
          <w:rFonts w:cs="B Titr" w:hint="cs"/>
          <w:sz w:val="72"/>
          <w:szCs w:val="72"/>
          <w:cs w:val="0"/>
        </w:rPr>
        <w:t>ی</w:t>
      </w:r>
      <w:r w:rsidRPr="006E448F">
        <w:rPr>
          <w:rFonts w:cs="B Titr"/>
          <w:sz w:val="72"/>
          <w:szCs w:val="72"/>
          <w:cs w:val="0"/>
        </w:rPr>
        <w:t xml:space="preserve"> نظر</w:t>
      </w:r>
      <w:r w:rsidRPr="006E448F">
        <w:rPr>
          <w:rFonts w:cs="B Titr" w:hint="cs"/>
          <w:sz w:val="72"/>
          <w:szCs w:val="72"/>
          <w:cs w:val="0"/>
        </w:rPr>
        <w:t>ی</w:t>
      </w:r>
      <w:r w:rsidRPr="006E448F">
        <w:rPr>
          <w:rFonts w:cs="B Titr"/>
          <w:sz w:val="72"/>
          <w:szCs w:val="72"/>
          <w:cs w:val="0"/>
        </w:rPr>
        <w:t xml:space="preserve"> و</w:t>
      </w:r>
    </w:p>
    <w:p w:rsidR="006E448F" w:rsidRDefault="006E448F" w:rsidP="006E448F">
      <w:pPr>
        <w:autoSpaceDE/>
        <w:autoSpaceDN/>
        <w:adjustRightInd/>
        <w:spacing w:after="0" w:line="240" w:lineRule="auto"/>
        <w:jc w:val="center"/>
        <w:rPr>
          <w:rFonts w:cs="B Titr"/>
          <w:b/>
          <w:bCs/>
          <w:kern w:val="32"/>
          <w:sz w:val="56"/>
          <w:cs w:val="0"/>
        </w:rPr>
        <w:sectPr w:rsidR="006E448F">
          <w:footerReference w:type="default" r:id="rId14"/>
          <w:footnotePr>
            <w:numRestart w:val="eachPage"/>
          </w:footnotePr>
          <w:pgSz w:w="11906" w:h="16838" w:code="9"/>
          <w:pgMar w:top="1417" w:right="1561" w:bottom="1417" w:left="1277" w:header="709" w:footer="567" w:gutter="0"/>
          <w:cols w:space="708"/>
          <w:vAlign w:val="center"/>
          <w:bidi/>
          <w:rtlGutter/>
          <w:docGrid w:linePitch="360"/>
        </w:sectPr>
      </w:pPr>
      <w:r>
        <w:rPr>
          <w:cs w:val="0"/>
        </w:rPr>
        <w:t xml:space="preserve"> </w:t>
      </w:r>
      <w:r w:rsidRPr="006E448F">
        <w:rPr>
          <w:rFonts w:cs="B Titr"/>
          <w:sz w:val="72"/>
          <w:szCs w:val="72"/>
          <w:cs w:val="0"/>
        </w:rPr>
        <w:t>پ</w:t>
      </w:r>
      <w:r w:rsidRPr="006E448F">
        <w:rPr>
          <w:rFonts w:cs="B Titr" w:hint="cs"/>
          <w:sz w:val="72"/>
          <w:szCs w:val="72"/>
          <w:cs w:val="0"/>
        </w:rPr>
        <w:t>ی</w:t>
      </w:r>
      <w:r w:rsidRPr="006E448F">
        <w:rPr>
          <w:rFonts w:cs="B Titr" w:hint="eastAsia"/>
          <w:sz w:val="72"/>
          <w:szCs w:val="72"/>
          <w:cs w:val="0"/>
        </w:rPr>
        <w:t>ش</w:t>
      </w:r>
      <w:r w:rsidRPr="006E448F">
        <w:rPr>
          <w:rFonts w:cs="B Titr" w:hint="cs"/>
          <w:sz w:val="72"/>
          <w:szCs w:val="72"/>
          <w:cs w:val="0"/>
        </w:rPr>
        <w:t>ی</w:t>
      </w:r>
      <w:r w:rsidRPr="006E448F">
        <w:rPr>
          <w:rFonts w:cs="B Titr" w:hint="eastAsia"/>
          <w:sz w:val="72"/>
          <w:szCs w:val="72"/>
          <w:cs w:val="0"/>
        </w:rPr>
        <w:t>نه</w:t>
      </w:r>
      <w:r w:rsidRPr="006E448F">
        <w:rPr>
          <w:rFonts w:cs="B Titr"/>
          <w:sz w:val="72"/>
          <w:szCs w:val="72"/>
          <w:cs w:val="0"/>
        </w:rPr>
        <w:t xml:space="preserve"> پژوهش</w:t>
      </w:r>
    </w:p>
    <w:p w:rsidR="008908D0" w:rsidRPr="0052619A" w:rsidRDefault="002D5E38" w:rsidP="0052619A">
      <w:pPr>
        <w:pStyle w:val="Heading2"/>
        <w:rPr>
          <w:cs w:val="0"/>
        </w:rPr>
      </w:pPr>
      <w:bookmarkStart w:id="31" w:name="_Toc239015106"/>
      <w:bookmarkStart w:id="32" w:name="_Toc239431983"/>
      <w:bookmarkEnd w:id="30"/>
      <w:r w:rsidRPr="0052619A">
        <w:rPr>
          <w:cs w:val="0"/>
        </w:rPr>
        <w:lastRenderedPageBreak/>
        <w:t>۲-۱- گستره نخست: سالمندی</w:t>
      </w:r>
      <w:bookmarkEnd w:id="31"/>
      <w:bookmarkEnd w:id="32"/>
    </w:p>
    <w:p w:rsidR="008908D0" w:rsidRPr="0052619A" w:rsidRDefault="002D5E38" w:rsidP="0052619A">
      <w:pPr>
        <w:pStyle w:val="Heading3"/>
        <w:rPr>
          <w:cs w:val="0"/>
        </w:rPr>
      </w:pPr>
      <w:bookmarkStart w:id="33" w:name="_Toc239015107"/>
      <w:bookmarkStart w:id="34" w:name="_Toc239431984"/>
      <w:r w:rsidRPr="0052619A">
        <w:rPr>
          <w:cs w:val="0"/>
        </w:rPr>
        <w:t>۲-۱-۱- مفهوم سالمندی</w:t>
      </w:r>
      <w:bookmarkEnd w:id="33"/>
      <w:bookmarkEnd w:id="34"/>
    </w:p>
    <w:p w:rsidR="008908D0" w:rsidRDefault="002D5E38">
      <w:pPr>
        <w:spacing w:after="0" w:line="276" w:lineRule="auto"/>
        <w:ind w:firstLine="397"/>
        <w:jc w:val="both"/>
        <w:rPr>
          <w:color w:val="auto"/>
          <w:cs w:val="0"/>
        </w:rPr>
      </w:pPr>
      <w:r>
        <w:rPr>
          <w:rFonts w:hint="cs"/>
          <w:cs w:val="0"/>
        </w:rPr>
        <w:t>سالمندی یا کهنسالی آخرین مرحله از چرخه زندگی انسان است و معمولاً بر اساس سن تقویمی، افراد ۶۵ سال و بالاتر در گروه سالمندان قرار می‌گیرند. اگرچه سن تقویمی یکی از رایج‌ترین معیارهای تعریف سالمندی است، امروزه علاوه بر آن، وضعیت عملکردی، سلامت جسمی، روانی و اجتماعی نیز در تعیین وضعیت سالمندان مورد توجه قرار می‌گیرد. سالمندی دوره‌ای حساس از زندگی محسوب می‌شود که با تغییرات زیستی، روان‌شناختی و اجتماعی همراه است و احتمال ابتلا به بیماری‌های مزمن، کاهش توانایی‌های عملکردی، احساس تنهایی، انزوای اجتماعی و وابستگی به دیگران را افزایش می‌دهد. ازاین‌رو، توجه به نیازهای جسمی، روانی و اجتماعی سالمندان و تقویت حمایت‌های خانوادگی و اجتماعی، نقش مهمی در ارتقای کیفیت زندگی و سالمندی سالم ایفا می‌کند (بهره‌ور و همکاران، ۱۴۰۲؛ رستمی و همکاران، ۱۴۰۲).</w:t>
      </w:r>
    </w:p>
    <w:p w:rsidR="008908D0" w:rsidRDefault="002D5E38">
      <w:pPr>
        <w:spacing w:after="0" w:line="276" w:lineRule="auto"/>
        <w:ind w:firstLine="397"/>
        <w:jc w:val="both"/>
        <w:rPr>
          <w:cs w:val="0"/>
        </w:rPr>
      </w:pPr>
      <w:r>
        <w:rPr>
          <w:cs w:val="0"/>
        </w:rPr>
        <w:t>در سال‌های اخیر، سازمان جهانی بهداشت</w:t>
      </w:r>
      <w:r>
        <w:rPr>
          <w:rStyle w:val="FootnoteReference"/>
        </w:rPr>
        <w:footnoteReference w:id="27"/>
      </w:r>
      <w:r>
        <w:rPr>
          <w:cs w:val="0"/>
        </w:rPr>
        <w:t xml:space="preserve"> سالمندی سالم را نه صرفاً بر پایه سن تقویمی، بلکه بر اساس توانمندی کارکردی یعنی ترکیب ظرفیت درونی فرد و ویژگی‌های محیطی تعریف کرده است. این رویکرد بر حفظ توانایی انجام کارهای ارزشمند برای فرد و مشارکت اجتماعی تأکید دارد (سازمان جهانی بهداشت، ۲۰۲۰؛ سازمان جهانی بهداشت، ۲۰۲۳).</w:t>
      </w:r>
    </w:p>
    <w:p w:rsidR="008908D0" w:rsidRPr="0052619A" w:rsidRDefault="002D5E38" w:rsidP="0052619A">
      <w:pPr>
        <w:pStyle w:val="Heading3"/>
        <w:rPr>
          <w:cs w:val="0"/>
        </w:rPr>
      </w:pPr>
      <w:bookmarkStart w:id="35" w:name="_Toc239015108"/>
      <w:bookmarkStart w:id="36" w:name="_Toc239431985"/>
      <w:r w:rsidRPr="0052619A">
        <w:rPr>
          <w:cs w:val="0"/>
        </w:rPr>
        <w:lastRenderedPageBreak/>
        <w:t>۲-۱-۲- نظریه‌های سالمندی</w:t>
      </w:r>
      <w:bookmarkEnd w:id="35"/>
      <w:bookmarkEnd w:id="36"/>
    </w:p>
    <w:p w:rsidR="0052619A" w:rsidRDefault="0052619A" w:rsidP="0052619A">
      <w:pPr>
        <w:keepNext/>
        <w:bidi w:val="0"/>
        <w:jc w:val="center"/>
        <w:rPr>
          <w:cs w:val="0"/>
        </w:rPr>
      </w:pPr>
      <w:r>
        <w:rPr>
          <w:noProof/>
          <w:cs w:val="0"/>
          <w:lang w:bidi="ar-SA"/>
        </w:rPr>
        <mc:AlternateContent>
          <mc:Choice Requires="wpg">
            <w:drawing>
              <wp:inline distT="0" distB="0" distL="0" distR="0" wp14:anchorId="17549750" wp14:editId="233D950E">
                <wp:extent cx="5306400" cy="2428875"/>
                <wp:effectExtent l="0" t="0" r="27940" b="28575"/>
                <wp:docPr id="45" name="Group 45"/>
                <wp:cNvGraphicFramePr/>
                <a:graphic xmlns:a="http://schemas.openxmlformats.org/drawingml/2006/main">
                  <a:graphicData uri="http://schemas.microsoft.com/office/word/2010/wordprocessingGroup">
                    <wpg:wgp>
                      <wpg:cNvGrpSpPr/>
                      <wpg:grpSpPr>
                        <a:xfrm>
                          <a:off x="0" y="0"/>
                          <a:ext cx="5306400" cy="2428875"/>
                          <a:chOff x="0" y="0"/>
                          <a:chExt cx="5305425" cy="2430334"/>
                        </a:xfrm>
                      </wpg:grpSpPr>
                      <wps:wsp>
                        <wps:cNvPr id="46" name="Text Box 46"/>
                        <wps:cNvSpPr txBox="1"/>
                        <wps:spPr>
                          <a:xfrm>
                            <a:off x="1514475" y="0"/>
                            <a:ext cx="2286000" cy="360896"/>
                          </a:xfrm>
                          <a:prstGeom prst="roundRect">
                            <a:avLst>
                              <a:gd name="adj" fmla="val 16667"/>
                            </a:avLst>
                          </a:prstGeom>
                          <a:solidFill>
                            <a:srgbClr val="1F4E5F"/>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FFFFFF"/>
                                  <w:sz w:val="22"/>
                                  <w:szCs w:val="22"/>
                                  <w:cs w:val="0"/>
                                </w:rPr>
                                <w:t>نظریه‌های سالمندی</w:t>
                              </w:r>
                            </w:p>
                          </w:txbxContent>
                        </wps:txbx>
                        <wps:bodyPr lIns="36000" tIns="18000" rIns="36000" bIns="18000" anchor="ctr"/>
                      </wps:wsp>
                      <wps:wsp>
                        <wps:cNvPr id="47" name="Text Box 47"/>
                        <wps:cNvSpPr txBox="1"/>
                        <wps:spPr>
                          <a:xfrm>
                            <a:off x="3705225" y="581025"/>
                            <a:ext cx="1600200" cy="300747"/>
                          </a:xfrm>
                          <a:prstGeom prst="roundRect">
                            <a:avLst>
                              <a:gd name="adj" fmla="val 16667"/>
                            </a:avLst>
                          </a:prstGeom>
                          <a:solidFill>
                            <a:srgbClr val="3D5C4A"/>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FFFFFF"/>
                                  <w:sz w:val="18"/>
                                  <w:szCs w:val="18"/>
                                  <w:cs w:val="0"/>
                                </w:rPr>
                                <w:t>زیست‌شناختی</w:t>
                              </w:r>
                            </w:p>
                          </w:txbxContent>
                        </wps:txbx>
                        <wps:bodyPr lIns="36000" tIns="18000" rIns="36000" bIns="18000" anchor="ctr"/>
                      </wps:wsp>
                      <wps:wsp>
                        <wps:cNvPr id="48" name="Text Box 48"/>
                        <wps:cNvSpPr txBox="1"/>
                        <wps:spPr>
                          <a:xfrm>
                            <a:off x="1847850" y="581025"/>
                            <a:ext cx="1600200" cy="300747"/>
                          </a:xfrm>
                          <a:prstGeom prst="roundRect">
                            <a:avLst>
                              <a:gd name="adj" fmla="val 16667"/>
                            </a:avLst>
                          </a:prstGeom>
                          <a:solidFill>
                            <a:srgbClr val="3D5C4A"/>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FFFFFF"/>
                                  <w:sz w:val="18"/>
                                  <w:szCs w:val="18"/>
                                  <w:cs w:val="0"/>
                                </w:rPr>
                                <w:t>روان‌شناختی</w:t>
                              </w:r>
                            </w:p>
                          </w:txbxContent>
                        </wps:txbx>
                        <wps:bodyPr lIns="36000" tIns="18000" rIns="36000" bIns="18000" anchor="ctr"/>
                      </wps:wsp>
                      <wps:wsp>
                        <wps:cNvPr id="49" name="Text Box 49"/>
                        <wps:cNvSpPr txBox="1"/>
                        <wps:spPr>
                          <a:xfrm>
                            <a:off x="0" y="581025"/>
                            <a:ext cx="1600200" cy="300747"/>
                          </a:xfrm>
                          <a:prstGeom prst="roundRect">
                            <a:avLst>
                              <a:gd name="adj" fmla="val 16667"/>
                            </a:avLst>
                          </a:prstGeom>
                          <a:solidFill>
                            <a:srgbClr val="3D5C4A"/>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FFFFFF"/>
                                  <w:sz w:val="18"/>
                                  <w:szCs w:val="18"/>
                                  <w:cs w:val="0"/>
                                </w:rPr>
                                <w:t>جامعه‌شناختی</w:t>
                              </w:r>
                            </w:p>
                          </w:txbxContent>
                        </wps:txbx>
                        <wps:bodyPr lIns="36000" tIns="18000" rIns="36000" bIns="18000" anchor="ctr"/>
                      </wps:wsp>
                      <wps:wsp>
                        <wps:cNvPr id="50" name="Text Box 50"/>
                        <wps:cNvSpPr txBox="1"/>
                        <wps:spPr>
                          <a:xfrm>
                            <a:off x="3705225" y="102870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5"/>
                                  <w:szCs w:val="15"/>
                                  <w:cs w:val="0"/>
                                </w:rPr>
                                <w:t>نظریه ایمنی</w:t>
                              </w:r>
                            </w:p>
                          </w:txbxContent>
                        </wps:txbx>
                        <wps:bodyPr lIns="36000" tIns="18000" rIns="36000" bIns="18000" anchor="ctr"/>
                      </wps:wsp>
                      <wps:wsp>
                        <wps:cNvPr id="51" name="Text Box 51"/>
                        <wps:cNvSpPr txBox="1"/>
                        <wps:spPr>
                          <a:xfrm>
                            <a:off x="3705225" y="139065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5"/>
                                  <w:szCs w:val="15"/>
                                  <w:cs w:val="0"/>
                                </w:rPr>
                                <w:t>نظریه پیر شدن سلولی</w:t>
                              </w:r>
                            </w:p>
                          </w:txbxContent>
                        </wps:txbx>
                        <wps:bodyPr lIns="36000" tIns="18000" rIns="36000" bIns="18000" anchor="ctr"/>
                      </wps:wsp>
                      <wps:wsp>
                        <wps:cNvPr id="52" name="Text Box 52"/>
                        <wps:cNvSpPr txBox="1"/>
                        <wps:spPr>
                          <a:xfrm>
                            <a:off x="3705225" y="175260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5"/>
                                  <w:szCs w:val="15"/>
                                  <w:cs w:val="0"/>
                                </w:rPr>
                                <w:t>نظریه رادیکال آزاد</w:t>
                              </w:r>
                            </w:p>
                          </w:txbxContent>
                        </wps:txbx>
                        <wps:bodyPr lIns="36000" tIns="18000" rIns="36000" bIns="18000" anchor="ctr"/>
                      </wps:wsp>
                      <wps:wsp>
                        <wps:cNvPr id="53" name="Text Box 53"/>
                        <wps:cNvSpPr txBox="1"/>
                        <wps:spPr>
                          <a:xfrm>
                            <a:off x="1847850" y="102870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4"/>
                                  <w:szCs w:val="14"/>
                                  <w:cs w:val="0"/>
                                </w:rPr>
                                <w:t>نظریه گولد</w:t>
                              </w:r>
                            </w:p>
                          </w:txbxContent>
                        </wps:txbx>
                        <wps:bodyPr lIns="36000" tIns="18000" rIns="36000" bIns="18000" anchor="ctr"/>
                      </wps:wsp>
                      <wps:wsp>
                        <wps:cNvPr id="54" name="Text Box 54"/>
                        <wps:cNvSpPr txBox="1"/>
                        <wps:spPr>
                          <a:xfrm>
                            <a:off x="1847850" y="139065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4"/>
                                  <w:szCs w:val="14"/>
                                  <w:cs w:val="0"/>
                                </w:rPr>
                                <w:t>نظریه لوینسون و شی</w:t>
                              </w:r>
                            </w:p>
                          </w:txbxContent>
                        </wps:txbx>
                        <wps:bodyPr lIns="36000" tIns="18000" rIns="36000" bIns="18000" anchor="ctr"/>
                      </wps:wsp>
                      <wps:wsp>
                        <wps:cNvPr id="55" name="Text Box 55"/>
                        <wps:cNvSpPr txBox="1"/>
                        <wps:spPr>
                          <a:xfrm>
                            <a:off x="1847850" y="175260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4"/>
                                  <w:szCs w:val="14"/>
                                  <w:cs w:val="0"/>
                                </w:rPr>
                                <w:t>نظریه اریکسون</w:t>
                              </w:r>
                            </w:p>
                          </w:txbxContent>
                        </wps:txbx>
                        <wps:bodyPr lIns="36000" tIns="18000" rIns="36000" bIns="18000" anchor="ctr"/>
                      </wps:wsp>
                      <wps:wsp>
                        <wps:cNvPr id="56" name="Text Box 56"/>
                        <wps:cNvSpPr txBox="1"/>
                        <wps:spPr>
                          <a:xfrm>
                            <a:off x="1847850" y="211455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4"/>
                                  <w:szCs w:val="14"/>
                                  <w:cs w:val="0"/>
                                </w:rPr>
                                <w:t>نظریه انتخاب اجتماعی-هیجانی</w:t>
                              </w:r>
                            </w:p>
                          </w:txbxContent>
                        </wps:txbx>
                        <wps:bodyPr lIns="36000" tIns="18000" rIns="36000" bIns="18000" anchor="ctr"/>
                      </wps:wsp>
                      <wps:wsp>
                        <wps:cNvPr id="57" name="Text Box 57"/>
                        <wps:cNvSpPr txBox="1"/>
                        <wps:spPr>
                          <a:xfrm>
                            <a:off x="0" y="102870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5"/>
                                  <w:szCs w:val="15"/>
                                  <w:cs w:val="0"/>
                                </w:rPr>
                                <w:t>نظریه عدم تعهد</w:t>
                              </w:r>
                            </w:p>
                          </w:txbxContent>
                        </wps:txbx>
                        <wps:bodyPr lIns="36000" tIns="18000" rIns="36000" bIns="18000" anchor="ctr"/>
                      </wps:wsp>
                      <wps:wsp>
                        <wps:cNvPr id="58" name="Text Box 58"/>
                        <wps:cNvSpPr txBox="1"/>
                        <wps:spPr>
                          <a:xfrm>
                            <a:off x="0" y="139065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5"/>
                                  <w:szCs w:val="15"/>
                                  <w:cs w:val="0"/>
                                </w:rPr>
                                <w:t>نظریه فعالیت</w:t>
                              </w:r>
                            </w:p>
                          </w:txbxContent>
                        </wps:txbx>
                        <wps:bodyPr lIns="36000" tIns="18000" rIns="36000" bIns="18000" anchor="ctr"/>
                      </wps:wsp>
                      <wps:wsp>
                        <wps:cNvPr id="59" name="Text Box 59"/>
                        <wps:cNvSpPr txBox="1"/>
                        <wps:spPr>
                          <a:xfrm>
                            <a:off x="0" y="175260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5"/>
                                  <w:szCs w:val="15"/>
                                  <w:cs w:val="0"/>
                                </w:rPr>
                                <w:t>نظریه مبادله یا تعامل</w:t>
                              </w:r>
                            </w:p>
                          </w:txbxContent>
                        </wps:txbx>
                        <wps:bodyPr lIns="36000" tIns="18000" rIns="36000" bIns="18000" anchor="ctr"/>
                      </wps:wsp>
                      <wps:wsp>
                        <wps:cNvPr id="60" name="Text Box 60"/>
                        <wps:cNvSpPr txBox="1"/>
                        <wps:spPr>
                          <a:xfrm>
                            <a:off x="0" y="2114550"/>
                            <a:ext cx="1600200" cy="315784"/>
                          </a:xfrm>
                          <a:prstGeom prst="roundRect">
                            <a:avLst>
                              <a:gd name="adj" fmla="val 16667"/>
                            </a:avLst>
                          </a:prstGeom>
                          <a:solidFill>
                            <a:srgbClr val="F7F4EC"/>
                          </a:solidFill>
                          <a:ln w="6350">
                            <a:solidFill>
                              <a:srgbClr val="8AA38A"/>
                            </a:solidFill>
                          </a:ln>
                        </wps:spPr>
                        <wps:txbx>
                          <w:txbxContent>
                            <w:p w:rsidR="0052619A" w:rsidRPr="00A218BA" w:rsidRDefault="0052619A" w:rsidP="0052619A">
                              <w:pPr>
                                <w:jc w:val="center"/>
                                <w:rPr>
                                  <w:rFonts w:cs="B Titr"/>
                                  <w:cs w:val="0"/>
                                </w:rPr>
                              </w:pPr>
                              <w:r w:rsidRPr="00A218BA">
                                <w:rPr>
                                  <w:rFonts w:cs="B Titr"/>
                                  <w:color w:val="1F4E5F"/>
                                  <w:sz w:val="15"/>
                                  <w:szCs w:val="15"/>
                                  <w:cs w:val="0"/>
                                </w:rPr>
                                <w:t>نظریه استمرار</w:t>
                              </w:r>
                            </w:p>
                          </w:txbxContent>
                        </wps:txbx>
                        <wps:bodyPr lIns="36000" tIns="18000" rIns="36000" bIns="18000" anchor="ctr"/>
                      </wps:wsp>
                    </wpg:wgp>
                  </a:graphicData>
                </a:graphic>
              </wp:inline>
            </w:drawing>
          </mc:Choice>
          <mc:Fallback>
            <w:pict>
              <v:group w14:anchorId="17549750" id="Group 45" o:spid="_x0000_s1026" style="width:417.85pt;height:191.25pt;mso-position-horizontal-relative:char;mso-position-vertical-relative:line" coordsize="53054,24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">
                <v:roundrect id="Text Box 46" o:spid="_x0000_s1027" style="position:absolute;left:15144;width:22860;height:360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qe8QA&#10;AADbAAAADwAAAGRycy9kb3ducmV2LnhtbESP3WrCQBSE7wt9h+UUeqcbpYqNriJCoT+CmvoAh+wx&#10;G8yejdnVxD69Kwi9HGbmG2a26GwlLtT40rGCQT8BQZw7XXKhYP/70ZuA8AFZY+WYFFzJw2L+/DTD&#10;VLuWd3TJQiEihH2KCkwIdSqlzw1Z9H1XE0fv4BqLIcqmkLrBNsJtJYdJMpYWS44LBmtaGcqP2dkq&#10;OA1cYtzfORt9rX++jSy26/dNq9TrS7ecggjUhf/wo/2pFbyN4f4l/gA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vqnvEAAAA2wAAAA8AAAAAAAAAAAAAAAAAmAIAAGRycy9k&#10;b3ducmV2LnhtbFBLBQYAAAAABAAEAPUAAACJAwAAAAA=&#10;" fillcolor="#1f4e5f" strokecolor="#8aa38a" strokeweight=".5pt">
                  <v:textbox inset="1mm,.5mm,1mm,.5mm">
                    <w:txbxContent>
                      <w:p w:rsidR="0052619A" w:rsidRPr="00A218BA" w:rsidRDefault="0052619A" w:rsidP="0052619A">
                        <w:pPr>
                          <w:jc w:val="center"/>
                          <w:rPr>
                            <w:rFonts w:cs="B Titr"/>
                            <w:cs w:val="0"/>
                          </w:rPr>
                        </w:pPr>
                        <w:r w:rsidRPr="00A218BA">
                          <w:rPr>
                            <w:rFonts w:cs="B Titr"/>
                            <w:color w:val="FFFFFF"/>
                            <w:sz w:val="22"/>
                            <w:szCs w:val="22"/>
                            <w:cs w:val="0"/>
                          </w:rPr>
                          <w:t>نظریه‌های سالمندی</w:t>
                        </w:r>
                      </w:p>
                    </w:txbxContent>
                  </v:textbox>
                </v:roundrect>
                <v:roundrect id="Text Box 47" o:spid="_x0000_s1028" style="position:absolute;left:37052;top:5810;width:16002;height:30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o9s8UA&#10;AADbAAAADwAAAGRycy9kb3ducmV2LnhtbESPQWvCQBSE74L/YXlCb2bTIrZEVymFllJKxcSDx2f2&#10;mYRk34bsJkZ/fVco9DjMzDfMejuaRgzUucqygscoBkGcW11xoeCQvc9fQDiPrLGxTAqu5GC7mU7W&#10;mGh74T0NqS9EgLBLUEHpfZtI6fKSDLrItsTBO9vOoA+yK6Tu8BLgppFPcbyUBisOCyW29FZSXqe9&#10;UYCNyz5+TjfTX7/rYb/7WvB5PCr1MBtfVyA8jf4//Nf+1AoWz3D/En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ej2zxQAAANsAAAAPAAAAAAAAAAAAAAAAAJgCAABkcnMv&#10;ZG93bnJldi54bWxQSwUGAAAAAAQABAD1AAAAigMAAAAA&#10;" fillcolor="#3d5c4a" strokecolor="#8aa38a" strokeweight=".5pt">
                  <v:textbox inset="1mm,.5mm,1mm,.5mm">
                    <w:txbxContent>
                      <w:p w:rsidR="0052619A" w:rsidRPr="00A218BA" w:rsidRDefault="0052619A" w:rsidP="0052619A">
                        <w:pPr>
                          <w:jc w:val="center"/>
                          <w:rPr>
                            <w:rFonts w:cs="B Titr"/>
                            <w:cs w:val="0"/>
                          </w:rPr>
                        </w:pPr>
                        <w:r w:rsidRPr="00A218BA">
                          <w:rPr>
                            <w:rFonts w:cs="B Titr"/>
                            <w:color w:val="FFFFFF"/>
                            <w:sz w:val="18"/>
                            <w:szCs w:val="18"/>
                            <w:cs w:val="0"/>
                          </w:rPr>
                          <w:t>زیست‌شناختی</w:t>
                        </w:r>
                      </w:p>
                    </w:txbxContent>
                  </v:textbox>
                </v:roundrect>
                <v:roundrect id="Text Box 48" o:spid="_x0000_s1029" style="position:absolute;left:18478;top:5810;width:16002;height:30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eWpwcIA&#10;AADbAAAADwAAAGRycy9kb3ducmV2LnhtbERPTWuDQBC9B/oflin0lqwtoQSTVUKgpZTSoskhx4k7&#10;UdGdFXc12l/fPRRyfLzvXTqZVozUu9qygudVBIK4sLrmUsHp+LbcgHAeWWNrmRTM5CBNHhY7jLW9&#10;cUZj7ksRQtjFqKDyvouldEVFBt3KdsSBu9reoA+wL6Xu8RbCTStfouhVGqw5NFTY0aGioskHowBb&#10;d3z/vvyaYf5qxuznc83X6azU0+O034LwNPm7+N/9oRWsw9jwJfwAmf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N5anBwgAAANsAAAAPAAAAAAAAAAAAAAAAAJgCAABkcnMvZG93&#10;bnJldi54bWxQSwUGAAAAAAQABAD1AAAAhwMAAAAA&#10;" fillcolor="#3d5c4a" strokecolor="#8aa38a" strokeweight=".5pt">
                  <v:textbox inset="1mm,.5mm,1mm,.5mm">
                    <w:txbxContent>
                      <w:p w:rsidR="0052619A" w:rsidRPr="00A218BA" w:rsidRDefault="0052619A" w:rsidP="0052619A">
                        <w:pPr>
                          <w:jc w:val="center"/>
                          <w:rPr>
                            <w:rFonts w:cs="B Titr"/>
                            <w:cs w:val="0"/>
                          </w:rPr>
                        </w:pPr>
                        <w:r w:rsidRPr="00A218BA">
                          <w:rPr>
                            <w:rFonts w:cs="B Titr"/>
                            <w:color w:val="FFFFFF"/>
                            <w:sz w:val="18"/>
                            <w:szCs w:val="18"/>
                            <w:cs w:val="0"/>
                          </w:rPr>
                          <w:t>روان‌شناختی</w:t>
                        </w:r>
                      </w:p>
                    </w:txbxContent>
                  </v:textbox>
                </v:roundrect>
                <v:roundrect id="Text Box 49" o:spid="_x0000_s1030" style="position:absolute;top:5810;width:16002;height:30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qkMWsUA&#10;AADbAAAADwAAAGRycy9kb3ducmV2LnhtbESPQWvCQBSE74L/YXlCb2bTItJGVymFllJKxcSDx2f2&#10;mYRk34bsJkZ/fVco9DjMzDfMejuaRgzUucqygscoBkGcW11xoeCQvc+fQTiPrLGxTAqu5GC7mU7W&#10;mGh74T0NqS9EgLBLUEHpfZtI6fKSDLrItsTBO9vOoA+yK6Tu8BLgppFPcbyUBisOCyW29FZSXqe9&#10;UYCNyz5+TjfTX7/rYb/7WvB5PCr1MBtfVyA8jf4//Nf+1AoWL3D/En6A3Pw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qQxaxQAAANsAAAAPAAAAAAAAAAAAAAAAAJgCAABkcnMv&#10;ZG93bnJldi54bWxQSwUGAAAAAAQABAD1AAAAigMAAAAA&#10;" fillcolor="#3d5c4a" strokecolor="#8aa38a" strokeweight=".5pt">
                  <v:textbox inset="1mm,.5mm,1mm,.5mm">
                    <w:txbxContent>
                      <w:p w:rsidR="0052619A" w:rsidRPr="00A218BA" w:rsidRDefault="0052619A" w:rsidP="0052619A">
                        <w:pPr>
                          <w:jc w:val="center"/>
                          <w:rPr>
                            <w:rFonts w:cs="B Titr"/>
                            <w:cs w:val="0"/>
                          </w:rPr>
                        </w:pPr>
                        <w:r w:rsidRPr="00A218BA">
                          <w:rPr>
                            <w:rFonts w:cs="B Titr"/>
                            <w:color w:val="FFFFFF"/>
                            <w:sz w:val="18"/>
                            <w:szCs w:val="18"/>
                            <w:cs w:val="0"/>
                          </w:rPr>
                          <w:t>جامعه‌شناختی</w:t>
                        </w:r>
                      </w:p>
                    </w:txbxContent>
                  </v:textbox>
                </v:roundrect>
                <v:roundrect id="Text Box 50" o:spid="_x0000_s1031" style="position:absolute;left:37052;top:10287;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5TDcAA&#10;AADbAAAADwAAAGRycy9kb3ducmV2LnhtbERP3WrCMBS+H/gO4Qi7GTbtwCHVWEQYerWt1gc4NMem&#10;2JzUJNPu7ZeLwS4/vv9NNdlB3MmH3rGCIstBELdO99wpODfvixWIEJE1Do5JwQ8FqLazpw2W2j24&#10;pvspdiKFcChRgYlxLKUMrSGLIXMjceIuzluMCfpOao+PFG4H+Zrnb9Jiz6nB4Eh7Q+319G0VNLcP&#10;U7tr/bksXmw4fNX+0rFX6nk+7dYgIk3xX/znPmoFy7Q+fU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5TDcAAAADbAAAADwAAAAAAAAAAAAAAAACYAgAAZHJzL2Rvd25y&#10;ZXYueG1sUEsFBgAAAAAEAAQA9QAAAIUDA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5"/>
                            <w:szCs w:val="15"/>
                            <w:cs w:val="0"/>
                          </w:rPr>
                          <w:t>نظریه ایمنی</w:t>
                        </w:r>
                      </w:p>
                    </w:txbxContent>
                  </v:textbox>
                </v:roundrect>
                <v:roundrect id="Text Box 51" o:spid="_x0000_s1032" style="position:absolute;left:37052;top:13906;width:16002;height:31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KL2lsMA&#10;AADbAAAADwAAAGRycy9kb3ducmV2LnhtbESPUWvCMBSF34X9h3AHvshMO1BG1yhjMNzTtLofcGlu&#10;m2Jz0yVR679fBMHHwznnO5xyPdpenMmHzrGCfJ6BIK6d7rhV8Hv4enkDESKyxt4xKbhSgPXqaVJi&#10;od2FKzrvYysShEOBCkyMQyFlqA1ZDHM3ECevcd5iTNK3Unu8JLjt5WuWLaXFjtOCwYE+DdXH/ckq&#10;OPz9mModq+0in9mw2VW+adkrNX0eP95BRBrjI3xvf2sFixxuX9I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KL2lsMAAADbAAAADwAAAAAAAAAAAAAAAACYAgAAZHJzL2Rv&#10;d25yZXYueG1sUEsFBgAAAAAEAAQA9QAAAIgDA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5"/>
                            <w:szCs w:val="15"/>
                            <w:cs w:val="0"/>
                          </w:rPr>
                          <w:t>نظریه پیر شدن سلولی</w:t>
                        </w:r>
                      </w:p>
                    </w:txbxContent>
                  </v:textbox>
                </v:roundrect>
                <v:roundrect id="Text Box 52" o:spid="_x0000_s1033" style="position:absolute;left:37052;top:17526;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Bo4cMA&#10;AADbAAAADwAAAGRycy9kb3ducmV2LnhtbESPwWrDMBBE74X+g9hCLiWRY0gJbpRQAiU5tbWdD1is&#10;jWVirRxJjZ2/rwqFHoeZecNsdpPtxY186BwrWC4yEMSN0x23Ck71+3wNIkRkjb1jUnCnALvt48MG&#10;C+1GLulWxVYkCIcCFZgYh0LK0BiyGBZuIE7e2XmLMUnfSu1xTHDbyzzLXqTFjtOCwYH2hppL9W0V&#10;1NcPU7pL+blaPttw+Cr9uWWv1OxpensFEWmK/+G/9lErWOXw+yX9ALn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HBo4cMAAADbAAAADwAAAAAAAAAAAAAAAACYAgAAZHJzL2Rv&#10;d25yZXYueG1sUEsFBgAAAAAEAAQA9QAAAIgDA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5"/>
                            <w:szCs w:val="15"/>
                            <w:cs w:val="0"/>
                          </w:rPr>
                          <w:t>نظریه رادیکال آزاد</w:t>
                        </w:r>
                      </w:p>
                    </w:txbxContent>
                  </v:textbox>
                </v:roundrect>
                <v:roundrect id="Text Box 53" o:spid="_x0000_s1034" style="position:absolute;left:18478;top:10287;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zzNesMA&#10;AADbAAAADwAAAGRycy9kb3ducmV2LnhtbESP0WoCMRRE3wv+Q7iCL0WzKkpZjVIEaZ+0u/YDLpvr&#10;ZnFzs01S3f69EYQ+DjNzhllve9uKK/nQOFYwnWQgiCunG64VfJ/24zcQISJrbB2Tgj8KsN0MXtaY&#10;a3fjgq5lrEWCcMhRgYmxy6UMlSGLYeI64uSdnbcYk/S11B5vCW5bOcuypbTYcFow2NHOUHUpf62C&#10;08/BFO5SHBfTVxs+vgp/rtkrNRr27ysQkfr4H362P7WCxRweX9IPkJ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zzNesMAAADbAAAADwAAAAAAAAAAAAAAAACYAgAAZHJzL2Rv&#10;d25yZXYueG1sUEsFBgAAAAAEAAQA9QAAAIgDA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4"/>
                            <w:szCs w:val="14"/>
                            <w:cs w:val="0"/>
                          </w:rPr>
                          <w:t>نظریه گولد</w:t>
                        </w:r>
                      </w:p>
                    </w:txbxContent>
                  </v:textbox>
                </v:roundrect>
                <v:roundrect id="Text Box 54" o:spid="_x0000_s1035" style="position:absolute;left:18478;top:13906;width:16002;height:31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VVDsMA&#10;AADbAAAADwAAAGRycy9kb3ducmV2LnhtbESP0WoCMRRE3wv+Q7iCL0WzikpZjVIEaZ+0u/YDLpvr&#10;ZnFzs01S3f69EYQ+DjNzhllve9uKK/nQOFYwnWQgiCunG64VfJ/24zcQISJrbB2Tgj8KsN0MXtaY&#10;a3fjgq5lrEWCcMhRgYmxy6UMlSGLYeI64uSdnbcYk/S11B5vCW5bOcuypbTYcFow2NHOUHUpf62C&#10;08/BFO5SHBfTVxs+vgp/rtkrNRr27ysQkfr4H362P7WCxRweX9IPkJs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VVDsMAAADbAAAADwAAAAAAAAAAAAAAAACYAgAAZHJzL2Rv&#10;d25yZXYueG1sUEsFBgAAAAAEAAQA9QAAAIgDA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4"/>
                            <w:szCs w:val="14"/>
                            <w:cs w:val="0"/>
                          </w:rPr>
                          <w:t>نظریه لوینسون و شی</w:t>
                        </w:r>
                      </w:p>
                    </w:txbxContent>
                  </v:textbox>
                </v:roundrect>
                <v:roundrect id="Text Box 55" o:spid="_x0000_s1036" style="position:absolute;left:18478;top:17526;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5nwlcMA&#10;AADbAAAADwAAAGRycy9kb3ducmV2LnhtbESPUWvCMBSF34X9h3AHvshMHXRI1yhDEPc0V/UHXJrb&#10;ptjcdEnU+u8XYbDHwznnO5xyPdpeXMmHzrGCxTwDQVw73XGr4HTcvixBhIissXdMCu4UYL16mpRY&#10;aHfjiq6H2IoE4VCgAhPjUEgZakMWw9wNxMlrnLcYk/St1B5vCW57+Zplb9Jix2nB4EAbQ/X5cLEK&#10;jj9fpnLnap8vZjbsvivftOyVmj6PH+8gIo3xP/zX/tQK8hweX9IPkK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5nwlcMAAADbAAAADwAAAAAAAAAAAAAAAACYAgAAZHJzL2Rv&#10;d25yZXYueG1sUEsFBgAAAAAEAAQA9QAAAIgDA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4"/>
                            <w:szCs w:val="14"/>
                            <w:cs w:val="0"/>
                          </w:rPr>
                          <w:t>نظریه اریکسون</w:t>
                        </w:r>
                      </w:p>
                    </w:txbxContent>
                  </v:textbox>
                </v:roundrect>
                <v:roundrect id="Text Box 56" o:spid="_x0000_s1037" style="position:absolute;left:18478;top:21145;width:16002;height:31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0tu4sEA&#10;AADbAAAADwAAAGRycy9kb3ducmV2LnhtbESP0YrCMBRE3wX/IVzBF1lTBUWqUWRBdp9Wq/sBl+ba&#10;FJubbhK1+/dGEHwcZuYMs9p0thE38qF2rGAyzkAQl07XXCn4Pe0+FiBCRNbYOCYF/xRgs+73Vphr&#10;d+eCbsdYiQThkKMCE2ObSxlKQxbD2LXEyTs7bzEm6SupPd4T3DZymmVzabHmtGCwpU9D5eV4tQpO&#10;fz+mcJdiP5uMbPg6FP5csVdqOOi2SxCRuvgOv9rfWsFsDs8v6QfI9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tLbuLBAAAA2wAAAA8AAAAAAAAAAAAAAAAAmAIAAGRycy9kb3du&#10;cmV2LnhtbFBLBQYAAAAABAAEAPUAAACGAw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4"/>
                            <w:szCs w:val="14"/>
                            <w:cs w:val="0"/>
                          </w:rPr>
                          <w:t>نظریه انتخاب اجتماعی-هیجانی</w:t>
                        </w:r>
                      </w:p>
                    </w:txbxContent>
                  </v:textbox>
                </v:roundrect>
                <v:roundrect id="Text Box 57" o:spid="_x0000_s1038" style="position:absolute;top:10287;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fLecMA&#10;AADbAAAADwAAAGRycy9kb3ducmV2LnhtbESP0WoCMRRE3wv+Q7iCL0WzCtayGqUI0j5pd+0HXDbX&#10;zeLmZpukuv17Iwg+DjNzhlltetuKC/nQOFYwnWQgiCunG64V/Bx343cQISJrbB2Tgn8KsFkPXlaY&#10;a3flgi5lrEWCcMhRgYmxy6UMlSGLYeI64uSdnLcYk/S11B6vCW5bOcuyN2mx4bRgsKOtoepc/lkF&#10;x9+9Kdy5OMynrzZ8fhf+VLNXajTsP5YgIvXxGX60v7SC+QLuX9IP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AfLecMAAADbAAAADwAAAAAAAAAAAAAAAACYAgAAZHJzL2Rv&#10;d25yZXYueG1sUEsFBgAAAAAEAAQA9QAAAIgDA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5"/>
                            <w:szCs w:val="15"/>
                            <w:cs w:val="0"/>
                          </w:rPr>
                          <w:t>نظریه عدم تعهد</w:t>
                        </w:r>
                      </w:p>
                    </w:txbxContent>
                  </v:textbox>
                </v:roundrect>
                <v:roundrect id="Text Box 58" o:spid="_x0000_s1039" style="position:absolute;top:13906;width:16002;height:31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ZhfC8AA&#10;AADbAAAADwAAAGRycy9kb3ducmV2LnhtbERP3WrCMBS+H/gO4Qi7GTbtwCHVWEQYerWt1gc4NMem&#10;2JzUJNPu7ZeLwS4/vv9NNdlB3MmH3rGCIstBELdO99wpODfvixWIEJE1Do5JwQ8FqLazpw2W2j24&#10;pvspdiKFcChRgYlxLKUMrSGLIXMjceIuzluMCfpOao+PFG4H+Zrnb9Jiz6nB4Eh7Q+319G0VNLcP&#10;U7tr/bksXmw4fNX+0rFX6nk+7dYgIk3xX/znPmoFyzQ2fU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ZhfC8AAAADbAAAADwAAAAAAAAAAAAAAAACYAgAAZHJzL2Rvd25y&#10;ZXYueG1sUEsFBgAAAAAEAAQA9QAAAIUDA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5"/>
                            <w:szCs w:val="15"/>
                            <w:cs w:val="0"/>
                          </w:rPr>
                          <w:t>نظریه فعالیت</w:t>
                        </w:r>
                      </w:p>
                    </w:txbxContent>
                  </v:textbox>
                </v:roundrect>
                <v:roundrect id="Text Box 59" o:spid="_x0000_s1040" style="position:absolute;top:17526;width:16002;height:315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tT6kMMA&#10;AADbAAAADwAAAGRycy9kb3ducmV2LnhtbESP0WoCMRRE3wv+Q7iCL0WzCha7GqUI0j5pd+0HXDbX&#10;zeLmZpukuv17Iwg+DjNzhlltetuKC/nQOFYwnWQgiCunG64V/Bx34wWIEJE1to5JwT8F2KwHLyvM&#10;tbtyQZcy1iJBOOSowMTY5VKGypDFMHEdcfJOzluMSfpaao/XBLetnGXZm7TYcFow2NHWUHUu/6yC&#10;4+/eFO5cHObTVxs+vwt/qtkrNRr2H0sQkfr4DD/aX1rB/B3uX9IPkOsb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tT6kMMAAADbAAAADwAAAAAAAAAAAAAAAACYAgAAZHJzL2Rv&#10;d25yZXYueG1sUEsFBgAAAAAEAAQA9QAAAIgDA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5"/>
                            <w:szCs w:val="15"/>
                            <w:cs w:val="0"/>
                          </w:rPr>
                          <w:t>نظریه مبادله یا تعامل</w:t>
                        </w:r>
                      </w:p>
                    </w:txbxContent>
                  </v:textbox>
                </v:roundrect>
                <v:roundrect id="Text Box 60" o:spid="_x0000_s1041" style="position:absolute;top:21145;width:16002;height:315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KZsMAA&#10;AADbAAAADwAAAGRycy9kb3ducmV2LnhtbERP3WrCMBS+H/gO4Qi7GTbtYCLVWEQYerWt1gc4NMem&#10;2JzUJNPu7ZeLwS4/vv9NNdlB3MmH3rGCIstBELdO99wpODfvixWIEJE1Do5JwQ8FqLazpw2W2j24&#10;pvspdiKFcChRgYlxLKUMrSGLIXMjceIuzluMCfpOao+PFG4H+ZrnS2mx59RgcKS9ofZ6+rYKmtuH&#10;qd21/nwrXmw4fNX+0rFX6nk+7dYgIk3xX/znPmoFy7Q+fUk/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YKZsMAAAADbAAAADwAAAAAAAAAAAAAAAACYAgAAZHJzL2Rvd25y&#10;ZXYueG1sUEsFBgAAAAAEAAQA9QAAAIUDAAAAAA==&#10;" fillcolor="#f7f4ec" strokecolor="#8aa38a" strokeweight=".5pt">
                  <v:textbox inset="1mm,.5mm,1mm,.5mm">
                    <w:txbxContent>
                      <w:p w:rsidR="0052619A" w:rsidRPr="00A218BA" w:rsidRDefault="0052619A" w:rsidP="0052619A">
                        <w:pPr>
                          <w:jc w:val="center"/>
                          <w:rPr>
                            <w:rFonts w:cs="B Titr"/>
                            <w:cs w:val="0"/>
                          </w:rPr>
                        </w:pPr>
                        <w:r w:rsidRPr="00A218BA">
                          <w:rPr>
                            <w:rFonts w:cs="B Titr"/>
                            <w:color w:val="1F4E5F"/>
                            <w:sz w:val="15"/>
                            <w:szCs w:val="15"/>
                            <w:cs w:val="0"/>
                          </w:rPr>
                          <w:t>نظریه استمرار</w:t>
                        </w:r>
                      </w:p>
                    </w:txbxContent>
                  </v:textbox>
                </v:roundrect>
                <w10:anchorlock/>
              </v:group>
            </w:pict>
          </mc:Fallback>
        </mc:AlternateContent>
      </w:r>
    </w:p>
    <w:p w:rsidR="008908D0" w:rsidRPr="0052619A" w:rsidRDefault="002D5E38" w:rsidP="0052619A">
      <w:pPr>
        <w:pStyle w:val="Caption"/>
        <w:rPr>
          <w:cs w:val="0"/>
        </w:rPr>
      </w:pPr>
      <w:bookmarkStart w:id="37" w:name="_TocFig001"/>
      <w:r w:rsidRPr="0052619A">
        <w:rPr>
          <w:cs w:val="0"/>
        </w:rPr>
        <w:t>شکل</w:t>
      </w:r>
      <w:r w:rsidRPr="0052619A">
        <w:fldChar w:fldCharType="begin"/>
      </w:r>
      <w:r w:rsidRPr="0052619A">
        <w:rPr>
          <w:cs w:val="0"/>
        </w:rPr>
        <w:instrText xml:space="preserve"> SEQ شکل \* ARABIC </w:instrText>
      </w:r>
      <w:r w:rsidRPr="0052619A">
        <w:fldChar w:fldCharType="separate"/>
      </w:r>
      <w:r w:rsidR="00D419F3" w:rsidRPr="0052619A">
        <w:rPr>
          <w:cs w:val="0"/>
        </w:rPr>
        <w:t>1</w:t>
      </w:r>
      <w:r w:rsidRPr="0052619A">
        <w:fldChar w:fldCharType="end"/>
      </w:r>
      <w:r w:rsidRPr="0052619A">
        <w:rPr>
          <w:cs w:val="0"/>
        </w:rPr>
        <w:t>- درختواره نظریه‌های سالمندی (شاخه زیست‌شناختی، روان‌شناختی و جامعه‌شناختی)</w:t>
      </w:r>
      <w:bookmarkEnd w:id="37"/>
    </w:p>
    <w:p w:rsidR="008908D0" w:rsidRDefault="002D5E38">
      <w:pPr>
        <w:spacing w:after="0" w:line="276" w:lineRule="auto"/>
        <w:ind w:firstLine="397"/>
        <w:jc w:val="both"/>
        <w:rPr>
          <w:color w:val="auto"/>
          <w:cs w:val="0"/>
        </w:rPr>
      </w:pPr>
      <w:r>
        <w:rPr>
          <w:rFonts w:hint="cs"/>
          <w:cs w:val="0"/>
        </w:rPr>
        <w:t>ژرونتولوژی</w:t>
      </w:r>
      <w:r>
        <w:rPr>
          <w:rStyle w:val="FootnoteReference"/>
        </w:rPr>
        <w:footnoteReference w:id="28"/>
      </w:r>
      <w:r>
        <w:rPr>
          <w:rFonts w:hint="cs"/>
          <w:cs w:val="0"/>
        </w:rPr>
        <w:t xml:space="preserve"> یا علم پیرشناسی، شاخه‌ای میان‌رشته‌ای از علوم است که فرایند سالمندی را از ابعاد زیستی، روان‌شناختی و اجتماعی مورد مطالعه قرار می‌دهد. این علم به بررسی تغییرات مرتبط با افزایش سن، عوامل مؤثر بر سالمندی، پیامدهای جسمی، روانی و اجتماعی آن و همچنین راهکارهای ارتقای سلامت و کیفیت زندگی سالمندان می‌پردازد. پژوهشگران حوزه سالمندشناسی با تبیین سازوکارهای سالمندی و شناسایی عوامل مؤثر بر آن، در تلاش‌اند تا زمینه دستیابی به سالمندی سالم، حفظ توانمندی‌های عملکردی و ارتقای کیفیت زندگی سالمندان را فراهم کنند. علاوه بر این، نظریه‌های مختلف سالمندی با رویکردهای زیستی، روان‌شناختی و اجتماعی برای تبیین علل و پیامدهای این فرایند ارائه شده‌اند (سازمان جهانی بهداشت</w:t>
      </w:r>
      <w:r>
        <w:rPr>
          <w:rStyle w:val="FootnoteReference"/>
        </w:rPr>
        <w:footnoteReference w:id="29"/>
      </w:r>
      <w:r>
        <w:rPr>
          <w:rFonts w:hint="cs"/>
          <w:cs w:val="0"/>
        </w:rPr>
        <w:t>، ۲۰۲۳؛ سازمان جهانی بهداشت، ۲۰۲۰).</w:t>
      </w:r>
    </w:p>
    <w:p w:rsidR="008908D0" w:rsidRDefault="002D5E38">
      <w:pPr>
        <w:spacing w:after="0" w:line="276" w:lineRule="auto"/>
        <w:ind w:firstLine="397"/>
        <w:jc w:val="both"/>
        <w:rPr>
          <w:cs w:val="0"/>
        </w:rPr>
      </w:pPr>
      <w:r>
        <w:rPr>
          <w:cs w:val="0"/>
        </w:rPr>
        <w:t>در ادامه، این نظریه‌ها در سه شاخه زیست‌شناختی، روان‌شناختی و جامعه‌شناختی مرور می‌شوند. شکل ۱ درختواره همین طبقه‌بندی را نشان می‌دهد و نظریه انتخاب اجتماعی-هیجانی</w:t>
      </w:r>
      <w:r>
        <w:rPr>
          <w:rStyle w:val="FootnoteReference"/>
        </w:rPr>
        <w:footnoteReference w:id="30"/>
      </w:r>
      <w:r>
        <w:rPr>
          <w:cs w:val="0"/>
        </w:rPr>
        <w:t xml:space="preserve"> را نیز در میان نظریه‌های روان‌شناختی جای داده است.</w:t>
      </w:r>
    </w:p>
    <w:p w:rsidR="008908D0" w:rsidRPr="00751210" w:rsidRDefault="002D5E38" w:rsidP="00751210">
      <w:pPr>
        <w:pStyle w:val="Heading4"/>
        <w:rPr>
          <w:cs w:val="0"/>
        </w:rPr>
      </w:pPr>
      <w:bookmarkStart w:id="38" w:name="_Toc239015109"/>
      <w:r w:rsidRPr="00751210">
        <w:rPr>
          <w:cs w:val="0"/>
        </w:rPr>
        <w:lastRenderedPageBreak/>
        <w:t>۲-۱-۲-۱- نظریه‌های زیست شناختی</w:t>
      </w:r>
      <w:bookmarkEnd w:id="38"/>
    </w:p>
    <w:p w:rsidR="008908D0" w:rsidRPr="00751210" w:rsidRDefault="002D5E38">
      <w:pPr>
        <w:spacing w:after="0" w:line="276" w:lineRule="auto"/>
        <w:ind w:firstLine="397"/>
        <w:jc w:val="both"/>
        <w:rPr>
          <w:cs w:val="0"/>
        </w:rPr>
      </w:pPr>
      <w:r>
        <w:rPr>
          <w:rFonts w:hint="cs"/>
          <w:cs w:val="0"/>
        </w:rPr>
        <w:t>نظریه‌های زیست</w:t>
      </w:r>
      <w:r w:rsidR="00751210">
        <w:rPr>
          <w:rtl w:val="0"/>
          <w:cs w:val="0"/>
        </w:rPr>
        <w:t xml:space="preserve"> </w:t>
      </w:r>
      <w:r>
        <w:rPr>
          <w:rFonts w:hint="cs"/>
          <w:cs w:val="0"/>
        </w:rPr>
        <w:t>شناختی به سه دسته تقسیم می شوند:</w:t>
      </w:r>
    </w:p>
    <w:p w:rsidR="008908D0" w:rsidRPr="00751210" w:rsidRDefault="002D5E38" w:rsidP="00751210">
      <w:pPr>
        <w:pStyle w:val="Heading5"/>
        <w:rPr>
          <w:cs w:val="0"/>
        </w:rPr>
      </w:pPr>
      <w:bookmarkStart w:id="39" w:name="_Toc239015110"/>
      <w:r w:rsidRPr="00751210">
        <w:rPr>
          <w:cs w:val="0"/>
        </w:rPr>
        <w:t>۲-۱-۲-۱-۱- نظریه ایمنی</w:t>
      </w:r>
      <w:bookmarkEnd w:id="39"/>
    </w:p>
    <w:p w:rsidR="008908D0" w:rsidRDefault="002D5E38">
      <w:pPr>
        <w:spacing w:after="0" w:line="276" w:lineRule="auto"/>
        <w:ind w:firstLine="397"/>
        <w:jc w:val="both"/>
        <w:rPr>
          <w:cs w:val="0"/>
        </w:rPr>
      </w:pPr>
      <w:r>
        <w:rPr>
          <w:cs w:val="0"/>
        </w:rPr>
        <w:t>در پژوهش‌های سال‌های اخیر، مفهوم «التهاب پیری» یا اینفلامجینگ</w:t>
      </w:r>
      <w:r>
        <w:rPr>
          <w:rStyle w:val="FootnoteReference"/>
        </w:rPr>
        <w:footnoteReference w:id="31"/>
      </w:r>
      <w:r>
        <w:rPr>
          <w:cs w:val="0"/>
        </w:rPr>
        <w:t xml:space="preserve"> به محور تبیین ایمنی‌شناختی سالمندی بدل شده است. اینفلامجینگ به التهاب مزمن، خفیف و استریل گفته می‌شود که با افزایش سن و در نبود عفونت آشکار پدید می‌آید و با پیری ایمنی درهم‌تنیده است. این دیدگاه ایمنی‌متابولیک بر آن دلالت دارد که بازآرایی دستگاه ایمنی در طول عمر، همزمان می‌تواند مقاومت در برابر برخی تهدیدها را حفظ کند و زمینه بیماری‌های وابسته به سن را فراهم آورد. از همین‌رو، نظریه‌های معاصر ایمنی و التهاب را نه دو فرایند جدا، بلکه دو روی یک سکه می‌دانند (فرانچسکی</w:t>
      </w:r>
      <w:r>
        <w:rPr>
          <w:rStyle w:val="FootnoteReference"/>
        </w:rPr>
        <w:footnoteReference w:id="32"/>
      </w:r>
      <w:r>
        <w:rPr>
          <w:cs w:val="0"/>
        </w:rPr>
        <w:t xml:space="preserve"> و همکاران، ۲۰۱۸؛ فولپ</w:t>
      </w:r>
      <w:r>
        <w:rPr>
          <w:rStyle w:val="FootnoteReference"/>
        </w:rPr>
        <w:footnoteReference w:id="33"/>
      </w:r>
      <w:r>
        <w:rPr>
          <w:cs w:val="0"/>
        </w:rPr>
        <w:t xml:space="preserve"> و همکاران، ۲۰۲۳).</w:t>
      </w:r>
    </w:p>
    <w:p w:rsidR="008908D0" w:rsidRDefault="002D5E38">
      <w:pPr>
        <w:spacing w:after="0" w:line="276" w:lineRule="auto"/>
        <w:ind w:firstLine="397"/>
        <w:jc w:val="both"/>
        <w:rPr>
          <w:color w:val="auto"/>
          <w:cs w:val="0"/>
        </w:rPr>
      </w:pPr>
      <w:r>
        <w:rPr>
          <w:rFonts w:hint="cs"/>
          <w:cs w:val="0"/>
        </w:rPr>
        <w:t>بر اساس نظریه ایمنی، پیری تا حدی نتیجه تغییرات تدریجی در عملکرد سیستم ایمنی بدن است. سیستم ایمنی وظیفه شناسایی و حذف عوامل بیماری‌زا مانند ویروس‌ها، باکتری‌ها، قارچ‌ها و علاوه بر این سلول‌های غیرطبیعی برای مثال سلول‌های توموری را بر عهده دارد. با افزایش سن، کارایی سیستم ایمنی کاهش یافته و پدیده‌ای به نام پیری ایمنی رخ می‌دهد که با کاهش پاسخ ایمنی، افزایش استعداد ابتلا به عفونت‌ها، سرطان و بیماری‌های مزمن همراه است. در کنار این، در سالمندی احتمال بروز پاسخ‌های خودایمنی و التهاب مزمن نیز افزایش می‌یابد که می‌تواند به آسیب بافت‌های سالم بدن منجر شود. اگرچه نظریه ایمنی</w:t>
      </w:r>
      <w:r>
        <w:rPr>
          <w:rStyle w:val="FootnoteReference"/>
        </w:rPr>
        <w:footnoteReference w:id="34"/>
      </w:r>
      <w:r>
        <w:rPr>
          <w:rFonts w:hint="cs"/>
          <w:cs w:val="0"/>
        </w:rPr>
        <w:t xml:space="preserve"> بخشی از فرایند سالمندی را تبیین می‌کند، اما به‌تنهایی قادر به توضیح همه جنبه‌های پیچیده پیری نیست و امروزه در کنار سایر نظریه‌های زیستی مورد بررسی قرار می‌گیرد (نیکولاس</w:t>
      </w:r>
      <w:r>
        <w:rPr>
          <w:rStyle w:val="FootnoteReference"/>
        </w:rPr>
        <w:footnoteReference w:id="35"/>
      </w:r>
      <w:r>
        <w:rPr>
          <w:rFonts w:hint="cs"/>
          <w:cs w:val="0"/>
        </w:rPr>
        <w:t xml:space="preserve"> و همکاران، ۲۰۲۳؛ فولپ و همکاران، ۲۰۲۳).</w:t>
      </w:r>
    </w:p>
    <w:p w:rsidR="008908D0" w:rsidRPr="00751210" w:rsidRDefault="002D5E38" w:rsidP="00751210">
      <w:pPr>
        <w:pStyle w:val="Heading5"/>
        <w:rPr>
          <w:cs w:val="0"/>
        </w:rPr>
      </w:pPr>
      <w:bookmarkStart w:id="40" w:name="_Toc239015111"/>
      <w:r w:rsidRPr="00751210">
        <w:rPr>
          <w:cs w:val="0"/>
        </w:rPr>
        <w:t>۲-۱-۲-۱-۲- نظریه پیر شدن سلولی</w:t>
      </w:r>
      <w:bookmarkEnd w:id="40"/>
    </w:p>
    <w:p w:rsidR="008908D0" w:rsidRDefault="002D5E38">
      <w:pPr>
        <w:spacing w:after="0" w:line="276" w:lineRule="auto"/>
        <w:ind w:firstLine="397"/>
        <w:jc w:val="both"/>
        <w:rPr>
          <w:color w:val="auto"/>
          <w:cs w:val="0"/>
        </w:rPr>
      </w:pPr>
      <w:r>
        <w:rPr>
          <w:rFonts w:hint="cs"/>
          <w:cs w:val="0"/>
        </w:rPr>
        <w:t xml:space="preserve">بر اساس نظریه پیری سلولی، سالمندی نتیجه تجمع تدریجی آسیب‌های مولکولی و سلولی، به‌ویژه در ماده ژنتیکی سلول‌ها </w:t>
      </w:r>
      <w:r>
        <w:rPr>
          <w:rFonts w:hint="cs"/>
          <w:rtl w:val="0"/>
          <w:cs w:val="0"/>
        </w:rPr>
        <w:t>(DNA)</w:t>
      </w:r>
      <w:r>
        <w:rPr>
          <w:rFonts w:hint="cs"/>
          <w:cs w:val="0"/>
        </w:rPr>
        <w:t xml:space="preserve">، است. در طول زندگی، عوامل درونی و محیطی موجب بروز آسیب در </w:t>
      </w:r>
      <w:r>
        <w:rPr>
          <w:rFonts w:hint="cs"/>
          <w:rtl w:val="0"/>
          <w:cs w:val="0"/>
        </w:rPr>
        <w:t xml:space="preserve">DNA </w:t>
      </w:r>
      <w:r>
        <w:rPr>
          <w:rFonts w:hint="cs"/>
          <w:cs w:val="0"/>
        </w:rPr>
        <w:t>و سایر اجزای سلول می‌شوند و با کاهش توانایی سیستم‌های ترمیم</w:t>
      </w:r>
      <w:r>
        <w:rPr>
          <w:rFonts w:hint="cs"/>
          <w:rtl w:val="0"/>
          <w:cs w:val="0"/>
        </w:rPr>
        <w:t>DNA</w:t>
      </w:r>
      <w:r>
        <w:rPr>
          <w:rFonts w:hint="cs"/>
          <w:cs w:val="0"/>
        </w:rPr>
        <w:t xml:space="preserve">، این آسیب‌ها به‌تدریج انباشته می‌شوند. در نتیجه، عملکرد طبیعی سلول‌ها مختل شده و ظرفیت تکثیر و بازسازی آن‌ها کاهش می‌یابد. در کنار این، کوتاه شدن تلومرها، تغییرات اپی‌ژنتیکی، اختلال در بیان ژن‌ها و ورود سلول‌ها به مرحله پیری </w:t>
      </w:r>
      <w:r>
        <w:rPr>
          <w:rFonts w:hint="cs"/>
          <w:cs w:val="0"/>
        </w:rPr>
        <w:lastRenderedPageBreak/>
        <w:t>سلولی از مهم‌ترین سازوکارهای مؤثر در این فرایند به شمار می‌روند. این تغییرات در نهایت باعث کاهش عملکرد بافت‌ها و اندام‌ها، افت توانایی ترمیم، افزایش سفتی بافت‌ها و بروز تدریجی ویژگی‌های سالمندی می‌شوند. با این حال، پژوهشگران معتقدند که پیری سلولی تنها یکی از مکانیسم‌های زیستی سالمندی است و برای تبیین کامل این فرایند باید سایر عوامل ژنتیکی، متابولیکی و محیطی نیز در نظر گرفته شوند (لوپز-اوتین</w:t>
      </w:r>
      <w:r>
        <w:rPr>
          <w:rStyle w:val="FootnoteReference"/>
        </w:rPr>
        <w:footnoteReference w:id="36"/>
      </w:r>
      <w:r>
        <w:rPr>
          <w:rFonts w:hint="cs"/>
          <w:cs w:val="0"/>
        </w:rPr>
        <w:t xml:space="preserve"> و همکاران، ۲۰۲۳؛ کامپیزی</w:t>
      </w:r>
      <w:r>
        <w:rPr>
          <w:rStyle w:val="FootnoteReference"/>
        </w:rPr>
        <w:footnoteReference w:id="37"/>
      </w:r>
      <w:r>
        <w:rPr>
          <w:rFonts w:hint="cs"/>
          <w:cs w:val="0"/>
        </w:rPr>
        <w:t>، ۲۰۲۴).</w:t>
      </w:r>
    </w:p>
    <w:p w:rsidR="008908D0" w:rsidRDefault="002D5E38">
      <w:pPr>
        <w:spacing w:after="0" w:line="276" w:lineRule="auto"/>
        <w:ind w:firstLine="397"/>
        <w:jc w:val="both"/>
        <w:rPr>
          <w:cs w:val="0"/>
        </w:rPr>
      </w:pPr>
      <w:r>
        <w:rPr>
          <w:cs w:val="0"/>
        </w:rPr>
        <w:t>بازنگری‌های زیست‌شناسی سالمندی، پیری سلولی را در چارچوب «نشانه‌های دوازده‌گانه سالمندی» جای داده‌اند؛ به عنوان نمونه بی‌ثباتی ژنوم، کوتاه شدن تلومر، تغییرات اپی‌ژنتیکی، اختلال پروتئوستاز، نارسایی خودخواری سلولی، اختلال حس مواد مغذی، بدکاری میتوکندری، پیری سلولی، فرسودگی سلول‌های بنیادی، تغییر ارتباط بین‌سلولی، التهاب مزمن و دسبیوز. این چارچوب تأکید می‌کند که پیری سلولی با سایر نشانه‌ها در شبکه‌ای به‌هم‌پیوسته عمل می‌کند و مداخله بر یکی می‌تواند بر بقیه اثر بگذارد (لوپز-اوتین و همکاران، ۲۰۲۳).</w:t>
      </w:r>
    </w:p>
    <w:p w:rsidR="008908D0" w:rsidRPr="00751210" w:rsidRDefault="002D5E38" w:rsidP="00751210">
      <w:pPr>
        <w:pStyle w:val="Heading5"/>
        <w:rPr>
          <w:cs w:val="0"/>
        </w:rPr>
      </w:pPr>
      <w:bookmarkStart w:id="41" w:name="_Toc239015112"/>
      <w:r w:rsidRPr="00751210">
        <w:rPr>
          <w:cs w:val="0"/>
        </w:rPr>
        <w:t>۲-۱-۲-۱-۳- نظریه رادیکال آزاد</w:t>
      </w:r>
      <w:bookmarkEnd w:id="41"/>
    </w:p>
    <w:p w:rsidR="008908D0" w:rsidRDefault="002D5E38">
      <w:pPr>
        <w:spacing w:after="0" w:line="276" w:lineRule="auto"/>
        <w:ind w:firstLine="397"/>
        <w:jc w:val="both"/>
        <w:rPr>
          <w:color w:val="auto"/>
          <w:cs w:val="0"/>
        </w:rPr>
      </w:pPr>
      <w:r>
        <w:rPr>
          <w:rFonts w:hint="cs"/>
          <w:cs w:val="0"/>
        </w:rPr>
        <w:t xml:space="preserve">بر اساس نظریه رادیکال‌های آزاد، سالمندی تا حدی نتیجه تجمع آسیب‌های ناشی از گونه‌های فعال اکسیژن و سایر رادیکال‌های آزاد در سلول‌ها است. این مولکول‌های بسیار واکنش‌پذیر در جریان فرایندهای طبیعی متابولیسم، به‌ویژه در میتوکندری، تولید می‌شوند و در صورت برهم خوردن تعادل میان تولید آن‌ها و ظرفیت سیستم‌های آنتی‌اکسیدانی، موجب بروز استرس اکسیداتیو می‌شوند. استرس اکسیداتیو می‌تواند به </w:t>
      </w:r>
      <w:r>
        <w:rPr>
          <w:rFonts w:hint="cs"/>
          <w:rtl w:val="0"/>
          <w:cs w:val="0"/>
        </w:rPr>
        <w:t>DNA</w:t>
      </w:r>
      <w:r>
        <w:rPr>
          <w:rFonts w:hint="cs"/>
          <w:cs w:val="0"/>
        </w:rPr>
        <w:t xml:space="preserve">، پروتئین‌ها، لیپیدهای غشایی و سایر اجزای سلولی آسیب برساند و به اختلال عملکرد سلول‌ها و بافت‌ها منجر شود. در کنار این، با افزایش سن تغییراتی در بافت همبند مانند افزایش پیوندهای عرضی رشته‌های کلاژن و کاهش خاصیت ارتجاعی آن‌ها مشاهده می‌شود. از سوی دیگر، تجمع رنگدانه لیپوفوسین که حاصل اکسیداسیون لیپیدها و پروتئین‌ها است، یکی از شاخص‌های شناخته‌شده پیری سلولی محسوب می‌شود و می‌تواند با اختلال در عملکرد طبیعی سلول‌ها و کاهش توانایی آن‌ها در دفع مواد زائد، در فرایند سالمندی نقش داشته باشد. اگرچه امروزه نقش استرس اکسیداتیو در سالمندی به‌خوبی پذیرفته شده است، </w:t>
      </w:r>
      <w:r>
        <w:rPr>
          <w:rFonts w:hint="cs"/>
          <w:cs w:val="0"/>
        </w:rPr>
        <w:lastRenderedPageBreak/>
        <w:t>اما پژوهشگران معتقدند که این نظریه به‌تنهایی قادر به تبیین تمامی ابعاد پیچیده سالمندی نیست و باید در کنار سایر مکانیسم‌های زیستی مورد بررسی قرار گیرد (لوپز-اوتین</w:t>
      </w:r>
      <w:r>
        <w:rPr>
          <w:rStyle w:val="FootnoteReference"/>
        </w:rPr>
        <w:footnoteReference w:id="38"/>
      </w:r>
      <w:r>
        <w:rPr>
          <w:rFonts w:hint="cs"/>
          <w:cs w:val="0"/>
        </w:rPr>
        <w:t xml:space="preserve"> و همکاران، ۲۰۲۳؛ گلادیشف</w:t>
      </w:r>
      <w:r>
        <w:rPr>
          <w:rStyle w:val="FootnoteReference"/>
        </w:rPr>
        <w:footnoteReference w:id="39"/>
      </w:r>
      <w:r>
        <w:rPr>
          <w:rFonts w:hint="cs"/>
          <w:cs w:val="0"/>
        </w:rPr>
        <w:t>، ۲۰۲۴).</w:t>
      </w:r>
    </w:p>
    <w:p w:rsidR="008908D0" w:rsidRDefault="002D5E38">
      <w:pPr>
        <w:spacing w:after="0" w:line="276" w:lineRule="auto"/>
        <w:ind w:firstLine="397"/>
        <w:jc w:val="both"/>
        <w:rPr>
          <w:cs w:val="0"/>
        </w:rPr>
      </w:pPr>
      <w:r>
        <w:rPr>
          <w:cs w:val="0"/>
        </w:rPr>
        <w:t>همسو با همین چارچوب یکپارچه، استرس اکسیداتیو و بدکاری میتوکندری امروزه بیشتر به‌عنوان یکی از نشانه‌های درهم‌تنیده سالمندی دیده می‌شوند تا علت واحد پیری. بر این اساس، رادیکال‌های آزاد هم در آسیب سلولی و هم در پیام‌رسانی فیزیولوژیک نقش دارند و کاهش یا افزایش نامتعادل آن‌ها می‌تواند مسیر سالمندی را تغییر دهد (لوپز-اوتین و همکاران، ۲۰۲۳؛ گلادیشف، ۲۰۲۴).</w:t>
      </w:r>
    </w:p>
    <w:p w:rsidR="008908D0" w:rsidRPr="006E448F" w:rsidRDefault="002D5E38" w:rsidP="006E448F">
      <w:pPr>
        <w:pStyle w:val="Heading4"/>
        <w:rPr>
          <w:cs w:val="0"/>
        </w:rPr>
      </w:pPr>
      <w:bookmarkStart w:id="42" w:name="_Toc239015113"/>
      <w:r w:rsidRPr="006E448F">
        <w:rPr>
          <w:cs w:val="0"/>
        </w:rPr>
        <w:t>۲-۱-۲-۲- نظریه‌های روانشناختی</w:t>
      </w:r>
      <w:bookmarkEnd w:id="42"/>
    </w:p>
    <w:p w:rsidR="008908D0" w:rsidRDefault="002D5E38">
      <w:pPr>
        <w:spacing w:after="0" w:line="276" w:lineRule="auto"/>
        <w:ind w:firstLine="397"/>
        <w:jc w:val="both"/>
        <w:rPr>
          <w:color w:val="auto"/>
          <w:cs w:val="0"/>
        </w:rPr>
      </w:pPr>
      <w:r>
        <w:rPr>
          <w:rFonts w:hint="cs"/>
          <w:cs w:val="0"/>
        </w:rPr>
        <w:t>نظریه‌های روان‌شناختی سالمندی در تلاش‌اند تا فرایند پیری را از منظر تغییرات روانی، شناختی، هیجانی و اجتماعی تبیین کرده و الگوهای رفتاری و سازگاری افراد سالمند را در این دوره از زندگی توضیح دهند (حسینی و همکاران، ۱۴۰۲).</w:t>
      </w:r>
    </w:p>
    <w:p w:rsidR="008908D0" w:rsidRDefault="002D5E38">
      <w:pPr>
        <w:spacing w:after="0" w:line="276" w:lineRule="auto"/>
        <w:ind w:firstLine="397"/>
        <w:jc w:val="both"/>
        <w:rPr>
          <w:cs w:val="0"/>
        </w:rPr>
      </w:pPr>
      <w:r>
        <w:rPr>
          <w:cs w:val="0"/>
        </w:rPr>
        <w:t>در کنار نظریه‌های کلاسیک مراحل زندگی، نظریه انتخاب اجتماعی-هیجانی</w:t>
      </w:r>
      <w:r>
        <w:rPr>
          <w:rStyle w:val="FootnoteReference"/>
        </w:rPr>
        <w:footnoteReference w:id="40"/>
      </w:r>
      <w:r>
        <w:rPr>
          <w:cs w:val="0"/>
        </w:rPr>
        <w:t xml:space="preserve"> در دهه‌های اخیر پشتوانه تجربی گسترده‌ای یافته و انگیزش هیجانی سالمندان را بر پایه ادراک زمان تبیین کرده است (کارستنسن</w:t>
      </w:r>
      <w:r>
        <w:rPr>
          <w:rStyle w:val="FootnoteReference"/>
        </w:rPr>
        <w:footnoteReference w:id="41"/>
      </w:r>
      <w:r>
        <w:rPr>
          <w:cs w:val="0"/>
        </w:rPr>
        <w:t>، ۲۰۲۱).</w:t>
      </w:r>
    </w:p>
    <w:p w:rsidR="008908D0" w:rsidRDefault="002D5E38" w:rsidP="006E448F">
      <w:pPr>
        <w:pStyle w:val="Heading5"/>
        <w:rPr>
          <w:cs w:val="0"/>
        </w:rPr>
      </w:pPr>
      <w:bookmarkStart w:id="43" w:name="_Toc239015114"/>
      <w:r>
        <w:rPr>
          <w:cs w:val="0"/>
        </w:rPr>
        <w:t xml:space="preserve">۲-۱-۲-۲-۱- </w:t>
      </w:r>
      <w:r w:rsidRPr="006E448F">
        <w:rPr>
          <w:cs w:val="0"/>
        </w:rPr>
        <w:t>نظریه</w:t>
      </w:r>
      <w:r>
        <w:rPr>
          <w:cs w:val="0"/>
        </w:rPr>
        <w:t xml:space="preserve"> گولد</w:t>
      </w:r>
      <w:bookmarkEnd w:id="43"/>
    </w:p>
    <w:p w:rsidR="008908D0" w:rsidRDefault="002D5E38">
      <w:pPr>
        <w:spacing w:after="0" w:line="276" w:lineRule="auto"/>
        <w:ind w:firstLine="397"/>
        <w:jc w:val="both"/>
        <w:rPr>
          <w:color w:val="auto"/>
          <w:cs w:val="0"/>
        </w:rPr>
      </w:pPr>
      <w:r>
        <w:rPr>
          <w:rFonts w:hint="cs"/>
          <w:cs w:val="0"/>
        </w:rPr>
        <w:t>راجر گولد</w:t>
      </w:r>
      <w:r>
        <w:rPr>
          <w:rStyle w:val="FootnoteReference"/>
        </w:rPr>
        <w:footnoteReference w:id="42"/>
      </w:r>
      <w:r>
        <w:rPr>
          <w:rFonts w:hint="cs"/>
          <w:cs w:val="0"/>
        </w:rPr>
        <w:t xml:space="preserve"> سالمندی را مرحله‌ای از زندگی می‌داند که با افزایش نرم‌خویی، گرمی عاطفی، بازنگری در روابط با والدین، فرزندان و دوستان، مرور تجربه‌های گذشته و طرح دوباره پرسش‌هایی درباره معنا و هدف زندگی همراه است. از دیدگاه وی، در این دوره افراد بیش از گذشته به برقراری روابط عمیق و معنادار و دستیابی به احساس انسجام و رضایت در زندگی گرایش پیدا می‌کنند (گولد، ۲۰۰۱، ترجمه فروغان، ۱۳۹۲).</w:t>
      </w:r>
    </w:p>
    <w:p w:rsidR="008908D0" w:rsidRDefault="002D5E38">
      <w:pPr>
        <w:spacing w:after="0" w:line="276" w:lineRule="auto"/>
        <w:ind w:firstLine="397"/>
        <w:jc w:val="both"/>
        <w:rPr>
          <w:cs w:val="0"/>
        </w:rPr>
      </w:pPr>
      <w:r>
        <w:rPr>
          <w:cs w:val="0"/>
        </w:rPr>
        <w:t>اگرچه صورت‌بندی گولد</w:t>
      </w:r>
      <w:r>
        <w:rPr>
          <w:rStyle w:val="FootnoteReference"/>
        </w:rPr>
        <w:footnoteReference w:id="43"/>
      </w:r>
      <w:r>
        <w:rPr>
          <w:cs w:val="0"/>
        </w:rPr>
        <w:t xml:space="preserve"> بیشتر بالینی و روایی است تا آزمون‌پذیر به شیوه نظریه‌های متأخر، تأکید او بر بازنگری معنا و روابط در نیمه دوم زندگی با یافته‌های جدیدتر درباره اولویت اهداف معنادار در سالمندی همسو است (کارستنسن</w:t>
      </w:r>
      <w:r>
        <w:rPr>
          <w:rStyle w:val="FootnoteReference"/>
        </w:rPr>
        <w:footnoteReference w:id="44"/>
      </w:r>
      <w:r>
        <w:rPr>
          <w:cs w:val="0"/>
        </w:rPr>
        <w:t>، ۲۰۲۱).</w:t>
      </w:r>
    </w:p>
    <w:p w:rsidR="008908D0" w:rsidRDefault="002D5E38" w:rsidP="006E448F">
      <w:pPr>
        <w:pStyle w:val="Heading5"/>
        <w:rPr>
          <w:cs w:val="0"/>
        </w:rPr>
      </w:pPr>
      <w:bookmarkStart w:id="44" w:name="_Toc239015115"/>
      <w:r>
        <w:rPr>
          <w:cs w:val="0"/>
        </w:rPr>
        <w:lastRenderedPageBreak/>
        <w:t xml:space="preserve">۲-۱-۲-۲-۲- </w:t>
      </w:r>
      <w:r w:rsidRPr="006E448F">
        <w:rPr>
          <w:cs w:val="0"/>
        </w:rPr>
        <w:t>نظریه</w:t>
      </w:r>
      <w:r>
        <w:rPr>
          <w:cs w:val="0"/>
        </w:rPr>
        <w:t xml:space="preserve"> لوینسون و شی</w:t>
      </w:r>
      <w:bookmarkEnd w:id="44"/>
    </w:p>
    <w:p w:rsidR="008908D0" w:rsidRDefault="002D5E38">
      <w:pPr>
        <w:spacing w:after="0" w:line="276" w:lineRule="auto"/>
        <w:ind w:firstLine="397"/>
        <w:jc w:val="both"/>
        <w:rPr>
          <w:cs w:val="0"/>
        </w:rPr>
      </w:pPr>
      <w:r>
        <w:rPr>
          <w:cs w:val="0"/>
        </w:rPr>
        <w:t>صورت‌بندی مرحله‌ای لوینسون</w:t>
      </w:r>
      <w:r>
        <w:rPr>
          <w:rStyle w:val="FootnoteReference"/>
        </w:rPr>
        <w:footnoteReference w:id="45"/>
      </w:r>
      <w:r>
        <w:rPr>
          <w:cs w:val="0"/>
        </w:rPr>
        <w:t xml:space="preserve"> و شی</w:t>
      </w:r>
      <w:r>
        <w:rPr>
          <w:rStyle w:val="FootnoteReference"/>
        </w:rPr>
        <w:footnoteReference w:id="46"/>
      </w:r>
      <w:r>
        <w:rPr>
          <w:cs w:val="0"/>
        </w:rPr>
        <w:t xml:space="preserve"> امروزه کمتر به‌عنوان توالی ثابت همگانی پذیرفته می‌شود؛ با این حال، ایده مواجهه با خود و بازتعریف اهداف در بزرگسالی با پژوهش‌های معاصر انگیزش وابسته به زمان هم‌خوانی دارد (کارستنسن</w:t>
      </w:r>
      <w:r>
        <w:rPr>
          <w:rStyle w:val="FootnoteReference"/>
        </w:rPr>
        <w:footnoteReference w:id="47"/>
      </w:r>
      <w:r>
        <w:rPr>
          <w:cs w:val="0"/>
        </w:rPr>
        <w:t>، ۲۰۰۶).</w:t>
      </w:r>
    </w:p>
    <w:p w:rsidR="008908D0" w:rsidRDefault="002D5E38">
      <w:pPr>
        <w:spacing w:after="0" w:line="276" w:lineRule="auto"/>
        <w:ind w:firstLine="397"/>
        <w:jc w:val="both"/>
        <w:rPr>
          <w:color w:val="auto"/>
          <w:cs w:val="0"/>
        </w:rPr>
      </w:pPr>
      <w:r>
        <w:rPr>
          <w:rFonts w:hint="cs"/>
          <w:cs w:val="0"/>
        </w:rPr>
        <w:t>دانیل لوینسون (۱۹۷۸؛ به نقل از رایس، ۲۰۰۱، ترجمه فروغان، ۱۳۹۲) سالمندی را مواجهه با خود و زندگی و نیاز به برقراری صلح جهانی میداند. شی (۱۹۷۹؛ به نقل از منصور، ۱۳۸۶) سالمندی را مرحله ایجاد وحدت و تمامیت میداند و فرد بیشتر بر هدفها و اعمال خویش متمرکز است و از بسیاری از فعالیتها انصراف حاصل میکند.</w:t>
      </w:r>
    </w:p>
    <w:p w:rsidR="008908D0" w:rsidRDefault="002D5E38" w:rsidP="006E448F">
      <w:pPr>
        <w:pStyle w:val="Heading5"/>
        <w:rPr>
          <w:cs w:val="0"/>
        </w:rPr>
      </w:pPr>
      <w:bookmarkStart w:id="45" w:name="_Toc239015116"/>
      <w:r>
        <w:rPr>
          <w:cs w:val="0"/>
        </w:rPr>
        <w:t xml:space="preserve">۲-۱-۲-۲-۳- </w:t>
      </w:r>
      <w:r w:rsidRPr="006E448F">
        <w:rPr>
          <w:cs w:val="0"/>
        </w:rPr>
        <w:t>نظریه</w:t>
      </w:r>
      <w:r>
        <w:rPr>
          <w:cs w:val="0"/>
        </w:rPr>
        <w:t xml:space="preserve"> اریکسون</w:t>
      </w:r>
      <w:bookmarkEnd w:id="45"/>
    </w:p>
    <w:p w:rsidR="008908D0" w:rsidRDefault="002D5E38">
      <w:pPr>
        <w:spacing w:after="0" w:line="276" w:lineRule="auto"/>
        <w:ind w:firstLine="397"/>
        <w:jc w:val="both"/>
        <w:rPr>
          <w:color w:val="auto"/>
          <w:cs w:val="0"/>
        </w:rPr>
      </w:pPr>
      <w:r>
        <w:rPr>
          <w:rFonts w:hint="cs"/>
          <w:cs w:val="0"/>
        </w:rPr>
        <w:t>از دیدگاه اریکسون</w:t>
      </w:r>
      <w:r>
        <w:rPr>
          <w:rStyle w:val="FootnoteReference"/>
        </w:rPr>
        <w:footnoteReference w:id="48"/>
      </w:r>
      <w:r>
        <w:rPr>
          <w:rFonts w:hint="cs"/>
          <w:cs w:val="0"/>
        </w:rPr>
        <w:t>، واپسین مرحله رشد روانی ـ اجتماعی با تعارض «انسجام من در برابر ناامیدی» مشخص می‌شود. در این مرحله، سالمندان زندگی گذشته خود را مرور و موفقیت‌ها و شکست‌هایشان را ارزیابی می‌کنند و می‌کوشند برای زندگی خود معنا و انسجام بیابند. افرادی که گذشته خود را با احساس رضایت و پذیرش ارزیابی می‌کنند، به احساس انسجام، آرامش و خرد دست می‌یابند؛ در مقابل، کسانی که زندگی خود را سرشار از فرصت‌های ازدست‌رفته و ناکامی می‌دانند، ممکن است دچار احساس ناامیدی، پوچی و ترس از مرگ شوند. از این‌رو، دستیابی به احساس انسجام در این مرحله سهم عمده‌ای در سلامت روان و سازگاری سالمندان دارد (اریکسون، ۱۹۸۲؛ اریکسون و کیونیو</w:t>
      </w:r>
      <w:r>
        <w:rPr>
          <w:rStyle w:val="FootnoteReference"/>
        </w:rPr>
        <w:footnoteReference w:id="49"/>
      </w:r>
      <w:r>
        <w:rPr>
          <w:rFonts w:hint="cs"/>
          <w:cs w:val="0"/>
        </w:rPr>
        <w:t>، ۱۹۸۶).</w:t>
      </w:r>
    </w:p>
    <w:p w:rsidR="008908D0" w:rsidRDefault="002D5E38">
      <w:pPr>
        <w:spacing w:after="0" w:line="276" w:lineRule="auto"/>
        <w:ind w:firstLine="397"/>
        <w:jc w:val="both"/>
        <w:rPr>
          <w:cs w:val="0"/>
        </w:rPr>
      </w:pPr>
      <w:r>
        <w:rPr>
          <w:cs w:val="0"/>
        </w:rPr>
        <w:t>مطالعات جدیدتر نشان داده‌اند که انسجام من با حالت‌های سلامت روان مرتبط است، در حالی که ناامیدی بیشتر با ویژگی شخصیتی روان‌رنجورخویی پیوند دارد؛ بنابراین تعارض پایانی اریکسون همچنان برای فهم سازگاری و سلامت روان سالمندان راهگشا است (وسترهاف</w:t>
      </w:r>
      <w:r>
        <w:rPr>
          <w:rStyle w:val="FootnoteReference"/>
        </w:rPr>
        <w:footnoteReference w:id="50"/>
      </w:r>
      <w:r>
        <w:rPr>
          <w:cs w:val="0"/>
        </w:rPr>
        <w:t>، بولمایر</w:t>
      </w:r>
      <w:r>
        <w:rPr>
          <w:rStyle w:val="FootnoteReference"/>
        </w:rPr>
        <w:footnoteReference w:id="51"/>
      </w:r>
      <w:r>
        <w:rPr>
          <w:cs w:val="0"/>
        </w:rPr>
        <w:t xml:space="preserve"> و مک‌آدامز</w:t>
      </w:r>
      <w:r>
        <w:rPr>
          <w:rStyle w:val="FootnoteReference"/>
        </w:rPr>
        <w:footnoteReference w:id="52"/>
      </w:r>
      <w:r>
        <w:rPr>
          <w:cs w:val="0"/>
        </w:rPr>
        <w:t>، ۲۰۱۷).</w:t>
      </w:r>
    </w:p>
    <w:p w:rsidR="008908D0" w:rsidRPr="00751210" w:rsidRDefault="002D5E38" w:rsidP="00751210">
      <w:pPr>
        <w:pStyle w:val="Heading5"/>
        <w:rPr>
          <w:cs w:val="0"/>
        </w:rPr>
      </w:pPr>
      <w:bookmarkStart w:id="46" w:name="_Toc239015117"/>
      <w:r w:rsidRPr="00751210">
        <w:rPr>
          <w:cs w:val="0"/>
        </w:rPr>
        <w:lastRenderedPageBreak/>
        <w:t>۲-۱-۲-۲-۴- نظریه انتخاب اجتماعی-هیجانی</w:t>
      </w:r>
      <w:bookmarkEnd w:id="46"/>
    </w:p>
    <w:p w:rsidR="008908D0" w:rsidRDefault="002D5E38">
      <w:pPr>
        <w:spacing w:after="0" w:line="276" w:lineRule="auto"/>
        <w:ind w:firstLine="397"/>
        <w:jc w:val="both"/>
        <w:rPr>
          <w:cs w:val="0"/>
        </w:rPr>
      </w:pPr>
      <w:r>
        <w:rPr>
          <w:cs w:val="0"/>
        </w:rPr>
        <w:t>نظریه انتخاب اجتماعی-هیجانی</w:t>
      </w:r>
      <w:r>
        <w:rPr>
          <w:rStyle w:val="FootnoteReference"/>
        </w:rPr>
        <w:footnoteReference w:id="53"/>
      </w:r>
      <w:r>
        <w:rPr>
          <w:cs w:val="0"/>
        </w:rPr>
        <w:t xml:space="preserve"> که توسط لورا کارستنسن</w:t>
      </w:r>
      <w:r>
        <w:rPr>
          <w:rStyle w:val="FootnoteReference"/>
        </w:rPr>
        <w:footnoteReference w:id="54"/>
      </w:r>
      <w:r>
        <w:rPr>
          <w:cs w:val="0"/>
        </w:rPr>
        <w:t xml:space="preserve"> مطرح شد، یکی از تأثیرگذارترین تبیین‌های روان‌شناختی معاصر از انگیزش، روابط اجتماعی و تجربه هیجانی در بزرگسالی و سالمندی است. بر اساس این نظریه، ادراک افراد از افق زمانی باقی‌مانده زندگی، و نه صرفاً سن تقویمی، جهت‌گیری اهداف را تعیین می‌کند. هنگامی که آینده گسترده و باز تصور می‌شود، اهداف معطوف به کسب دانش، کشف و گسترش شبکه اجتماعی در اولویت قرار می‌گیرند؛ اما وقتی زمان باقی‌مانده محدود ادراک می‌شود ــ وضعیتی که در سالمندی شایع‌تر است ــ افراد اهداف هیجانی و معنادار را ترجیح می‌دهند، شبکه اجتماعی خود را گزینشی‌تر می‌کنند و بیش از پیش به روابط نزدیک و تجربه‌های رضایت‌بخش حال حاضر روی می‌آورند. این تغییر انگیزشی با «اثر مثبت‌نگری</w:t>
      </w:r>
      <w:r>
        <w:rPr>
          <w:rStyle w:val="FootnoteReference"/>
        </w:rPr>
        <w:footnoteReference w:id="55"/>
      </w:r>
      <w:r>
        <w:rPr>
          <w:cs w:val="0"/>
        </w:rPr>
        <w:t>» در توجه و حافظه سالمندان همراه دانسته شده است؛ یعنی سوگیری به اطلاعات مثبت در مقایسه با اطلاعات منفی. شواهد تجربی، مانند فراتحلیل مطالعات این حوزه، پایداری نسبی این اثر را تأیید کرده‌اند. بازنگری‌های جدیدتر نظریه نیز بر نقش ادراک پایان‌ها در انگیزش انسان تأکید کرده‌اند و کاربردهایی برای ارتباط با سالمندان و فهم سازگاری هیجانی در مواجهه با محدودیت زمانی ــ نظیر آگاهی از پایان زندگی ــ پیشنهاد نموده‌اند (کارستنسن، آیزاکوویتز</w:t>
      </w:r>
      <w:r>
        <w:rPr>
          <w:rStyle w:val="FootnoteReference"/>
        </w:rPr>
        <w:footnoteReference w:id="56"/>
      </w:r>
      <w:r>
        <w:rPr>
          <w:cs w:val="0"/>
        </w:rPr>
        <w:t xml:space="preserve"> و چارلز</w:t>
      </w:r>
      <w:r>
        <w:rPr>
          <w:rStyle w:val="FootnoteReference"/>
        </w:rPr>
        <w:footnoteReference w:id="57"/>
      </w:r>
      <w:r>
        <w:rPr>
          <w:cs w:val="0"/>
        </w:rPr>
        <w:t>، ۱۹۹۹؛ کارستنسن، ۲۰۰۶؛ رید</w:t>
      </w:r>
      <w:r>
        <w:rPr>
          <w:rStyle w:val="FootnoteReference"/>
        </w:rPr>
        <w:footnoteReference w:id="58"/>
      </w:r>
      <w:r>
        <w:rPr>
          <w:cs w:val="0"/>
        </w:rPr>
        <w:t>، چان</w:t>
      </w:r>
      <w:r>
        <w:rPr>
          <w:rStyle w:val="FootnoteReference"/>
        </w:rPr>
        <w:footnoteReference w:id="59"/>
      </w:r>
      <w:r>
        <w:rPr>
          <w:cs w:val="0"/>
        </w:rPr>
        <w:t xml:space="preserve"> و مایکلز</w:t>
      </w:r>
      <w:r>
        <w:rPr>
          <w:rStyle w:val="FootnoteReference"/>
        </w:rPr>
        <w:footnoteReference w:id="60"/>
      </w:r>
      <w:r>
        <w:rPr>
          <w:cs w:val="0"/>
        </w:rPr>
        <w:t>، ۲۰۱۴؛ کارستنسن، ۲۰۲۱).</w:t>
      </w:r>
    </w:p>
    <w:p w:rsidR="008908D0" w:rsidRPr="00751210" w:rsidRDefault="002D5E38" w:rsidP="00751210">
      <w:pPr>
        <w:pStyle w:val="Heading4"/>
        <w:rPr>
          <w:cs w:val="0"/>
        </w:rPr>
      </w:pPr>
      <w:bookmarkStart w:id="47" w:name="_Toc239015118"/>
      <w:r w:rsidRPr="00751210">
        <w:rPr>
          <w:cs w:val="0"/>
        </w:rPr>
        <w:t>۲-۱-۲-۳- نظریه‌های جامعه شناختی</w:t>
      </w:r>
      <w:bookmarkEnd w:id="47"/>
    </w:p>
    <w:p w:rsidR="008908D0" w:rsidRPr="00751210" w:rsidRDefault="002D5E38" w:rsidP="00751210">
      <w:pPr>
        <w:pStyle w:val="Heading5"/>
        <w:rPr>
          <w:cs w:val="0"/>
        </w:rPr>
      </w:pPr>
      <w:bookmarkStart w:id="48" w:name="_Toc239015119"/>
      <w:r w:rsidRPr="00751210">
        <w:rPr>
          <w:cs w:val="0"/>
        </w:rPr>
        <w:t>۲-۱-۲-۳-۱- نظریه عدم تعهد</w:t>
      </w:r>
      <w:bookmarkEnd w:id="48"/>
    </w:p>
    <w:p w:rsidR="008908D0" w:rsidRDefault="002D5E38">
      <w:pPr>
        <w:spacing w:after="0" w:line="276" w:lineRule="auto"/>
        <w:ind w:firstLine="397"/>
        <w:jc w:val="both"/>
        <w:rPr>
          <w:cs w:val="0"/>
        </w:rPr>
      </w:pPr>
      <w:r>
        <w:rPr>
          <w:cs w:val="0"/>
        </w:rPr>
        <w:t>همسو با همین انتقادها، سیاست‌های جهانی سالمندی سالم بر حفظ توانمندی کارکردی و مشارکت اجتماعی تأکید دارند و کناره‌گیری را مسیر مطلوب همگانی نمی‌دانند (سازمان جهانی بهداشت</w:t>
      </w:r>
      <w:r>
        <w:rPr>
          <w:rStyle w:val="FootnoteReference"/>
        </w:rPr>
        <w:footnoteReference w:id="61"/>
      </w:r>
      <w:r>
        <w:rPr>
          <w:cs w:val="0"/>
        </w:rPr>
        <w:t>، ۲۰۲۰؛ سازمان جهانی بهداشت، ۲۰۲۳).</w:t>
      </w:r>
    </w:p>
    <w:p w:rsidR="008908D0" w:rsidRDefault="002D5E38">
      <w:pPr>
        <w:spacing w:after="0" w:line="276" w:lineRule="auto"/>
        <w:ind w:firstLine="397"/>
        <w:jc w:val="both"/>
        <w:rPr>
          <w:color w:val="auto"/>
          <w:cs w:val="0"/>
        </w:rPr>
      </w:pPr>
      <w:r>
        <w:rPr>
          <w:rFonts w:hint="cs"/>
          <w:cs w:val="0"/>
        </w:rPr>
        <w:lastRenderedPageBreak/>
        <w:t>نظریه عدم تعهد</w:t>
      </w:r>
      <w:r>
        <w:rPr>
          <w:rStyle w:val="FootnoteReference"/>
        </w:rPr>
        <w:footnoteReference w:id="62"/>
      </w:r>
      <w:r>
        <w:rPr>
          <w:rFonts w:hint="cs"/>
          <w:cs w:val="0"/>
        </w:rPr>
        <w:t>که توسط کامینگ</w:t>
      </w:r>
      <w:r>
        <w:rPr>
          <w:rStyle w:val="FootnoteReference"/>
        </w:rPr>
        <w:footnoteReference w:id="63"/>
      </w:r>
      <w:r>
        <w:rPr>
          <w:rFonts w:hint="cs"/>
          <w:cs w:val="0"/>
        </w:rPr>
        <w:t xml:space="preserve"> و هنری</w:t>
      </w:r>
      <w:r>
        <w:rPr>
          <w:rStyle w:val="FootnoteReference"/>
        </w:rPr>
        <w:footnoteReference w:id="64"/>
      </w:r>
      <w:r>
        <w:rPr>
          <w:rFonts w:hint="cs"/>
          <w:cs w:val="0"/>
        </w:rPr>
        <w:t xml:space="preserve"> ارائه شد، بیان می‌کند که سالمندی با کاهش تدریجی تعاملات و نقش‌های اجتماعی همراه است. بر اساس این نظریه، با افزایش سن، فرد به‌تدریج از برخی مسئولیت‌ها و روابط اجتماعی فاصله می‌گیرد و جامعه نیز متقابلاً نقش‌های کمتری به او واگذار می‌کند. این فرایند به سالمند فرصت می‌دهد تا انرژی و زمان خود را بیشتر صرف علایق شخصی، بازاندیشی در زندگی و سازگاری با تغییرات ناشی از سالمندی کند. از دیدگاه این نظریه، کاهش مشارکت اجتماعی بخشی طبیعی از فرایند سالمندی و زمینه‌ساز انطباق فرد با مراحل پایانی زندگی است، هرچند این دیدگاه بعدها با انتقادهایی مواجه شد و پژوهشگران بر اهمیت تداوم مشارکت اجتماعی و حفظ نقش‌های فعال در دوران سالمندی تأکید کردند (کامینگ و هنری، ۱۹۶۱؛ آچلی</w:t>
      </w:r>
      <w:r>
        <w:rPr>
          <w:rStyle w:val="FootnoteReference"/>
        </w:rPr>
        <w:footnoteReference w:id="65"/>
      </w:r>
      <w:r>
        <w:rPr>
          <w:rFonts w:hint="cs"/>
          <w:cs w:val="0"/>
        </w:rPr>
        <w:t>، ۲۰۱۶).</w:t>
      </w:r>
    </w:p>
    <w:p w:rsidR="008908D0" w:rsidRPr="00751210" w:rsidRDefault="002D5E38" w:rsidP="00751210">
      <w:pPr>
        <w:pStyle w:val="Heading5"/>
        <w:rPr>
          <w:szCs w:val="28"/>
          <w:cs w:val="0"/>
        </w:rPr>
      </w:pPr>
      <w:bookmarkStart w:id="49" w:name="_Toc239015120"/>
      <w:r w:rsidRPr="00751210">
        <w:rPr>
          <w:szCs w:val="28"/>
          <w:cs w:val="0"/>
        </w:rPr>
        <w:t>۲-۱-۲-۳-۲- نظریه فعالیت</w:t>
      </w:r>
      <w:bookmarkEnd w:id="49"/>
    </w:p>
    <w:p w:rsidR="008908D0" w:rsidRDefault="002D5E38">
      <w:pPr>
        <w:spacing w:after="0" w:line="276" w:lineRule="auto"/>
        <w:ind w:firstLine="397"/>
        <w:jc w:val="both"/>
        <w:rPr>
          <w:cs w:val="0"/>
        </w:rPr>
      </w:pPr>
      <w:r>
        <w:rPr>
          <w:cs w:val="0"/>
        </w:rPr>
        <w:t>توسعه‌های جدیدتر مفهوم سالمندی موفق نیز بر مشارکت مولد، همبستگی اجتماعی و ظرفیت جوامع برای بهره‌گیری از توان سالمندان تأکید کرده‌اند و فعالیت را از سطح فردی به سطح اجتماعی گسترش داده‌اند (رو</w:t>
      </w:r>
      <w:r>
        <w:rPr>
          <w:rStyle w:val="FootnoteReference"/>
        </w:rPr>
        <w:footnoteReference w:id="66"/>
      </w:r>
      <w:r>
        <w:rPr>
          <w:cs w:val="0"/>
        </w:rPr>
        <w:t xml:space="preserve"> و کان</w:t>
      </w:r>
      <w:r>
        <w:rPr>
          <w:rStyle w:val="FootnoteReference"/>
        </w:rPr>
        <w:footnoteReference w:id="67"/>
      </w:r>
      <w:r>
        <w:rPr>
          <w:cs w:val="0"/>
        </w:rPr>
        <w:t>، ۲۰۱۵).</w:t>
      </w:r>
    </w:p>
    <w:p w:rsidR="0030135F" w:rsidRDefault="002D5E38" w:rsidP="0087366E">
      <w:pPr>
        <w:spacing w:after="0" w:line="276" w:lineRule="auto"/>
        <w:ind w:firstLine="397"/>
        <w:jc w:val="both"/>
        <w:rPr>
          <w:color w:val="auto"/>
          <w:cs w:val="0"/>
        </w:rPr>
      </w:pPr>
      <w:r>
        <w:rPr>
          <w:rFonts w:hint="cs"/>
          <w:cs w:val="0"/>
        </w:rPr>
        <w:t>نظریه فعالیتکه توسط هاویگهرست</w:t>
      </w:r>
      <w:r>
        <w:rPr>
          <w:rStyle w:val="FootnoteReference"/>
        </w:rPr>
        <w:footnoteReference w:id="68"/>
      </w:r>
      <w:r>
        <w:rPr>
          <w:rFonts w:hint="cs"/>
          <w:cs w:val="0"/>
        </w:rPr>
        <w:t>و همکاران مطرح شد، در تقابل با نظریه عدم تعهد قرار دارد. بر اساس این نظریه، حفظ فعالیت‌های جسمی، روانی و اجتماعی و تداوم ایفای نقش‌های معنادار، نقش مهمی در رضایت از زندگی و سلامت سالمندان دارد. این دیدگاه بیان می‌کند که سالمندی موفق زمانی تحقق می‌یابدکه فرد بتواند ضمن حفظ نقش‌های پیشین یا جایگزین کردن آن‌ها با نقش‌های جدید، همچنان در فعالیت‌های فردیو اجتماعی مشارکت داشته باشد. با این نگاه، سالمندانی که سبک زندگی فعال‌تری دارند، سازگاری روانی و اجتماعی بیشتری را تجربه کرده و از سلامت جسمی و کیفیت زندگی مطلوب‌تری برخوردار هستند (هاویگهرست، ۱۹۶۱؛ هاویگهرست، نیوگارتن</w:t>
      </w:r>
      <w:r>
        <w:rPr>
          <w:rStyle w:val="FootnoteReference"/>
        </w:rPr>
        <w:footnoteReference w:id="69"/>
      </w:r>
      <w:r>
        <w:rPr>
          <w:rFonts w:hint="cs"/>
          <w:cs w:val="0"/>
        </w:rPr>
        <w:t>و توبین</w:t>
      </w:r>
      <w:r>
        <w:rPr>
          <w:rStyle w:val="FootnoteReference"/>
        </w:rPr>
        <w:footnoteReference w:id="70"/>
      </w:r>
      <w:r>
        <w:rPr>
          <w:rFonts w:hint="cs"/>
          <w:cs w:val="0"/>
        </w:rPr>
        <w:t>، ۱۹۶۸).</w:t>
      </w:r>
    </w:p>
    <w:p w:rsidR="0087366E" w:rsidRPr="00751210" w:rsidRDefault="002D5E38" w:rsidP="00751210">
      <w:pPr>
        <w:pStyle w:val="Heading5"/>
        <w:rPr>
          <w:cs w:val="0"/>
        </w:rPr>
      </w:pPr>
      <w:r w:rsidRPr="00751210">
        <w:rPr>
          <w:rFonts w:hint="cs"/>
          <w:cs w:val="0"/>
        </w:rPr>
        <w:lastRenderedPageBreak/>
        <w:t xml:space="preserve"> </w:t>
      </w:r>
      <w:bookmarkStart w:id="50" w:name="_Toc239015121"/>
      <w:r w:rsidR="0087366E" w:rsidRPr="00751210">
        <w:rPr>
          <w:cs w:val="0"/>
        </w:rPr>
        <w:t>۲-۱-۲-۳-۳- نظریه مبادله یا تعامل</w:t>
      </w:r>
      <w:bookmarkEnd w:id="50"/>
    </w:p>
    <w:p w:rsidR="008908D0" w:rsidRDefault="002D5E38">
      <w:pPr>
        <w:spacing w:after="0" w:line="276" w:lineRule="auto"/>
        <w:ind w:firstLine="397"/>
        <w:jc w:val="both"/>
        <w:rPr>
          <w:color w:val="auto"/>
          <w:cs w:val="0"/>
        </w:rPr>
      </w:pPr>
      <w:r>
        <w:rPr>
          <w:rFonts w:hint="cs"/>
          <w:cs w:val="0"/>
        </w:rPr>
        <w:t>نظریه مبادله اجتماعی، که توسط داود</w:t>
      </w:r>
      <w:r>
        <w:rPr>
          <w:rStyle w:val="FootnoteReference"/>
        </w:rPr>
        <w:footnoteReference w:id="71"/>
      </w:r>
      <w:r>
        <w:rPr>
          <w:rFonts w:hint="cs"/>
          <w:cs w:val="0"/>
        </w:rPr>
        <w:t xml:space="preserve"> مطرح شد، بر این اصل استوار است که روابط اجتماعی بر پایه مبادله منابع، پاداش‌ها و هزینه‌ها شکل می‌گیرند. بر اساس این نظریه، با افزایش سن و کاهش برخی توانایی‌ها و نقش‌های اجتماعی، سالمندان ممکن است منابع و قدرت اجتماعی کمتری در اختیار داشته باشند؛ ازاین‌رو، جامعه باید در مقابل کاهش مشارکت شغلی و اجتماعی آنان، حمایت‌هایی مانند مستمری بازنشستگی، خدمات بهداشتی و درمانی، تأمین اجتماعی، مراقبت‌های حمایتی و برنامه‌های توانمندسازی را فراهم کند. این حمایت‌ها موجب حفظ منزلت اجتماعی، افزایش کیفیت زندگی و ارتقای رفاه سالمندان می‌شود (داود، ۱۹۷۵).</w:t>
      </w:r>
    </w:p>
    <w:p w:rsidR="008908D0" w:rsidRPr="00751210" w:rsidRDefault="002D5E38" w:rsidP="00751210">
      <w:pPr>
        <w:pStyle w:val="Heading5"/>
        <w:rPr>
          <w:cs w:val="0"/>
        </w:rPr>
      </w:pPr>
      <w:bookmarkStart w:id="51" w:name="_Toc239015122"/>
      <w:r w:rsidRPr="00751210">
        <w:rPr>
          <w:cs w:val="0"/>
        </w:rPr>
        <w:t>۲-۱-۲-۳-۴- نظریه استمرار</w:t>
      </w:r>
      <w:bookmarkEnd w:id="51"/>
    </w:p>
    <w:p w:rsidR="008908D0" w:rsidRDefault="002D5E38">
      <w:pPr>
        <w:spacing w:after="0" w:line="276" w:lineRule="auto"/>
        <w:ind w:firstLine="397"/>
        <w:jc w:val="both"/>
        <w:rPr>
          <w:color w:val="auto"/>
          <w:cs w:val="0"/>
        </w:rPr>
      </w:pPr>
      <w:r>
        <w:rPr>
          <w:rFonts w:hint="cs"/>
          <w:cs w:val="0"/>
        </w:rPr>
        <w:t>نظریه تداوم</w:t>
      </w:r>
      <w:r>
        <w:rPr>
          <w:rStyle w:val="FootnoteReference"/>
        </w:rPr>
        <w:footnoteReference w:id="72"/>
      </w:r>
      <w:r>
        <w:rPr>
          <w:rFonts w:hint="cs"/>
          <w:cs w:val="0"/>
        </w:rPr>
        <w:t xml:space="preserve"> یا استمرار که توسط رابرت آچلی</w:t>
      </w:r>
      <w:r>
        <w:rPr>
          <w:rStyle w:val="FootnoteReference"/>
        </w:rPr>
        <w:footnoteReference w:id="73"/>
      </w:r>
      <w:r>
        <w:rPr>
          <w:rFonts w:hint="cs"/>
          <w:cs w:val="0"/>
        </w:rPr>
        <w:t xml:space="preserve"> ارائه شد، بیان می‌کند که سالمندی ادامه طبیعی مراحل پیشین زندگی است و افراد می‌کوشند با حفظ الگوهای رفتاری، ارزش‌ها، روابط اجتماعی و سبک زندگی گذشته، احساس ثبات و هویت خود را حفظ کنند. بر اساس این نظریه، سالمندان برای سازگاری با تغییرات ناشی از افزایش سن، از تجربیات، مهارت‌ها و راهبردهای مقابله‌ای که در طول زندگی کسب کرده‌اند استفاده می‌کنند. ازاین‌رو، حفظ تداوم در نقش‌ها، فعالیت‌ها و روابط اجتماعی می‌تواند به افزایش سازگاری، رضایت از زندگی و سلامت روان سالمندان کمک کند. این نظریه در واقع برخی از جنبه‌های نظریه‌های فعالیت و عدم تعهد را با یکدیگر تلفیق کرده و معتقد است میزان مشارکت یا کناره‌گیری اجتماعی باید متناسب با ویژگی‌ها و تجربیات هر فرد تداوم یابد (آچلی، ۱۹۸۹؛ آچلی، ۲۰۱۶).</w:t>
      </w:r>
    </w:p>
    <w:p w:rsidR="008908D0" w:rsidRDefault="002D5E38">
      <w:pPr>
        <w:spacing w:after="0" w:line="276" w:lineRule="auto"/>
        <w:ind w:firstLine="397"/>
        <w:jc w:val="both"/>
        <w:rPr>
          <w:cs w:val="0"/>
        </w:rPr>
      </w:pPr>
      <w:r>
        <w:rPr>
          <w:cs w:val="0"/>
        </w:rPr>
        <w:t>پژوهش‌های بعدی در سالمندشناسی اجتماعی همچنان بر نقش تداوم هویت، عادت‌ها و روابط در سازگاری با گذارهای سالمندی تأکید دارند و این نظریه را چارچوبی برای فهم تفاوت‌های فردی در میزان فعالیت یا کناره‌گیری می‌دانند (آچلی، ۲۰۱۶).</w:t>
      </w:r>
    </w:p>
    <w:p w:rsidR="008908D0" w:rsidRDefault="002D5E38">
      <w:pPr>
        <w:pStyle w:val="Heading2"/>
        <w:spacing w:before="240" w:after="100"/>
        <w:rPr>
          <w:cs w:val="0"/>
        </w:rPr>
      </w:pPr>
      <w:bookmarkStart w:id="52" w:name="_Toc239015123"/>
      <w:bookmarkStart w:id="53" w:name="_Toc239431986"/>
      <w:r>
        <w:rPr>
          <w:cs w:val="0"/>
        </w:rPr>
        <w:lastRenderedPageBreak/>
        <w:t>۲-۲- گستره دوم: اضطراب مرگ</w:t>
      </w:r>
      <w:bookmarkEnd w:id="52"/>
      <w:bookmarkEnd w:id="53"/>
    </w:p>
    <w:p w:rsidR="008908D0" w:rsidRDefault="002822AA" w:rsidP="002822AA">
      <w:pPr>
        <w:bidi w:val="0"/>
        <w:jc w:val="center"/>
        <w:rPr>
          <w:cs w:val="0"/>
        </w:rPr>
      </w:pPr>
      <w:r>
        <w:rPr>
          <w:noProof/>
          <w:cs w:val="0"/>
          <w:lang w:bidi="ar-SA"/>
        </w:rPr>
        <mc:AlternateContent>
          <mc:Choice Requires="wpg">
            <w:drawing>
              <wp:anchor distT="0" distB="0" distL="114300" distR="114300" simplePos="0" relativeHeight="251671552" behindDoc="0" locked="0" layoutInCell="1" allowOverlap="1" wp14:anchorId="3D2CAB5B" wp14:editId="75B69C6C">
                <wp:simplePos x="0" y="0"/>
                <wp:positionH relativeFrom="column">
                  <wp:posOffset>42090</wp:posOffset>
                </wp:positionH>
                <wp:positionV relativeFrom="paragraph">
                  <wp:posOffset>-1422</wp:posOffset>
                </wp:positionV>
                <wp:extent cx="5422938" cy="2355768"/>
                <wp:effectExtent l="0" t="0" r="25400" b="26035"/>
                <wp:wrapTopAndBottom/>
                <wp:docPr id="61" name="Group 61"/>
                <wp:cNvGraphicFramePr/>
                <a:graphic xmlns:a="http://schemas.openxmlformats.org/drawingml/2006/main">
                  <a:graphicData uri="http://schemas.microsoft.com/office/word/2010/wordprocessingGroup">
                    <wpg:wgp>
                      <wpg:cNvGrpSpPr/>
                      <wpg:grpSpPr>
                        <a:xfrm>
                          <a:off x="0" y="0"/>
                          <a:ext cx="5422938" cy="2355768"/>
                          <a:chOff x="0" y="0"/>
                          <a:chExt cx="5422938" cy="2355768"/>
                        </a:xfrm>
                      </wpg:grpSpPr>
                      <wps:wsp>
                        <wps:cNvPr id="62" name="Text Box 62"/>
                        <wps:cNvSpPr txBox="1"/>
                        <wps:spPr>
                          <a:xfrm>
                            <a:off x="1447800" y="0"/>
                            <a:ext cx="2560645" cy="420673"/>
                          </a:xfrm>
                          <a:prstGeom prst="roundRect">
                            <a:avLst>
                              <a:gd name="adj" fmla="val 16667"/>
                            </a:avLst>
                          </a:prstGeom>
                          <a:solidFill>
                            <a:srgbClr val="1F4E5F"/>
                          </a:solidFill>
                          <a:ln w="6350">
                            <a:solidFill>
                              <a:srgbClr val="8AA38A"/>
                            </a:solidFill>
                          </a:ln>
                        </wps:spPr>
                        <wps:txbx>
                          <w:txbxContent>
                            <w:p w:rsidR="002822AA" w:rsidRPr="00D63DDF" w:rsidRDefault="002822AA" w:rsidP="002822AA">
                              <w:pPr>
                                <w:spacing w:after="0" w:line="240" w:lineRule="auto"/>
                                <w:jc w:val="center"/>
                                <w:rPr>
                                  <w:rFonts w:cs="B Titr"/>
                                  <w:cs w:val="0"/>
                                </w:rPr>
                              </w:pPr>
                              <w:r w:rsidRPr="00D63DDF">
                                <w:rPr>
                                  <w:rFonts w:cs="B Titr"/>
                                  <w:color w:val="FFFFFF"/>
                                  <w:sz w:val="22"/>
                                  <w:szCs w:val="22"/>
                                  <w:cs w:val="0"/>
                                </w:rPr>
                                <w:t>اضطراب مرگ</w:t>
                              </w:r>
                            </w:p>
                          </w:txbxContent>
                        </wps:txbx>
                        <wps:bodyPr lIns="36000" tIns="18000" rIns="36000" bIns="18000" anchor="ctr"/>
                      </wps:wsp>
                      <wps:wsp>
                        <wps:cNvPr id="63" name="Text Box 63"/>
                        <wps:cNvSpPr txBox="1"/>
                        <wps:spPr>
                          <a:xfrm>
                            <a:off x="4124325" y="600075"/>
                            <a:ext cx="1298613" cy="640155"/>
                          </a:xfrm>
                          <a:prstGeom prst="roundRect">
                            <a:avLst>
                              <a:gd name="adj" fmla="val 16667"/>
                            </a:avLst>
                          </a:prstGeom>
                          <a:solidFill>
                            <a:srgbClr val="3D5C4A"/>
                          </a:solidFill>
                          <a:ln w="6350">
                            <a:solidFill>
                              <a:srgbClr val="8AA38A"/>
                            </a:solidFill>
                          </a:ln>
                        </wps:spPr>
                        <wps:txbx>
                          <w:txbxContent>
                            <w:p w:rsidR="002822AA" w:rsidRPr="00D63DDF" w:rsidRDefault="002822AA" w:rsidP="002822AA">
                              <w:pPr>
                                <w:spacing w:after="0" w:line="240" w:lineRule="auto"/>
                                <w:jc w:val="center"/>
                                <w:rPr>
                                  <w:rFonts w:cs="B Titr"/>
                                  <w:cs w:val="0"/>
                                </w:rPr>
                              </w:pPr>
                              <w:r w:rsidRPr="00D63DDF">
                                <w:rPr>
                                  <w:rFonts w:cs="B Titr"/>
                                  <w:color w:val="FFFFFF"/>
                                  <w:sz w:val="14"/>
                                  <w:szCs w:val="14"/>
                                  <w:cs w:val="0"/>
                                </w:rPr>
                                <w:t>نظریه فروید</w:t>
                              </w:r>
                            </w:p>
                            <w:p w:rsidR="002822AA" w:rsidRPr="00D63DDF" w:rsidRDefault="002822AA" w:rsidP="002822AA">
                              <w:pPr>
                                <w:spacing w:after="0" w:line="240" w:lineRule="auto"/>
                                <w:jc w:val="center"/>
                                <w:rPr>
                                  <w:rFonts w:cs="B Titr"/>
                                  <w:cs w:val="0"/>
                                </w:rPr>
                              </w:pPr>
                              <w:r w:rsidRPr="00D63DDF">
                                <w:rPr>
                                  <w:rFonts w:cs="B Titr"/>
                                  <w:color w:val="FFFFFF"/>
                                  <w:sz w:val="14"/>
                                  <w:szCs w:val="14"/>
                                  <w:cs w:val="0"/>
                                </w:rPr>
                                <w:t>روان‌تحلیل‌گری</w:t>
                              </w:r>
                            </w:p>
                          </w:txbxContent>
                        </wps:txbx>
                        <wps:bodyPr lIns="36000" tIns="18000" rIns="36000" bIns="18000" anchor="ctr"/>
                      </wps:wsp>
                      <wps:wsp>
                        <wps:cNvPr id="192" name="Text Box 192"/>
                        <wps:cNvSpPr txBox="1"/>
                        <wps:spPr>
                          <a:xfrm>
                            <a:off x="2752725" y="600075"/>
                            <a:ext cx="1298613" cy="640155"/>
                          </a:xfrm>
                          <a:prstGeom prst="roundRect">
                            <a:avLst>
                              <a:gd name="adj" fmla="val 16667"/>
                            </a:avLst>
                          </a:prstGeom>
                          <a:solidFill>
                            <a:srgbClr val="3D5C4A"/>
                          </a:solidFill>
                          <a:ln w="6350">
                            <a:solidFill>
                              <a:srgbClr val="8AA38A"/>
                            </a:solidFill>
                          </a:ln>
                        </wps:spPr>
                        <wps:txbx>
                          <w:txbxContent>
                            <w:p w:rsidR="002822AA" w:rsidRPr="00D63DDF" w:rsidRDefault="002822AA" w:rsidP="002822AA">
                              <w:pPr>
                                <w:spacing w:after="0" w:line="240" w:lineRule="auto"/>
                                <w:jc w:val="center"/>
                                <w:rPr>
                                  <w:rFonts w:cs="B Titr"/>
                                  <w:cs w:val="0"/>
                                </w:rPr>
                              </w:pPr>
                              <w:r w:rsidRPr="00D63DDF">
                                <w:rPr>
                                  <w:rFonts w:cs="B Titr"/>
                                  <w:color w:val="FFFFFF"/>
                                  <w:sz w:val="14"/>
                                  <w:szCs w:val="14"/>
                                  <w:cs w:val="0"/>
                                </w:rPr>
                                <w:t>نظریه یالوم</w:t>
                              </w:r>
                            </w:p>
                            <w:p w:rsidR="002822AA" w:rsidRPr="00D63DDF" w:rsidRDefault="002822AA" w:rsidP="002822AA">
                              <w:pPr>
                                <w:spacing w:after="0" w:line="240" w:lineRule="auto"/>
                                <w:jc w:val="center"/>
                                <w:rPr>
                                  <w:rFonts w:cs="B Titr"/>
                                  <w:cs w:val="0"/>
                                </w:rPr>
                              </w:pPr>
                              <w:r w:rsidRPr="00D63DDF">
                                <w:rPr>
                                  <w:rFonts w:cs="B Titr"/>
                                  <w:color w:val="FFFFFF"/>
                                  <w:sz w:val="14"/>
                                  <w:szCs w:val="14"/>
                                  <w:cs w:val="0"/>
                                </w:rPr>
                                <w:t>وجودگرایی</w:t>
                              </w:r>
                            </w:p>
                          </w:txbxContent>
                        </wps:txbx>
                        <wps:bodyPr lIns="36000" tIns="18000" rIns="36000" bIns="18000" anchor="ctr"/>
                      </wps:wsp>
                      <wps:wsp>
                        <wps:cNvPr id="193" name="Text Box 193"/>
                        <wps:cNvSpPr txBox="1"/>
                        <wps:spPr>
                          <a:xfrm>
                            <a:off x="1381125" y="600075"/>
                            <a:ext cx="1298613" cy="640155"/>
                          </a:xfrm>
                          <a:prstGeom prst="roundRect">
                            <a:avLst>
                              <a:gd name="adj" fmla="val 16667"/>
                            </a:avLst>
                          </a:prstGeom>
                          <a:solidFill>
                            <a:srgbClr val="3D5C4A"/>
                          </a:solidFill>
                          <a:ln w="6350">
                            <a:solidFill>
                              <a:srgbClr val="8AA38A"/>
                            </a:solidFill>
                          </a:ln>
                        </wps:spPr>
                        <wps:txbx>
                          <w:txbxContent>
                            <w:p w:rsidR="002822AA" w:rsidRPr="00D63DDF" w:rsidRDefault="002822AA" w:rsidP="002822AA">
                              <w:pPr>
                                <w:spacing w:after="0" w:line="240" w:lineRule="auto"/>
                                <w:jc w:val="center"/>
                                <w:rPr>
                                  <w:rFonts w:cs="B Titr"/>
                                  <w:cs w:val="0"/>
                                </w:rPr>
                              </w:pPr>
                              <w:r w:rsidRPr="00D63DDF">
                                <w:rPr>
                                  <w:rFonts w:cs="B Titr"/>
                                  <w:color w:val="FFFFFF"/>
                                  <w:sz w:val="14"/>
                                  <w:szCs w:val="14"/>
                                  <w:cs w:val="0"/>
                                </w:rPr>
                                <w:t>نظریه مدیریت وحشت</w:t>
                              </w:r>
                            </w:p>
                            <w:p w:rsidR="002822AA" w:rsidRPr="00D63DDF" w:rsidRDefault="002822AA" w:rsidP="002822AA">
                              <w:pPr>
                                <w:spacing w:after="0" w:line="240" w:lineRule="auto"/>
                                <w:jc w:val="center"/>
                                <w:rPr>
                                  <w:rFonts w:cs="B Titr"/>
                                  <w:cs w:val="0"/>
                                </w:rPr>
                              </w:pPr>
                              <w:r w:rsidRPr="00D63DDF">
                                <w:rPr>
                                  <w:rFonts w:cs="B Titr"/>
                                  <w:color w:val="FFFFFF"/>
                                  <w:sz w:val="14"/>
                                  <w:szCs w:val="14"/>
                                  <w:cs w:val="0"/>
                                </w:rPr>
                                <w:t>TMT</w:t>
                              </w:r>
                            </w:p>
                          </w:txbxContent>
                        </wps:txbx>
                        <wps:bodyPr lIns="36000" tIns="18000" rIns="36000" bIns="18000" anchor="ctr"/>
                      </wps:wsp>
                      <wps:wsp>
                        <wps:cNvPr id="194" name="Text Box 194"/>
                        <wps:cNvSpPr txBox="1"/>
                        <wps:spPr>
                          <a:xfrm>
                            <a:off x="0" y="600075"/>
                            <a:ext cx="1298613" cy="640155"/>
                          </a:xfrm>
                          <a:prstGeom prst="roundRect">
                            <a:avLst>
                              <a:gd name="adj" fmla="val 16667"/>
                            </a:avLst>
                          </a:prstGeom>
                          <a:solidFill>
                            <a:srgbClr val="3D5C4A"/>
                          </a:solidFill>
                          <a:ln w="6350">
                            <a:solidFill>
                              <a:srgbClr val="8AA38A"/>
                            </a:solidFill>
                          </a:ln>
                        </wps:spPr>
                        <wps:txbx>
                          <w:txbxContent>
                            <w:p w:rsidR="002822AA" w:rsidRPr="00D63DDF" w:rsidRDefault="002822AA" w:rsidP="002822AA">
                              <w:pPr>
                                <w:spacing w:after="0" w:line="240" w:lineRule="auto"/>
                                <w:jc w:val="center"/>
                                <w:rPr>
                                  <w:rFonts w:cs="B Titr"/>
                                  <w:cs w:val="0"/>
                                </w:rPr>
                              </w:pPr>
                              <w:r w:rsidRPr="00D63DDF">
                                <w:rPr>
                                  <w:rFonts w:cs="B Titr"/>
                                  <w:color w:val="FFFFFF"/>
                                  <w:sz w:val="14"/>
                                  <w:szCs w:val="14"/>
                                  <w:cs w:val="0"/>
                                </w:rPr>
                                <w:t>نظریه دلبستگی</w:t>
                              </w:r>
                            </w:p>
                            <w:p w:rsidR="002822AA" w:rsidRPr="00D63DDF" w:rsidRDefault="002822AA" w:rsidP="002822AA">
                              <w:pPr>
                                <w:spacing w:after="0" w:line="240" w:lineRule="auto"/>
                                <w:jc w:val="center"/>
                                <w:rPr>
                                  <w:rFonts w:cs="B Titr"/>
                                  <w:cs w:val="0"/>
                                </w:rPr>
                              </w:pPr>
                              <w:r w:rsidRPr="00D63DDF">
                                <w:rPr>
                                  <w:rFonts w:cs="B Titr"/>
                                  <w:color w:val="FFFFFF"/>
                                  <w:sz w:val="14"/>
                                  <w:szCs w:val="14"/>
                                  <w:cs w:val="0"/>
                                </w:rPr>
                                <w:t>بالبی</w:t>
                              </w:r>
                            </w:p>
                          </w:txbxContent>
                        </wps:txbx>
                        <wps:bodyPr lIns="36000" tIns="18000" rIns="36000" bIns="18000" anchor="ctr"/>
                      </wps:wsp>
                      <wps:wsp>
                        <wps:cNvPr id="195" name="Text Box 195"/>
                        <wps:cNvSpPr txBox="1"/>
                        <wps:spPr>
                          <a:xfrm>
                            <a:off x="3810000" y="1428750"/>
                            <a:ext cx="1554677" cy="402383"/>
                          </a:xfrm>
                          <a:prstGeom prst="roundRect">
                            <a:avLst>
                              <a:gd name="adj" fmla="val 16667"/>
                            </a:avLst>
                          </a:prstGeom>
                          <a:solidFill>
                            <a:srgbClr val="F7F4EC"/>
                          </a:solidFill>
                          <a:ln w="6350">
                            <a:solidFill>
                              <a:srgbClr val="8AA38A"/>
                            </a:solidFill>
                          </a:ln>
                        </wps:spPr>
                        <wps:txbx>
                          <w:txbxContent>
                            <w:p w:rsidR="002822AA" w:rsidRPr="00D63DDF" w:rsidRDefault="002822AA" w:rsidP="002822AA">
                              <w:pPr>
                                <w:spacing w:after="0" w:line="240" w:lineRule="auto"/>
                                <w:jc w:val="center"/>
                                <w:rPr>
                                  <w:rFonts w:cs="B Titr"/>
                                  <w:cs w:val="0"/>
                                </w:rPr>
                              </w:pPr>
                              <w:r w:rsidRPr="00D63DDF">
                                <w:rPr>
                                  <w:rFonts w:cs="B Titr"/>
                                  <w:color w:val="1F4E5F"/>
                                  <w:sz w:val="16"/>
                                  <w:szCs w:val="16"/>
                                  <w:cs w:val="0"/>
                                </w:rPr>
                                <w:t>ابعاد</w:t>
                              </w:r>
                            </w:p>
                          </w:txbxContent>
                        </wps:txbx>
                        <wps:bodyPr lIns="36000" tIns="18000" rIns="36000" bIns="18000" anchor="ctr"/>
                      </wps:wsp>
                      <wps:wsp>
                        <wps:cNvPr id="196" name="Text Box 196"/>
                        <wps:cNvSpPr txBox="1"/>
                        <wps:spPr>
                          <a:xfrm>
                            <a:off x="2066925" y="1428750"/>
                            <a:ext cx="1554677" cy="402383"/>
                          </a:xfrm>
                          <a:prstGeom prst="roundRect">
                            <a:avLst>
                              <a:gd name="adj" fmla="val 16667"/>
                            </a:avLst>
                          </a:prstGeom>
                          <a:solidFill>
                            <a:srgbClr val="F7F4EC"/>
                          </a:solidFill>
                          <a:ln w="6350">
                            <a:solidFill>
                              <a:srgbClr val="8AA38A"/>
                            </a:solidFill>
                          </a:ln>
                        </wps:spPr>
                        <wps:txbx>
                          <w:txbxContent>
                            <w:p w:rsidR="002822AA" w:rsidRPr="00D63DDF" w:rsidRDefault="002822AA" w:rsidP="002822AA">
                              <w:pPr>
                                <w:spacing w:after="0" w:line="240" w:lineRule="auto"/>
                                <w:jc w:val="center"/>
                                <w:rPr>
                                  <w:rFonts w:cs="B Titr"/>
                                  <w:cs w:val="0"/>
                                </w:rPr>
                              </w:pPr>
                              <w:r w:rsidRPr="00D63DDF">
                                <w:rPr>
                                  <w:rFonts w:cs="B Titr"/>
                                  <w:color w:val="1F4E5F"/>
                                  <w:sz w:val="16"/>
                                  <w:szCs w:val="16"/>
                                  <w:cs w:val="0"/>
                                </w:rPr>
                                <w:t>عوامل مؤثر</w:t>
                              </w:r>
                            </w:p>
                          </w:txbxContent>
                        </wps:txbx>
                        <wps:bodyPr lIns="36000" tIns="18000" rIns="36000" bIns="18000" anchor="ctr"/>
                      </wps:wsp>
                      <wps:wsp>
                        <wps:cNvPr id="197" name="Text Box 197"/>
                        <wps:cNvSpPr txBox="1"/>
                        <wps:spPr>
                          <a:xfrm>
                            <a:off x="333375" y="1428750"/>
                            <a:ext cx="1554677" cy="402383"/>
                          </a:xfrm>
                          <a:prstGeom prst="roundRect">
                            <a:avLst>
                              <a:gd name="adj" fmla="val 16667"/>
                            </a:avLst>
                          </a:prstGeom>
                          <a:solidFill>
                            <a:srgbClr val="F7F4EC"/>
                          </a:solidFill>
                          <a:ln w="6350">
                            <a:solidFill>
                              <a:srgbClr val="8AA38A"/>
                            </a:solidFill>
                          </a:ln>
                        </wps:spPr>
                        <wps:txbx>
                          <w:txbxContent>
                            <w:p w:rsidR="002822AA" w:rsidRPr="00D63DDF" w:rsidRDefault="002822AA" w:rsidP="002822AA">
                              <w:pPr>
                                <w:spacing w:after="0" w:line="240" w:lineRule="auto"/>
                                <w:jc w:val="center"/>
                                <w:rPr>
                                  <w:rFonts w:cs="B Titr"/>
                                  <w:cs w:val="0"/>
                                </w:rPr>
                              </w:pPr>
                              <w:r w:rsidRPr="00D63DDF">
                                <w:rPr>
                                  <w:rFonts w:cs="B Titr"/>
                                  <w:color w:val="1F4E5F"/>
                                  <w:sz w:val="16"/>
                                  <w:szCs w:val="16"/>
                                  <w:cs w:val="0"/>
                                </w:rPr>
                                <w:t>پیامدها</w:t>
                              </w:r>
                            </w:p>
                          </w:txbxContent>
                        </wps:txbx>
                        <wps:bodyPr lIns="36000" tIns="18000" rIns="36000" bIns="18000" anchor="ctr"/>
                      </wps:wsp>
                      <wps:wsp>
                        <wps:cNvPr id="198" name="Text Box 198"/>
                        <wps:cNvSpPr txBox="1"/>
                        <wps:spPr>
                          <a:xfrm>
                            <a:off x="1819275" y="1971675"/>
                            <a:ext cx="1829032" cy="384093"/>
                          </a:xfrm>
                          <a:prstGeom prst="roundRect">
                            <a:avLst>
                              <a:gd name="adj" fmla="val 16667"/>
                            </a:avLst>
                          </a:prstGeom>
                          <a:solidFill>
                            <a:srgbClr val="F7F4EC"/>
                          </a:solidFill>
                          <a:ln w="6350">
                            <a:solidFill>
                              <a:srgbClr val="8AA38A"/>
                            </a:solidFill>
                          </a:ln>
                        </wps:spPr>
                        <wps:txbx>
                          <w:txbxContent>
                            <w:p w:rsidR="002822AA" w:rsidRPr="00D63DDF" w:rsidRDefault="002822AA" w:rsidP="002822AA">
                              <w:pPr>
                                <w:spacing w:after="0" w:line="240" w:lineRule="auto"/>
                                <w:jc w:val="center"/>
                                <w:rPr>
                                  <w:rFonts w:cs="B Titr"/>
                                  <w:cs w:val="0"/>
                                </w:rPr>
                              </w:pPr>
                              <w:r w:rsidRPr="00D63DDF">
                                <w:rPr>
                                  <w:rFonts w:cs="B Titr"/>
                                  <w:color w:val="1F4E5F"/>
                                  <w:sz w:val="15"/>
                                  <w:szCs w:val="15"/>
                                  <w:cs w:val="0"/>
                                </w:rPr>
                                <w:t>مفهوم اضطراب مرگ</w:t>
                              </w:r>
                            </w:p>
                          </w:txbxContent>
                        </wps:txbx>
                        <wps:bodyPr lIns="36000" tIns="18000" rIns="36000" bIns="18000" anchor="ctr"/>
                      </wps:wsp>
                    </wpg:wgp>
                  </a:graphicData>
                </a:graphic>
              </wp:anchor>
            </w:drawing>
          </mc:Choice>
          <mc:Fallback>
            <w:pict>
              <v:group w14:anchorId="3D2CAB5B" id="Group 61" o:spid="_x0000_s1042" style="position:absolute;left:0;text-align:left;margin-left:3.3pt;margin-top:-.1pt;width:427pt;height:185.5pt;z-index:251671552;mso-position-horizontal-relative:text;mso-position-vertical-relative:text" coordsize="54229,23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">
                <v:roundrect id="Text Box 62" o:spid="_x0000_s1043" style="position:absolute;left:14478;width:25606;height:4206;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WHwGMQA&#10;AADbAAAADwAAAGRycy9kb3ducmV2LnhtbESP0WrCQBRE34X+w3KFvtWNQqVGN0EKhbYKbaMfcMle&#10;s8Hs3TS7mtSvd4WCj8PMnGFW+WAbcabO144VTCcJCOLS6ZorBfvd29MLCB+QNTaOScEfecizh9EK&#10;U+16/qFzESoRIexTVGBCaFMpfWnIop+4ljh6B9dZDFF2ldQd9hFuGzlLkrm0WHNcMNjSq6HyWJys&#10;gt+pS4y7nIrnj+3m08jqe7v46pV6HA/rJYhAQ7iH/9vvWsF8Brcv8QfI7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Vh8BjEAAAA2wAAAA8AAAAAAAAAAAAAAAAAmAIAAGRycy9k&#10;b3ducmV2LnhtbFBLBQYAAAAABAAEAPUAAACJAwAAAAA=&#10;" fillcolor="#1f4e5f" strokecolor="#8aa38a" strokeweight=".5pt">
                  <v:textbox inset="1mm,.5mm,1mm,.5mm">
                    <w:txbxContent>
                      <w:p w:rsidR="002822AA" w:rsidRPr="00D63DDF" w:rsidRDefault="002822AA" w:rsidP="002822AA">
                        <w:pPr>
                          <w:spacing w:after="0" w:line="240" w:lineRule="auto"/>
                          <w:jc w:val="center"/>
                          <w:rPr>
                            <w:rFonts w:cs="B Titr"/>
                            <w:cs w:val="0"/>
                          </w:rPr>
                        </w:pPr>
                        <w:r w:rsidRPr="00D63DDF">
                          <w:rPr>
                            <w:rFonts w:cs="B Titr"/>
                            <w:color w:val="FFFFFF"/>
                            <w:sz w:val="22"/>
                            <w:szCs w:val="22"/>
                            <w:cs w:val="0"/>
                          </w:rPr>
                          <w:t>اضطراب مرگ</w:t>
                        </w:r>
                      </w:p>
                    </w:txbxContent>
                  </v:textbox>
                </v:roundrect>
                <v:roundrect id="Text Box 63" o:spid="_x0000_s1044" style="position:absolute;left:41243;top:6000;width:12986;height:64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PRn0MQA&#10;AADbAAAADwAAAGRycy9kb3ducmV2LnhtbESPS4vCQBCE7wv+h6EFb+vEByLRUURQRGQXHwePbaZN&#10;gpmekBlj9Nc7Cwsei6r6iprOG1OImiqXW1bQ60YgiBOrc04VnI6r7zEI55E1FpZJwZMczGetrynG&#10;2j54T/XBpyJA2MWoIPO+jKV0SUYGXdeWxMG72sqgD7JKpa7wEeCmkP0oGkmDOYeFDEtaZpTcDnej&#10;AAt3XP9cXub+3N3q/e92yNfmrFSn3SwmIDw1/hP+b2+0gtEA/r6EHyBnb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j0Z9DEAAAA2wAAAA8AAAAAAAAAAAAAAAAAmAIAAGRycy9k&#10;b3ducmV2LnhtbFBLBQYAAAAABAAEAPUAAACJAwAAAAA=&#10;" fillcolor="#3d5c4a" strokecolor="#8aa38a" strokeweight=".5pt">
                  <v:textbox inset="1mm,.5mm,1mm,.5mm">
                    <w:txbxContent>
                      <w:p w:rsidR="002822AA" w:rsidRPr="00D63DDF" w:rsidRDefault="002822AA" w:rsidP="002822AA">
                        <w:pPr>
                          <w:spacing w:after="0" w:line="240" w:lineRule="auto"/>
                          <w:jc w:val="center"/>
                          <w:rPr>
                            <w:rFonts w:cs="B Titr"/>
                            <w:cs w:val="0"/>
                          </w:rPr>
                        </w:pPr>
                        <w:r w:rsidRPr="00D63DDF">
                          <w:rPr>
                            <w:rFonts w:cs="B Titr"/>
                            <w:color w:val="FFFFFF"/>
                            <w:sz w:val="14"/>
                            <w:szCs w:val="14"/>
                            <w:cs w:val="0"/>
                          </w:rPr>
                          <w:t>نظریه فروید</w:t>
                        </w:r>
                      </w:p>
                      <w:p w:rsidR="002822AA" w:rsidRPr="00D63DDF" w:rsidRDefault="002822AA" w:rsidP="002822AA">
                        <w:pPr>
                          <w:spacing w:after="0" w:line="240" w:lineRule="auto"/>
                          <w:jc w:val="center"/>
                          <w:rPr>
                            <w:rFonts w:cs="B Titr"/>
                            <w:cs w:val="0"/>
                          </w:rPr>
                        </w:pPr>
                        <w:r w:rsidRPr="00D63DDF">
                          <w:rPr>
                            <w:rFonts w:cs="B Titr"/>
                            <w:color w:val="FFFFFF"/>
                            <w:sz w:val="14"/>
                            <w:szCs w:val="14"/>
                            <w:cs w:val="0"/>
                          </w:rPr>
                          <w:t>روان‌تحلیل‌گری</w:t>
                        </w:r>
                      </w:p>
                    </w:txbxContent>
                  </v:textbox>
                </v:roundrect>
                <v:roundrect id="Text Box 192" o:spid="_x0000_s1045" style="position:absolute;left:27527;top:6000;width:12986;height:64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f9pMIA&#10;AADcAAAADwAAAGRycy9kb3ducmV2LnhtbERPTYvCMBC9C/6HMMLeNF1ZRKtRFkGRZVGse9jj2Ixt&#10;sZmUJtbqrzeC4G0e73Nmi9aUoqHaFZYVfA4iEMSp1QVnCv4Oq/4YhPPIGkvLpOBGDhbzbmeGsbZX&#10;3lOT+EyEEHYxKsi9r2IpXZqTQTewFXHgTrY26AOsM6lrvIZwU8phFI2kwYJDQ44VLXNKz8nFKMDS&#10;Hdbb491cbr/nZr/7+eJT+6/UR6/9noLw1Pq3+OXe6DB/MoTnM+EC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5/2kwgAAANwAAAAPAAAAAAAAAAAAAAAAAJgCAABkcnMvZG93&#10;bnJldi54bWxQSwUGAAAAAAQABAD1AAAAhwMAAAAA&#10;" fillcolor="#3d5c4a" strokecolor="#8aa38a" strokeweight=".5pt">
                  <v:textbox inset="1mm,.5mm,1mm,.5mm">
                    <w:txbxContent>
                      <w:p w:rsidR="002822AA" w:rsidRPr="00D63DDF" w:rsidRDefault="002822AA" w:rsidP="002822AA">
                        <w:pPr>
                          <w:spacing w:after="0" w:line="240" w:lineRule="auto"/>
                          <w:jc w:val="center"/>
                          <w:rPr>
                            <w:rFonts w:cs="B Titr"/>
                            <w:cs w:val="0"/>
                          </w:rPr>
                        </w:pPr>
                        <w:r w:rsidRPr="00D63DDF">
                          <w:rPr>
                            <w:rFonts w:cs="B Titr"/>
                            <w:color w:val="FFFFFF"/>
                            <w:sz w:val="14"/>
                            <w:szCs w:val="14"/>
                            <w:cs w:val="0"/>
                          </w:rPr>
                          <w:t>نظریه یالوم</w:t>
                        </w:r>
                      </w:p>
                      <w:p w:rsidR="002822AA" w:rsidRPr="00D63DDF" w:rsidRDefault="002822AA" w:rsidP="002822AA">
                        <w:pPr>
                          <w:spacing w:after="0" w:line="240" w:lineRule="auto"/>
                          <w:jc w:val="center"/>
                          <w:rPr>
                            <w:rFonts w:cs="B Titr"/>
                            <w:cs w:val="0"/>
                          </w:rPr>
                        </w:pPr>
                        <w:r w:rsidRPr="00D63DDF">
                          <w:rPr>
                            <w:rFonts w:cs="B Titr"/>
                            <w:color w:val="FFFFFF"/>
                            <w:sz w:val="14"/>
                            <w:szCs w:val="14"/>
                            <w:cs w:val="0"/>
                          </w:rPr>
                          <w:t>وجودگرایی</w:t>
                        </w:r>
                      </w:p>
                    </w:txbxContent>
                  </v:textbox>
                </v:roundrect>
                <v:roundrect id="Text Box 193" o:spid="_x0000_s1046" style="position:absolute;left:13811;top:6000;width:12986;height:64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tYP8IA&#10;AADcAAAADwAAAGRycy9kb3ducmV2LnhtbERPTYvCMBC9C/6HMAveNF0V2a1GEUERWRR1D3scm7Et&#10;NpPSxFr99RtB8DaP9zmTWWMKUVPlcssKPnsRCOLE6pxTBb/HZfcLhPPIGgvLpOBODmbTdmuCsbY3&#10;3lN98KkIIexiVJB5X8ZSuiQjg65nS+LAnW1l0AdYpVJXeAvhppD9KBpJgzmHhgxLWmSUXA5XowAL&#10;d1xtTw9zvf9c6v1uM+Rz86dU56OZj0F4avxb/HKvdZj/PYDnM+ECOf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Tq1g/wgAAANwAAAAPAAAAAAAAAAAAAAAAAJgCAABkcnMvZG93&#10;bnJldi54bWxQSwUGAAAAAAQABAD1AAAAhwMAAAAA&#10;" fillcolor="#3d5c4a" strokecolor="#8aa38a" strokeweight=".5pt">
                  <v:textbox inset="1mm,.5mm,1mm,.5mm">
                    <w:txbxContent>
                      <w:p w:rsidR="002822AA" w:rsidRPr="00D63DDF" w:rsidRDefault="002822AA" w:rsidP="002822AA">
                        <w:pPr>
                          <w:spacing w:after="0" w:line="240" w:lineRule="auto"/>
                          <w:jc w:val="center"/>
                          <w:rPr>
                            <w:rFonts w:cs="B Titr"/>
                            <w:cs w:val="0"/>
                          </w:rPr>
                        </w:pPr>
                        <w:r w:rsidRPr="00D63DDF">
                          <w:rPr>
                            <w:rFonts w:cs="B Titr"/>
                            <w:color w:val="FFFFFF"/>
                            <w:sz w:val="14"/>
                            <w:szCs w:val="14"/>
                            <w:cs w:val="0"/>
                          </w:rPr>
                          <w:t>نظریه مدیریت وحشت</w:t>
                        </w:r>
                      </w:p>
                      <w:p w:rsidR="002822AA" w:rsidRPr="00D63DDF" w:rsidRDefault="002822AA" w:rsidP="002822AA">
                        <w:pPr>
                          <w:spacing w:after="0" w:line="240" w:lineRule="auto"/>
                          <w:jc w:val="center"/>
                          <w:rPr>
                            <w:rFonts w:cs="B Titr"/>
                            <w:cs w:val="0"/>
                          </w:rPr>
                        </w:pPr>
                        <w:r w:rsidRPr="00D63DDF">
                          <w:rPr>
                            <w:rFonts w:cs="B Titr"/>
                            <w:color w:val="FFFFFF"/>
                            <w:sz w:val="14"/>
                            <w:szCs w:val="14"/>
                            <w:cs w:val="0"/>
                          </w:rPr>
                          <w:t>TMT</w:t>
                        </w:r>
                      </w:p>
                    </w:txbxContent>
                  </v:textbox>
                </v:roundrect>
                <v:roundrect id="Text Box 194" o:spid="_x0000_s1047" style="position:absolute;top:6000;width:12986;height:6402;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LAS8MA&#10;AADcAAAADwAAAGRycy9kb3ducmV2LnhtbERPTWvCQBC9F/wPywjemo1FShtdRQSLiLRoPHgcs2MS&#10;kp0N2U2M/fXdQqG3ebzPWawGU4ueWldaVjCNYhDEmdUl5wrO6fb5DYTzyBpry6TgQQ5Wy9HTAhNt&#10;73yk/uRzEULYJaig8L5JpHRZQQZdZBviwN1sa9AH2OZSt3gP4aaWL3H8Kg2WHBoKbGhTUFadOqMA&#10;a5d+fF6/Tfc4VP3xaz/j23BRajIe1nMQngb/L/5z73SY/z6D32fCBXL5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ELAS8MAAADcAAAADwAAAAAAAAAAAAAAAACYAgAAZHJzL2Rv&#10;d25yZXYueG1sUEsFBgAAAAAEAAQA9QAAAIgDAAAAAA==&#10;" fillcolor="#3d5c4a" strokecolor="#8aa38a" strokeweight=".5pt">
                  <v:textbox inset="1mm,.5mm,1mm,.5mm">
                    <w:txbxContent>
                      <w:p w:rsidR="002822AA" w:rsidRPr="00D63DDF" w:rsidRDefault="002822AA" w:rsidP="002822AA">
                        <w:pPr>
                          <w:spacing w:after="0" w:line="240" w:lineRule="auto"/>
                          <w:jc w:val="center"/>
                          <w:rPr>
                            <w:rFonts w:cs="B Titr"/>
                            <w:cs w:val="0"/>
                          </w:rPr>
                        </w:pPr>
                        <w:r w:rsidRPr="00D63DDF">
                          <w:rPr>
                            <w:rFonts w:cs="B Titr"/>
                            <w:color w:val="FFFFFF"/>
                            <w:sz w:val="14"/>
                            <w:szCs w:val="14"/>
                            <w:cs w:val="0"/>
                          </w:rPr>
                          <w:t>نظریه دلبستگی</w:t>
                        </w:r>
                      </w:p>
                      <w:p w:rsidR="002822AA" w:rsidRPr="00D63DDF" w:rsidRDefault="002822AA" w:rsidP="002822AA">
                        <w:pPr>
                          <w:spacing w:after="0" w:line="240" w:lineRule="auto"/>
                          <w:jc w:val="center"/>
                          <w:rPr>
                            <w:rFonts w:cs="B Titr"/>
                            <w:cs w:val="0"/>
                          </w:rPr>
                        </w:pPr>
                        <w:r w:rsidRPr="00D63DDF">
                          <w:rPr>
                            <w:rFonts w:cs="B Titr"/>
                            <w:color w:val="FFFFFF"/>
                            <w:sz w:val="14"/>
                            <w:szCs w:val="14"/>
                            <w:cs w:val="0"/>
                          </w:rPr>
                          <w:t>بالبی</w:t>
                        </w:r>
                      </w:p>
                    </w:txbxContent>
                  </v:textbox>
                </v:roundrect>
                <v:roundrect id="Text Box 195" o:spid="_x0000_s1048" style="position:absolute;left:38100;top:14287;width:15546;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qGiZcEA&#10;AADcAAAADwAAAGRycy9kb3ducmV2LnhtbERPzWoCMRC+F3yHMIKXolkFi12NUgRpT9pd+wDDZtws&#10;bibbJNXt2xtB8DYf3++sNr1txYV8aBwrmE4yEMSV0w3XCn6Ou/ECRIjIGlvHpOCfAmzWg5cV5tpd&#10;uaBLGWuRQjjkqMDE2OVShsqQxTBxHXHiTs5bjAn6WmqP1xRuWznLsjdpseHUYLCjraHqXP5ZBcff&#10;vSncuTjMp682fH4X/lSzV2o07D+WICL18Sl+uL90mv8+h/sz6QK5v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ahomXBAAAA3AAAAA8AAAAAAAAAAAAAAAAAmAIAAGRycy9kb3du&#10;cmV2LnhtbFBLBQYAAAAABAAEAPUAAACGAwAAAAA=&#10;" fillcolor="#f7f4ec" strokecolor="#8aa38a" strokeweight=".5pt">
                  <v:textbox inset="1mm,.5mm,1mm,.5mm">
                    <w:txbxContent>
                      <w:p w:rsidR="002822AA" w:rsidRPr="00D63DDF" w:rsidRDefault="002822AA" w:rsidP="002822AA">
                        <w:pPr>
                          <w:spacing w:after="0" w:line="240" w:lineRule="auto"/>
                          <w:jc w:val="center"/>
                          <w:rPr>
                            <w:rFonts w:cs="B Titr"/>
                            <w:cs w:val="0"/>
                          </w:rPr>
                        </w:pPr>
                        <w:r w:rsidRPr="00D63DDF">
                          <w:rPr>
                            <w:rFonts w:cs="B Titr"/>
                            <w:color w:val="1F4E5F"/>
                            <w:sz w:val="16"/>
                            <w:szCs w:val="16"/>
                            <w:cs w:val="0"/>
                          </w:rPr>
                          <w:t>ابعاد</w:t>
                        </w:r>
                      </w:p>
                    </w:txbxContent>
                  </v:textbox>
                </v:roundrect>
                <v:roundrect id="Text Box 196" o:spid="_x0000_s1049" style="position:absolute;left:20669;top:14287;width:15547;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nM8EsEA&#10;AADcAAAADwAAAGRycy9kb3ducmV2LnhtbERPzWoCMRC+F3yHMIKXolkFxa5GKYK0J+2ufYBhM24W&#10;N5Ntkur27Y0g9DYf3++st71txZV8aBwrmE4yEMSV0w3XCr5P+/ESRIjIGlvHpOCPAmw3g5c15trd&#10;uKBrGWuRQjjkqMDE2OVShsqQxTBxHXHizs5bjAn6WmqPtxRuWznLsoW02HBqMNjRzlB1KX+tgtPP&#10;wRTuUhzn01cbPr4Kf67ZKzUa9u8rEJH6+C9+uj91mv+2gMcz6QK5u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ZzPBLBAAAA3AAAAA8AAAAAAAAAAAAAAAAAmAIAAGRycy9kb3du&#10;cmV2LnhtbFBLBQYAAAAABAAEAPUAAACGAwAAAAA=&#10;" fillcolor="#f7f4ec" strokecolor="#8aa38a" strokeweight=".5pt">
                  <v:textbox inset="1mm,.5mm,1mm,.5mm">
                    <w:txbxContent>
                      <w:p w:rsidR="002822AA" w:rsidRPr="00D63DDF" w:rsidRDefault="002822AA" w:rsidP="002822AA">
                        <w:pPr>
                          <w:spacing w:after="0" w:line="240" w:lineRule="auto"/>
                          <w:jc w:val="center"/>
                          <w:rPr>
                            <w:rFonts w:cs="B Titr"/>
                            <w:cs w:val="0"/>
                          </w:rPr>
                        </w:pPr>
                        <w:r w:rsidRPr="00D63DDF">
                          <w:rPr>
                            <w:rFonts w:cs="B Titr"/>
                            <w:color w:val="1F4E5F"/>
                            <w:sz w:val="16"/>
                            <w:szCs w:val="16"/>
                            <w:cs w:val="0"/>
                          </w:rPr>
                          <w:t>عوامل مؤثر</w:t>
                        </w:r>
                      </w:p>
                    </w:txbxContent>
                  </v:textbox>
                </v:roundrect>
                <v:roundrect id="Text Box 197" o:spid="_x0000_s1050" style="position:absolute;left:3333;top:14287;width:15547;height:4024;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ZicEA&#10;AADcAAAADwAAAGRycy9kb3ducmV2LnhtbERPzWoCMRC+C32HMIVeRLMWtHU1SimUelJXfYBhM24W&#10;N5Ntkur69kYQvM3H9zvzZWcbcSYfascKRsMMBHHpdM2VgsP+Z/AJIkRkjY1jUnClAMvFS2+OuXYX&#10;Lui8i5VIIRxyVGBibHMpQ2nIYhi6ljhxR+ctxgR9JbXHSwq3jXzPsom0WHNqMNjSt6HytPu3CvZ/&#10;a1O4U7EZj/o2/G4Lf6zYK/X22n3NQETq4lP8cK90mj/9gPsz6QK5uA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k/mYnBAAAA3AAAAA8AAAAAAAAAAAAAAAAAmAIAAGRycy9kb3du&#10;cmV2LnhtbFBLBQYAAAAABAAEAPUAAACGAwAAAAA=&#10;" fillcolor="#f7f4ec" strokecolor="#8aa38a" strokeweight=".5pt">
                  <v:textbox inset="1mm,.5mm,1mm,.5mm">
                    <w:txbxContent>
                      <w:p w:rsidR="002822AA" w:rsidRPr="00D63DDF" w:rsidRDefault="002822AA" w:rsidP="002822AA">
                        <w:pPr>
                          <w:spacing w:after="0" w:line="240" w:lineRule="auto"/>
                          <w:jc w:val="center"/>
                          <w:rPr>
                            <w:rFonts w:cs="B Titr"/>
                            <w:cs w:val="0"/>
                          </w:rPr>
                        </w:pPr>
                        <w:r w:rsidRPr="00D63DDF">
                          <w:rPr>
                            <w:rFonts w:cs="B Titr"/>
                            <w:color w:val="1F4E5F"/>
                            <w:sz w:val="16"/>
                            <w:szCs w:val="16"/>
                            <w:cs w:val="0"/>
                          </w:rPr>
                          <w:t>پیامدها</w:t>
                        </w:r>
                      </w:p>
                    </w:txbxContent>
                  </v:textbox>
                </v:roundrect>
                <v:roundrect id="Text Box 198" o:spid="_x0000_s1051" style="position:absolute;left:18192;top:19716;width:18291;height:384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KAN+8QA&#10;AADcAAAADwAAAGRycy9kb3ducmV2LnhtbESPQWsCMRCF74L/IYzgRWpWoWK3RimFUk+tq/0Bw2bc&#10;LG4m2yTV9d93DoXeZnhv3vtmsxt8p64UUxvYwGJegCKug225MfB1entYg0oZ2WIXmAzcKcFuOx5t&#10;sLThxhVdj7lREsKpRAMu577UOtWOPKZ56IlFO4foMcsaG20j3iTcd3pZFCvtsWVpcNjTq6P6cvzx&#10;Bk7fH64Kl+rzcTHz6f1QxXPD0ZjpZHh5BpVpyP/mv+u9FfwnoZVnZAK9/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gDfvEAAAA3AAAAA8AAAAAAAAAAAAAAAAAmAIAAGRycy9k&#10;b3ducmV2LnhtbFBLBQYAAAAABAAEAPUAAACJAwAAAAA=&#10;" fillcolor="#f7f4ec" strokecolor="#8aa38a" strokeweight=".5pt">
                  <v:textbox inset="1mm,.5mm,1mm,.5mm">
                    <w:txbxContent>
                      <w:p w:rsidR="002822AA" w:rsidRPr="00D63DDF" w:rsidRDefault="002822AA" w:rsidP="002822AA">
                        <w:pPr>
                          <w:spacing w:after="0" w:line="240" w:lineRule="auto"/>
                          <w:jc w:val="center"/>
                          <w:rPr>
                            <w:rFonts w:cs="B Titr"/>
                            <w:cs w:val="0"/>
                          </w:rPr>
                        </w:pPr>
                        <w:r w:rsidRPr="00D63DDF">
                          <w:rPr>
                            <w:rFonts w:cs="B Titr"/>
                            <w:color w:val="1F4E5F"/>
                            <w:sz w:val="15"/>
                            <w:szCs w:val="15"/>
                            <w:cs w:val="0"/>
                          </w:rPr>
                          <w:t>مفهوم اضطراب مرگ</w:t>
                        </w:r>
                      </w:p>
                    </w:txbxContent>
                  </v:textbox>
                </v:roundrect>
                <w10:wrap type="topAndBottom"/>
              </v:group>
            </w:pict>
          </mc:Fallback>
        </mc:AlternateContent>
      </w:r>
      <w:bookmarkStart w:id="54" w:name="_TocFig002"/>
      <w:r w:rsidR="002D5E38">
        <w:rPr>
          <w:cs w:val="0"/>
        </w:rPr>
        <w:t>شکل</w:t>
      </w:r>
      <w:r w:rsidR="002D5E38">
        <w:fldChar w:fldCharType="begin"/>
      </w:r>
      <w:r w:rsidR="002D5E38">
        <w:rPr>
          <w:cs w:val="0"/>
        </w:rPr>
        <w:instrText xml:space="preserve"> SEQ شکل \* ARABIC </w:instrText>
      </w:r>
      <w:r w:rsidR="002D5E38">
        <w:fldChar w:fldCharType="separate"/>
      </w:r>
      <w:r w:rsidR="00D419F3">
        <w:rPr>
          <w:noProof/>
          <w:cs w:val="0"/>
        </w:rPr>
        <w:t>2</w:t>
      </w:r>
      <w:r w:rsidR="002D5E38">
        <w:fldChar w:fldCharType="end"/>
      </w:r>
      <w:r w:rsidR="002D5E38">
        <w:rPr>
          <w:cs w:val="0"/>
        </w:rPr>
        <w:t>- درختواره اضطراب مرگ (نظریه‌ها، ابعاد، عوامل و پیامدها)</w:t>
      </w:r>
      <w:bookmarkEnd w:id="54"/>
    </w:p>
    <w:p w:rsidR="008908D0" w:rsidRPr="002822AA" w:rsidRDefault="002D5E38" w:rsidP="002822AA">
      <w:pPr>
        <w:pStyle w:val="Heading3"/>
        <w:rPr>
          <w:cs w:val="0"/>
        </w:rPr>
      </w:pPr>
      <w:bookmarkStart w:id="55" w:name="_Toc239015124"/>
      <w:bookmarkStart w:id="56" w:name="_Toc239431987"/>
      <w:r w:rsidRPr="002822AA">
        <w:rPr>
          <w:cs w:val="0"/>
        </w:rPr>
        <w:t>۲-۲-۱- مفهوم اضطراب مرگ</w:t>
      </w:r>
      <w:bookmarkEnd w:id="55"/>
      <w:bookmarkEnd w:id="56"/>
    </w:p>
    <w:p w:rsidR="008908D0" w:rsidRDefault="002D5E38">
      <w:pPr>
        <w:spacing w:after="0" w:line="276" w:lineRule="auto"/>
        <w:ind w:firstLine="397"/>
        <w:jc w:val="both"/>
        <w:rPr>
          <w:color w:val="auto"/>
          <w:cs w:val="0"/>
        </w:rPr>
      </w:pPr>
      <w:r>
        <w:rPr>
          <w:rFonts w:hint="cs"/>
          <w:cs w:val="0"/>
        </w:rPr>
        <w:t>اضطراب مرگ به احساس ترس، نگرانی و آشفتگی روانی در مواجهه با آگاهی از مرگ خود یا مرگ دیگران اشاره دارد. این تجربه می‌تواند به‌صورت آشکار یا ناآگاهانه بروز کند و تحت تأثیر عواملی مانند افزایش سن، بیماری، تجربه فقدان و تهدیدهای مرتبط با سلامت قرار گیرد. اضطراب مرگ یکی از نگرانی‌های اساسی انسان محسوب می‌شود و می‌تواند بر سلامت روان، نگرش فرد نسبت به زندگی، روابط اجتماعی و احساس معنا در زندگی تأثیرگذار باشد. پژوهش‌های جدید نشان می‌دهند که مواجهه با محدودیت‌های زندگی و آگاهی از فناپذیری، نقش مهمی در شکل‌گیری واکنش‌های هیجانی و سازگاری روان‌شناختی افراد دارد (نوردگرن</w:t>
      </w:r>
      <w:r>
        <w:rPr>
          <w:rStyle w:val="FootnoteReference"/>
        </w:rPr>
        <w:footnoteReference w:id="74"/>
      </w:r>
      <w:r>
        <w:rPr>
          <w:rFonts w:hint="cs"/>
          <w:cs w:val="0"/>
        </w:rPr>
        <w:t xml:space="preserve"> و همکاران، ۲۰۲۲؛ مارتین</w:t>
      </w:r>
      <w:r>
        <w:rPr>
          <w:rStyle w:val="FootnoteReference"/>
        </w:rPr>
        <w:footnoteReference w:id="75"/>
      </w:r>
      <w:r>
        <w:rPr>
          <w:rFonts w:hint="cs"/>
          <w:cs w:val="0"/>
        </w:rPr>
        <w:t xml:space="preserve"> و همکاران، ۲۰۲۳).</w:t>
      </w:r>
    </w:p>
    <w:p w:rsidR="008908D0" w:rsidRDefault="002D5E38">
      <w:pPr>
        <w:spacing w:after="0" w:line="276" w:lineRule="auto"/>
        <w:ind w:firstLine="397"/>
        <w:jc w:val="both"/>
        <w:rPr>
          <w:cs w:val="0"/>
        </w:rPr>
      </w:pPr>
      <w:r>
        <w:rPr>
          <w:cs w:val="0"/>
        </w:rPr>
        <w:t>همسو با این یافته‌ها، آزمون‌های جدیدتر نظریه مدیریت وحشت</w:t>
      </w:r>
      <w:r>
        <w:rPr>
          <w:rStyle w:val="FootnoteReference"/>
        </w:rPr>
        <w:footnoteReference w:id="76"/>
      </w:r>
      <w:r>
        <w:rPr>
          <w:cs w:val="0"/>
        </w:rPr>
        <w:t xml:space="preserve"> نشان می‌دهند که برجسته شدن فناپذیری ــ مانند در شرایط تهدید جمعی مانند همه‌گیری ــ می‌تواند هم دفاع‌های روان‌شناختی را فعال کند و هم اضطراب مرگ را در گروه‌های سنی مختلف افزایش دهد (پیشزچینسکی</w:t>
      </w:r>
      <w:r>
        <w:rPr>
          <w:rStyle w:val="FootnoteReference"/>
        </w:rPr>
        <w:footnoteReference w:id="77"/>
      </w:r>
      <w:r>
        <w:rPr>
          <w:cs w:val="0"/>
        </w:rPr>
        <w:t xml:space="preserve"> و همکاران، ۲۰۲۱).</w:t>
      </w:r>
    </w:p>
    <w:p w:rsidR="008908D0" w:rsidRPr="002822AA" w:rsidRDefault="002D5E38" w:rsidP="002822AA">
      <w:pPr>
        <w:pStyle w:val="Heading3"/>
        <w:rPr>
          <w:cs w:val="0"/>
        </w:rPr>
      </w:pPr>
      <w:bookmarkStart w:id="57" w:name="_Toc239015125"/>
      <w:bookmarkStart w:id="58" w:name="_Toc239431988"/>
      <w:r w:rsidRPr="002822AA">
        <w:rPr>
          <w:cs w:val="0"/>
        </w:rPr>
        <w:lastRenderedPageBreak/>
        <w:t>۲-۲-۲- نظریه‌های مرتبط با اضطراب مرگ</w:t>
      </w:r>
      <w:bookmarkEnd w:id="57"/>
      <w:bookmarkEnd w:id="58"/>
    </w:p>
    <w:p w:rsidR="008908D0" w:rsidRPr="002822AA" w:rsidRDefault="002D5E38" w:rsidP="002822AA">
      <w:pPr>
        <w:pStyle w:val="Heading4"/>
        <w:rPr>
          <w:cs w:val="0"/>
        </w:rPr>
      </w:pPr>
      <w:bookmarkStart w:id="59" w:name="_Toc239015126"/>
      <w:r w:rsidRPr="002822AA">
        <w:rPr>
          <w:cs w:val="0"/>
        </w:rPr>
        <w:t>۲-۲-۲-۱- نظریه فروید (روان‌تحلیل‌گری)</w:t>
      </w:r>
      <w:bookmarkEnd w:id="59"/>
    </w:p>
    <w:p w:rsidR="008908D0" w:rsidRDefault="002D5E38">
      <w:pPr>
        <w:spacing w:after="0" w:line="276" w:lineRule="auto"/>
        <w:ind w:firstLine="397"/>
        <w:jc w:val="both"/>
        <w:rPr>
          <w:color w:val="auto"/>
          <w:cs w:val="0"/>
        </w:rPr>
      </w:pPr>
      <w:r>
        <w:rPr>
          <w:rFonts w:hint="cs"/>
          <w:cs w:val="0"/>
        </w:rPr>
        <w:t>فروید</w:t>
      </w:r>
      <w:r>
        <w:rPr>
          <w:rStyle w:val="FootnoteReference"/>
        </w:rPr>
        <w:footnoteReference w:id="78"/>
      </w:r>
      <w:r>
        <w:rPr>
          <w:rFonts w:hint="cs"/>
          <w:cs w:val="0"/>
        </w:rPr>
        <w:t xml:space="preserve"> معتقد بود که ذهن ناهشیار انسان مرگ را انکار می‌کند؛ زیرا مرگ مفهومی ناپذیرفتنی برای ذهن انسان است. او بر این باور بود که اضطراب مرگ ناشی از تعارضات درونی سرکوب‌شده و ترس‌های اولیه در دوران کودکی است. به عقیده او، اضطراب مرگ به شکل نمادین و با پوشش‌های مختلف (مانند ترس از بیماری، تاریکی، یا از دست دادن) بروز می‌کند (فروید، ۱۹۲۰).</w:t>
      </w:r>
    </w:p>
    <w:p w:rsidR="008908D0" w:rsidRDefault="002D5E38">
      <w:pPr>
        <w:spacing w:after="0" w:line="276" w:lineRule="auto"/>
        <w:ind w:firstLine="397"/>
        <w:jc w:val="both"/>
        <w:rPr>
          <w:cs w:val="0"/>
        </w:rPr>
      </w:pPr>
      <w:r>
        <w:rPr>
          <w:cs w:val="0"/>
        </w:rPr>
        <w:t>پژوهش‌های متأخر کمتر از تبیین کاملاً ناهشیار فروید پیروی می‌کنند و اضطراب مرگ را سازه‌ای قابل‌اندازه‌گیری و فراتشخیصی می‌دانند که با طیف وسیعی از مشکلات هیجانی پیوند دارد (ایوراچ</w:t>
      </w:r>
      <w:r>
        <w:rPr>
          <w:rStyle w:val="FootnoteReference"/>
        </w:rPr>
        <w:footnoteReference w:id="79"/>
      </w:r>
      <w:r>
        <w:rPr>
          <w:cs w:val="0"/>
        </w:rPr>
        <w:t>، منزیس</w:t>
      </w:r>
      <w:r>
        <w:rPr>
          <w:rStyle w:val="FootnoteReference"/>
        </w:rPr>
        <w:footnoteReference w:id="80"/>
      </w:r>
      <w:r>
        <w:rPr>
          <w:cs w:val="0"/>
        </w:rPr>
        <w:t xml:space="preserve"> و منزیس، ۲۰۱۴).</w:t>
      </w:r>
    </w:p>
    <w:p w:rsidR="008908D0" w:rsidRPr="002822AA" w:rsidRDefault="002D5E38" w:rsidP="002822AA">
      <w:pPr>
        <w:pStyle w:val="Heading4"/>
        <w:rPr>
          <w:cs w:val="0"/>
        </w:rPr>
      </w:pPr>
      <w:bookmarkStart w:id="60" w:name="_Toc239015127"/>
      <w:r w:rsidRPr="002822AA">
        <w:rPr>
          <w:cs w:val="0"/>
        </w:rPr>
        <w:t>۲-۲-۲-۲- نظریه یالوم (وجودگرایی)</w:t>
      </w:r>
      <w:bookmarkEnd w:id="60"/>
    </w:p>
    <w:p w:rsidR="008908D0" w:rsidRDefault="002D5E38">
      <w:pPr>
        <w:spacing w:after="0" w:line="276" w:lineRule="auto"/>
        <w:ind w:firstLine="397"/>
        <w:jc w:val="both"/>
        <w:rPr>
          <w:color w:val="auto"/>
          <w:cs w:val="0"/>
        </w:rPr>
      </w:pPr>
      <w:r>
        <w:rPr>
          <w:rFonts w:hint="cs"/>
          <w:cs w:val="0"/>
        </w:rPr>
        <w:t>اروین یالوم</w:t>
      </w:r>
      <w:r>
        <w:rPr>
          <w:rStyle w:val="FootnoteReference"/>
        </w:rPr>
        <w:footnoteReference w:id="81"/>
      </w:r>
      <w:r>
        <w:rPr>
          <w:rFonts w:hint="cs"/>
          <w:cs w:val="0"/>
        </w:rPr>
        <w:t xml:space="preserve"> اضطراب مرگ را یکی از چهار دغدغه اساسی انسان (مرگ، آزادی، تنهایی، بی‌معنایی) معرفی می‌کند. از دید او، انسان با آگاهی از مرگ و فناپذیری خویش دچار اضطراب می‌شود. اما مواجهه اصیل با مرگ می‌تواند موجب رشد روانی، افزایش خودآگاهی و تجربه‌ی زندگی معنا‌دارتر شود (یالوم، ۱۹۸۰).</w:t>
      </w:r>
    </w:p>
    <w:p w:rsidR="008908D0" w:rsidRDefault="002D5E38">
      <w:pPr>
        <w:spacing w:after="0" w:line="276" w:lineRule="auto"/>
        <w:ind w:firstLine="397"/>
        <w:jc w:val="both"/>
        <w:rPr>
          <w:cs w:val="0"/>
        </w:rPr>
      </w:pPr>
      <w:r>
        <w:rPr>
          <w:cs w:val="0"/>
        </w:rPr>
        <w:t>رویکردهای وجودی معاصر همچنان بر چهار دغدغه یالوم تأکید دارند؛ در کنار آن، نظریه مدیریت معنا</w:t>
      </w:r>
      <w:r>
        <w:rPr>
          <w:rStyle w:val="FootnoteReference"/>
        </w:rPr>
        <w:footnoteReference w:id="82"/>
      </w:r>
      <w:r>
        <w:rPr>
          <w:cs w:val="0"/>
        </w:rPr>
        <w:t xml:space="preserve"> بیان می‌کند که معناجویی و پذیرش مرگ، مسیر سازگاری سالم‌تر در مواجهه با فناپذیری است (وانگ</w:t>
      </w:r>
      <w:r>
        <w:rPr>
          <w:rStyle w:val="FootnoteReference"/>
        </w:rPr>
        <w:footnoteReference w:id="83"/>
      </w:r>
      <w:r>
        <w:rPr>
          <w:cs w:val="0"/>
        </w:rPr>
        <w:t>، ۲۰۰۸).</w:t>
      </w:r>
    </w:p>
    <w:p w:rsidR="008908D0" w:rsidRPr="002822AA" w:rsidRDefault="002D5E38" w:rsidP="002822AA">
      <w:pPr>
        <w:pStyle w:val="Heading4"/>
        <w:rPr>
          <w:cs w:val="0"/>
        </w:rPr>
      </w:pPr>
      <w:bookmarkStart w:id="61" w:name="_Toc239015128"/>
      <w:r w:rsidRPr="002822AA">
        <w:rPr>
          <w:cs w:val="0"/>
        </w:rPr>
        <w:t>۲-۲-۲-۳- نظریه مدیریت وحشت (TMT)</w:t>
      </w:r>
      <w:bookmarkEnd w:id="61"/>
    </w:p>
    <w:p w:rsidR="008908D0" w:rsidRDefault="002D5E38">
      <w:pPr>
        <w:spacing w:after="0" w:line="276" w:lineRule="auto"/>
        <w:ind w:firstLine="397"/>
        <w:jc w:val="both"/>
        <w:rPr>
          <w:color w:val="auto"/>
          <w:cs w:val="0"/>
        </w:rPr>
      </w:pPr>
      <w:r>
        <w:rPr>
          <w:rFonts w:hint="cs"/>
          <w:cs w:val="0"/>
        </w:rPr>
        <w:t>طبق این نظریه، که توسط گرینبرگ</w:t>
      </w:r>
      <w:r>
        <w:rPr>
          <w:rStyle w:val="FootnoteReference"/>
        </w:rPr>
        <w:footnoteReference w:id="84"/>
      </w:r>
      <w:r>
        <w:rPr>
          <w:rFonts w:hint="cs"/>
          <w:cs w:val="0"/>
        </w:rPr>
        <w:t xml:space="preserve"> و همکارانش مطرح شده است، انسان‌ها برای مقابله با اضطراب مرگ، به سیستم‌های دفاعی روان‌شناختی مانند باورهای مذهبی، هویت فرهنگی و عزت‌نفس متوسل می‌شوند. یادآوری مرگ باعث می‌شود افراد تلاش کنند تا بیشتر با ارزش‌ها و هنجارهای فرهنگی خود همسو شوند تا احساس جاودانگی نمادین پیدا کنند (گرینبرگ و همکاران، ۱۹۸۶).</w:t>
      </w:r>
    </w:p>
    <w:p w:rsidR="008908D0" w:rsidRDefault="002D5E38">
      <w:pPr>
        <w:spacing w:after="0" w:line="276" w:lineRule="auto"/>
        <w:ind w:firstLine="397"/>
        <w:jc w:val="both"/>
        <w:rPr>
          <w:cs w:val="0"/>
        </w:rPr>
      </w:pPr>
      <w:r>
        <w:rPr>
          <w:cs w:val="0"/>
        </w:rPr>
        <w:lastRenderedPageBreak/>
        <w:t>شواهد جدیدتر نظریه مدیریت وحشت</w:t>
      </w:r>
      <w:r>
        <w:rPr>
          <w:rStyle w:val="FootnoteReference"/>
        </w:rPr>
        <w:footnoteReference w:id="85"/>
      </w:r>
      <w:r>
        <w:rPr>
          <w:cs w:val="0"/>
        </w:rPr>
        <w:t xml:space="preserve"> را در شرایط تهدید جمعی مانند همه‌گیری کووید-۱۹ نیز آزموده‌اند و نشان داده‌اند که یادآوری مرگ می‌تواند وابستگی به جهان‌بینی فرهنگی و جست‌وجوی معنا را همزمان افزایش دهد (پیشزچینسکی</w:t>
      </w:r>
      <w:r>
        <w:rPr>
          <w:rStyle w:val="FootnoteReference"/>
        </w:rPr>
        <w:footnoteReference w:id="86"/>
      </w:r>
      <w:r>
        <w:rPr>
          <w:cs w:val="0"/>
        </w:rPr>
        <w:t xml:space="preserve"> و همکاران، ۲۰۲۱).</w:t>
      </w:r>
    </w:p>
    <w:p w:rsidR="008908D0" w:rsidRPr="002822AA" w:rsidRDefault="002D5E38" w:rsidP="002822AA">
      <w:pPr>
        <w:pStyle w:val="Heading4"/>
        <w:rPr>
          <w:cs w:val="0"/>
        </w:rPr>
      </w:pPr>
      <w:bookmarkStart w:id="62" w:name="_Toc239015129"/>
      <w:r w:rsidRPr="002822AA">
        <w:rPr>
          <w:cs w:val="0"/>
        </w:rPr>
        <w:t>۲-۲-۲-۴- نظریه دلبستگی</w:t>
      </w:r>
      <w:bookmarkEnd w:id="62"/>
    </w:p>
    <w:p w:rsidR="008908D0" w:rsidRDefault="002D5E38">
      <w:pPr>
        <w:spacing w:after="0" w:line="276" w:lineRule="auto"/>
        <w:ind w:firstLine="397"/>
        <w:jc w:val="both"/>
        <w:rPr>
          <w:color w:val="auto"/>
          <w:cs w:val="0"/>
        </w:rPr>
      </w:pPr>
      <w:r>
        <w:rPr>
          <w:rFonts w:hint="cs"/>
          <w:cs w:val="0"/>
        </w:rPr>
        <w:t>میکولینسر</w:t>
      </w:r>
      <w:r>
        <w:rPr>
          <w:rStyle w:val="FootnoteReference"/>
        </w:rPr>
        <w:footnoteReference w:id="87"/>
      </w:r>
      <w:r>
        <w:rPr>
          <w:rFonts w:hint="cs"/>
          <w:cs w:val="0"/>
        </w:rPr>
        <w:t xml:space="preserve"> و فلوریان</w:t>
      </w:r>
      <w:r>
        <w:rPr>
          <w:rStyle w:val="FootnoteReference"/>
        </w:rPr>
        <w:footnoteReference w:id="88"/>
      </w:r>
      <w:r>
        <w:rPr>
          <w:rFonts w:hint="cs"/>
          <w:cs w:val="0"/>
        </w:rPr>
        <w:t xml:space="preserve"> (۲۰۰۰) با تکیه بر نظریه دلبستگی بالبی</w:t>
      </w:r>
      <w:r>
        <w:rPr>
          <w:rStyle w:val="FootnoteReference"/>
        </w:rPr>
        <w:footnoteReference w:id="89"/>
      </w:r>
      <w:r>
        <w:rPr>
          <w:rFonts w:hint="cs"/>
          <w:cs w:val="0"/>
        </w:rPr>
        <w:t>، معتقدند سبک دلبستگی فرد در دوران کودکی، تعیین‌کننده میزان تحمل و تاب‌آوری او در برابر اضطراب مرگ در بزرگسالی است. افراد با دلبستگی ایمن در مواجهه با تهدیدات وجودی، مانند مرگ، سازگاری بیشتری دارند.</w:t>
      </w:r>
    </w:p>
    <w:p w:rsidR="008908D0" w:rsidRPr="002822AA" w:rsidRDefault="002D5E38" w:rsidP="002822AA">
      <w:pPr>
        <w:pStyle w:val="Heading3"/>
        <w:rPr>
          <w:cs w:val="0"/>
        </w:rPr>
      </w:pPr>
      <w:bookmarkStart w:id="63" w:name="_Toc239015130"/>
      <w:bookmarkStart w:id="64" w:name="_Toc239431989"/>
      <w:r w:rsidRPr="002822AA">
        <w:rPr>
          <w:cs w:val="0"/>
        </w:rPr>
        <w:t>۲-۲-۳- ابعاد اضطراب مرگ</w:t>
      </w:r>
      <w:bookmarkEnd w:id="63"/>
      <w:bookmarkEnd w:id="64"/>
    </w:p>
    <w:p w:rsidR="008908D0" w:rsidRDefault="002D5E38">
      <w:pPr>
        <w:spacing w:after="0" w:line="276" w:lineRule="auto"/>
        <w:ind w:firstLine="397"/>
        <w:jc w:val="both"/>
        <w:rPr>
          <w:color w:val="auto"/>
          <w:cs w:val="0"/>
        </w:rPr>
      </w:pPr>
      <w:r>
        <w:rPr>
          <w:rFonts w:hint="cs"/>
          <w:cs w:val="0"/>
        </w:rPr>
        <w:t>پژوهشگران مختلف ابعاد گوناگونی را برای اضطراب مرگ برشمرده‌اند. نظیر رایج‌ترین طبقه‌بندی‌ها، می‌توان به موارد زیر اشاره کرد:</w:t>
      </w:r>
    </w:p>
    <w:p w:rsidR="008908D0" w:rsidRDefault="002D5E38">
      <w:pPr>
        <w:numPr>
          <w:ilvl w:val="0"/>
          <w:numId w:val="3"/>
        </w:numPr>
        <w:spacing w:after="0" w:line="276" w:lineRule="auto"/>
        <w:ind w:left="0" w:firstLine="397"/>
        <w:jc w:val="both"/>
        <w:rPr>
          <w:color w:val="auto"/>
          <w:cs w:val="0"/>
        </w:rPr>
      </w:pPr>
      <w:r>
        <w:rPr>
          <w:rFonts w:hint="cs"/>
          <w:cs w:val="0"/>
        </w:rPr>
        <w:t>ترس از درد و رنج فیزیکی حین مرگ</w:t>
      </w:r>
    </w:p>
    <w:p w:rsidR="008908D0" w:rsidRDefault="002D5E38">
      <w:pPr>
        <w:numPr>
          <w:ilvl w:val="0"/>
          <w:numId w:val="3"/>
        </w:numPr>
        <w:spacing w:after="0" w:line="276" w:lineRule="auto"/>
        <w:ind w:left="0" w:firstLine="397"/>
        <w:jc w:val="both"/>
        <w:rPr>
          <w:color w:val="auto"/>
          <w:cs w:val="0"/>
        </w:rPr>
      </w:pPr>
      <w:r>
        <w:rPr>
          <w:rFonts w:hint="cs"/>
          <w:cs w:val="0"/>
        </w:rPr>
        <w:t>ترس از ناشناخته‌ها و ندانستن آنچه پس از مرگ رخ می‌دهد</w:t>
      </w:r>
    </w:p>
    <w:p w:rsidR="008908D0" w:rsidRDefault="002D5E38">
      <w:pPr>
        <w:numPr>
          <w:ilvl w:val="0"/>
          <w:numId w:val="3"/>
        </w:numPr>
        <w:spacing w:after="0" w:line="276" w:lineRule="auto"/>
        <w:ind w:left="0" w:firstLine="397"/>
        <w:jc w:val="both"/>
        <w:rPr>
          <w:color w:val="auto"/>
          <w:cs w:val="0"/>
        </w:rPr>
      </w:pPr>
      <w:r>
        <w:rPr>
          <w:rFonts w:hint="cs"/>
          <w:cs w:val="0"/>
        </w:rPr>
        <w:t>نگرانی درباره از دست دادن فرصت‌های زندگی</w:t>
      </w:r>
    </w:p>
    <w:p w:rsidR="008908D0" w:rsidRDefault="002D5E38">
      <w:pPr>
        <w:numPr>
          <w:ilvl w:val="0"/>
          <w:numId w:val="3"/>
        </w:numPr>
        <w:spacing w:after="0" w:line="276" w:lineRule="auto"/>
        <w:ind w:left="0" w:firstLine="397"/>
        <w:jc w:val="both"/>
        <w:rPr>
          <w:color w:val="auto"/>
          <w:cs w:val="0"/>
        </w:rPr>
      </w:pPr>
      <w:r>
        <w:rPr>
          <w:rFonts w:hint="cs"/>
          <w:cs w:val="0"/>
        </w:rPr>
        <w:t>ترس از جدایی از عزیزان و آسیب دیدن آن‌ها</w:t>
      </w:r>
    </w:p>
    <w:p w:rsidR="008908D0" w:rsidRDefault="002D5E38">
      <w:pPr>
        <w:numPr>
          <w:ilvl w:val="0"/>
          <w:numId w:val="3"/>
        </w:numPr>
        <w:spacing w:after="0" w:line="276" w:lineRule="auto"/>
        <w:ind w:left="0" w:firstLine="397"/>
        <w:jc w:val="both"/>
        <w:rPr>
          <w:color w:val="auto"/>
          <w:cs w:val="0"/>
        </w:rPr>
      </w:pPr>
      <w:r>
        <w:rPr>
          <w:rFonts w:hint="cs"/>
          <w:cs w:val="0"/>
        </w:rPr>
        <w:t>نگرانی درباره‌ی تأثیر منفی مرگ بر دیگران (وابستگان)</w:t>
      </w:r>
    </w:p>
    <w:p w:rsidR="008908D0" w:rsidRDefault="002D5E38">
      <w:pPr>
        <w:numPr>
          <w:ilvl w:val="0"/>
          <w:numId w:val="3"/>
        </w:numPr>
        <w:spacing w:after="0" w:line="276" w:lineRule="auto"/>
        <w:ind w:left="0" w:firstLine="397"/>
        <w:jc w:val="both"/>
        <w:rPr>
          <w:color w:val="auto"/>
          <w:cs w:val="0"/>
        </w:rPr>
      </w:pPr>
      <w:r>
        <w:rPr>
          <w:rFonts w:hint="cs"/>
          <w:cs w:val="0"/>
        </w:rPr>
        <w:t>اضطراب درباره نحوه‌ی به یاد آوردن فرد پس از مرگ (میراث روانی)</w:t>
      </w:r>
    </w:p>
    <w:p w:rsidR="008908D0" w:rsidRDefault="002D5E38">
      <w:pPr>
        <w:spacing w:after="0" w:line="276" w:lineRule="auto"/>
        <w:ind w:firstLine="397"/>
        <w:jc w:val="both"/>
        <w:rPr>
          <w:cs w:val="0"/>
        </w:rPr>
      </w:pPr>
      <w:r>
        <w:rPr>
          <w:cs w:val="0"/>
        </w:rPr>
        <w:t>طبقه‌بندی‌های جدیدتر، اضطراب مرگ را چندبُعدی می‌دانند و میان ترس از مردن، ترس از آنچه پس از مرگ می‌آید و نگرانی برای بازماندگان تمایز می‌گذارند؛ همین تمایز در طراحی مقیاس‌ها و مداخلات اهمیت دارد (ایوراچ</w:t>
      </w:r>
      <w:r>
        <w:rPr>
          <w:rStyle w:val="FootnoteReference"/>
        </w:rPr>
        <w:footnoteReference w:id="90"/>
      </w:r>
      <w:r>
        <w:rPr>
          <w:cs w:val="0"/>
        </w:rPr>
        <w:t xml:space="preserve"> و همکاران، ۲۰۱۴).</w:t>
      </w:r>
    </w:p>
    <w:p w:rsidR="008908D0" w:rsidRPr="002822AA" w:rsidRDefault="002D5E38" w:rsidP="002822AA">
      <w:pPr>
        <w:pStyle w:val="Heading3"/>
        <w:pageBreakBefore/>
        <w:rPr>
          <w:cs w:val="0"/>
        </w:rPr>
      </w:pPr>
      <w:bookmarkStart w:id="65" w:name="_Toc239015131"/>
      <w:bookmarkStart w:id="66" w:name="_Toc239431990"/>
      <w:r w:rsidRPr="002822AA">
        <w:rPr>
          <w:cs w:val="0"/>
        </w:rPr>
        <w:lastRenderedPageBreak/>
        <w:t>۲-۲-۴- عوامل مؤثر بر اضطراب مرگ در سالمندان</w:t>
      </w:r>
      <w:bookmarkEnd w:id="65"/>
      <w:bookmarkEnd w:id="66"/>
    </w:p>
    <w:p w:rsidR="008908D0" w:rsidRDefault="002D5E38">
      <w:pPr>
        <w:spacing w:after="0" w:line="276" w:lineRule="auto"/>
        <w:ind w:firstLine="397"/>
        <w:jc w:val="both"/>
        <w:rPr>
          <w:color w:val="auto"/>
          <w:cs w:val="0"/>
        </w:rPr>
      </w:pPr>
      <w:r>
        <w:rPr>
          <w:rFonts w:hint="cs"/>
          <w:cs w:val="0"/>
        </w:rPr>
        <w:t>اضطراب مرگ در سالمندان تحت تأثیر عوامل روان‌شناختی، اجتماعی و معنوی قرار دارد. مهم‌ترین عوامل عبارت‌اند از:</w:t>
      </w:r>
    </w:p>
    <w:p w:rsidR="008908D0" w:rsidRDefault="002D5E38" w:rsidP="00962CE9">
      <w:pPr>
        <w:numPr>
          <w:ilvl w:val="0"/>
          <w:numId w:val="2"/>
        </w:numPr>
        <w:spacing w:after="0" w:line="240" w:lineRule="auto"/>
        <w:ind w:left="0" w:firstLine="397"/>
        <w:jc w:val="both"/>
        <w:rPr>
          <w:color w:val="auto"/>
          <w:cs w:val="0"/>
        </w:rPr>
      </w:pPr>
      <w:r>
        <w:rPr>
          <w:rFonts w:hint="cs"/>
          <w:cs w:val="0"/>
        </w:rPr>
        <w:t>تجربه مرگ نزدیکان یا همسر</w:t>
      </w:r>
    </w:p>
    <w:p w:rsidR="008908D0" w:rsidRDefault="002D5E38" w:rsidP="00962CE9">
      <w:pPr>
        <w:numPr>
          <w:ilvl w:val="0"/>
          <w:numId w:val="2"/>
        </w:numPr>
        <w:spacing w:after="0" w:line="240" w:lineRule="auto"/>
        <w:ind w:left="0" w:firstLine="397"/>
        <w:jc w:val="both"/>
        <w:rPr>
          <w:color w:val="auto"/>
          <w:cs w:val="0"/>
        </w:rPr>
      </w:pPr>
      <w:r>
        <w:rPr>
          <w:rFonts w:hint="cs"/>
          <w:cs w:val="0"/>
        </w:rPr>
        <w:t>سطح سلامت جسمی و روانی</w:t>
      </w:r>
    </w:p>
    <w:p w:rsidR="008908D0" w:rsidRDefault="002D5E38" w:rsidP="00962CE9">
      <w:pPr>
        <w:numPr>
          <w:ilvl w:val="0"/>
          <w:numId w:val="2"/>
        </w:numPr>
        <w:spacing w:after="0" w:line="240" w:lineRule="auto"/>
        <w:ind w:left="0" w:firstLine="397"/>
        <w:jc w:val="both"/>
        <w:rPr>
          <w:color w:val="auto"/>
          <w:cs w:val="0"/>
        </w:rPr>
      </w:pPr>
      <w:r>
        <w:rPr>
          <w:rFonts w:hint="cs"/>
          <w:cs w:val="0"/>
        </w:rPr>
        <w:t>باورهای مذهبی و معنوی</w:t>
      </w:r>
    </w:p>
    <w:p w:rsidR="008908D0" w:rsidRDefault="002D5E38" w:rsidP="00962CE9">
      <w:pPr>
        <w:numPr>
          <w:ilvl w:val="0"/>
          <w:numId w:val="2"/>
        </w:numPr>
        <w:spacing w:after="0" w:line="240" w:lineRule="auto"/>
        <w:ind w:left="0" w:firstLine="397"/>
        <w:jc w:val="both"/>
        <w:rPr>
          <w:color w:val="auto"/>
          <w:cs w:val="0"/>
        </w:rPr>
      </w:pPr>
      <w:r>
        <w:rPr>
          <w:rFonts w:hint="cs"/>
          <w:cs w:val="0"/>
        </w:rPr>
        <w:t>سطح هوش معنوی</w:t>
      </w:r>
    </w:p>
    <w:p w:rsidR="008908D0" w:rsidRDefault="002D5E38" w:rsidP="00962CE9">
      <w:pPr>
        <w:numPr>
          <w:ilvl w:val="0"/>
          <w:numId w:val="2"/>
        </w:numPr>
        <w:spacing w:after="0" w:line="240" w:lineRule="auto"/>
        <w:ind w:left="0" w:firstLine="397"/>
        <w:jc w:val="both"/>
        <w:rPr>
          <w:color w:val="auto"/>
          <w:cs w:val="0"/>
        </w:rPr>
      </w:pPr>
      <w:r>
        <w:rPr>
          <w:rFonts w:hint="cs"/>
          <w:cs w:val="0"/>
        </w:rPr>
        <w:t>سبک دلبستگی و تجربه‌های عاطفی دوران کودکی</w:t>
      </w:r>
    </w:p>
    <w:p w:rsidR="008908D0" w:rsidRDefault="002D5E38" w:rsidP="00962CE9">
      <w:pPr>
        <w:numPr>
          <w:ilvl w:val="0"/>
          <w:numId w:val="2"/>
        </w:numPr>
        <w:spacing w:after="0" w:line="240" w:lineRule="auto"/>
        <w:ind w:left="0" w:firstLine="397"/>
        <w:jc w:val="both"/>
        <w:rPr>
          <w:color w:val="auto"/>
          <w:cs w:val="0"/>
        </w:rPr>
      </w:pPr>
      <w:r>
        <w:rPr>
          <w:rFonts w:hint="cs"/>
          <w:cs w:val="0"/>
        </w:rPr>
        <w:t>میزان حمایت اجتماعی و خانوادگی</w:t>
      </w:r>
    </w:p>
    <w:p w:rsidR="008908D0" w:rsidRPr="002822AA" w:rsidRDefault="002D5E38" w:rsidP="002822AA">
      <w:pPr>
        <w:pStyle w:val="Heading3"/>
        <w:rPr>
          <w:cs w:val="0"/>
        </w:rPr>
      </w:pPr>
      <w:bookmarkStart w:id="67" w:name="_Toc239015132"/>
      <w:bookmarkStart w:id="68" w:name="_Toc239431991"/>
      <w:r w:rsidRPr="002822AA">
        <w:rPr>
          <w:cs w:val="0"/>
        </w:rPr>
        <w:t>۲-۲-۵- اضطراب مرگ و سالمندی</w:t>
      </w:r>
      <w:bookmarkEnd w:id="67"/>
      <w:bookmarkEnd w:id="68"/>
    </w:p>
    <w:p w:rsidR="008908D0" w:rsidRDefault="002D5E38">
      <w:pPr>
        <w:spacing w:after="0" w:line="276" w:lineRule="auto"/>
        <w:ind w:firstLine="397"/>
        <w:jc w:val="both"/>
        <w:rPr>
          <w:color w:val="auto"/>
          <w:cs w:val="0"/>
        </w:rPr>
      </w:pPr>
      <w:r>
        <w:rPr>
          <w:rFonts w:hint="cs"/>
          <w:cs w:val="0"/>
        </w:rPr>
        <w:t>دوران سالمندی با کاهش توانایی‌های جسمانی، بازنشستگی، تنهایی، و افزایش احتمال ابتلا به بیماری‌های مزمن همراه است. این عوامل، احتمال بروز اضطراب مرگ را افزایش می‌دهند. با این حال، پژوهش‌ها نشان داده‌اند که همه سالمندان به یک میزان اضطراب مرگ ندارند و عواملی همچون پذیرش معنوی، هوش معنوی بالا، یا تجربه‌های مثبت در زندگی، می‌توانند به‌عنوان متغیرهای تعدیل‌گر عمل کرده و اضطراب مرگ را کاهش دهند (نیمیر</w:t>
      </w:r>
      <w:r>
        <w:rPr>
          <w:rStyle w:val="FootnoteReference"/>
        </w:rPr>
        <w:footnoteReference w:id="91"/>
      </w:r>
      <w:r>
        <w:rPr>
          <w:rFonts w:hint="cs"/>
          <w:cs w:val="0"/>
        </w:rPr>
        <w:t>، ۱۹۹۴).</w:t>
      </w:r>
    </w:p>
    <w:p w:rsidR="008908D0" w:rsidRDefault="002D5E38">
      <w:pPr>
        <w:spacing w:after="0" w:line="276" w:lineRule="auto"/>
        <w:ind w:firstLine="397"/>
        <w:jc w:val="both"/>
        <w:rPr>
          <w:color w:val="auto"/>
          <w:cs w:val="0"/>
        </w:rPr>
      </w:pPr>
      <w:r>
        <w:rPr>
          <w:rFonts w:hint="cs"/>
          <w:cs w:val="0"/>
        </w:rPr>
        <w:t>دوران سالمندی معمولاً با تغییراتی مانند کاهش توانایی‌های جسمانی، بازنشستگی، کاهش برخی تعاملات اجتماعی، تجربه فقدان نزدیکان و افزایش احتمال ابتلا به بیماری‌های مزمن همراه است. این شرایط می‌تواند زمینه افزایش نگرانی‌ها و اضطراب‌های مرتبط با مرگ را در برخی سالمندان فراهم کند. با این حال، پژوهش‌ها نشان می‌دهند که تجربه اضطراب مرگ در میان سالمندان یکسان نیست و عواملی مانند معناجویی، باورهای معنوی، دینداری، هوش معنوی و برخورداری از تجارب مثبت زندگی می‌توانند نقش محافظتی داشته باشند و به کاهش ترس و اضطراب مرتبط با مرگ کمک کنند. افزون بر این، داشتن احساس معنا در زندگی و پذیرش فرایند سالمندی می‌تواند سازگاری روان‌شناختی افراد را در مواجهه با پایان زندگی افزایش دهد (ون بروگن</w:t>
      </w:r>
      <w:r>
        <w:rPr>
          <w:rStyle w:val="FootnoteReference"/>
        </w:rPr>
        <w:footnoteReference w:id="92"/>
      </w:r>
      <w:r>
        <w:rPr>
          <w:rFonts w:hint="cs"/>
          <w:cs w:val="0"/>
        </w:rPr>
        <w:t xml:space="preserve"> و همکاران، ۲۰۲۱؛ هوانگ</w:t>
      </w:r>
      <w:r>
        <w:rPr>
          <w:rStyle w:val="FootnoteReference"/>
        </w:rPr>
        <w:footnoteReference w:id="93"/>
      </w:r>
      <w:r>
        <w:rPr>
          <w:rFonts w:hint="cs"/>
          <w:cs w:val="0"/>
        </w:rPr>
        <w:t xml:space="preserve"> و همکاران، ۲۰۲۳).</w:t>
      </w:r>
    </w:p>
    <w:p w:rsidR="008908D0" w:rsidRPr="00962CE9" w:rsidRDefault="002D5E38" w:rsidP="00962CE9">
      <w:pPr>
        <w:pStyle w:val="Heading3"/>
        <w:rPr>
          <w:cs w:val="0"/>
        </w:rPr>
      </w:pPr>
      <w:bookmarkStart w:id="69" w:name="_Toc239015133"/>
      <w:bookmarkStart w:id="70" w:name="_Toc239431992"/>
      <w:r w:rsidRPr="00962CE9">
        <w:rPr>
          <w:cs w:val="0"/>
        </w:rPr>
        <w:lastRenderedPageBreak/>
        <w:t>۲-۲-۶- پیامدهای اضطراب مرگ</w:t>
      </w:r>
      <w:bookmarkEnd w:id="69"/>
      <w:bookmarkEnd w:id="70"/>
    </w:p>
    <w:p w:rsidR="008908D0" w:rsidRDefault="002D5E38">
      <w:pPr>
        <w:spacing w:after="0" w:line="276" w:lineRule="auto"/>
        <w:ind w:firstLine="397"/>
        <w:jc w:val="both"/>
        <w:rPr>
          <w:color w:val="auto"/>
          <w:cs w:val="0"/>
        </w:rPr>
      </w:pPr>
      <w:r>
        <w:rPr>
          <w:rFonts w:hint="cs"/>
          <w:cs w:val="0"/>
        </w:rPr>
        <w:t>اضطراب مرگ می‌تواند پیامدهای متعددی داشته باشد، نظیر:</w:t>
      </w:r>
    </w:p>
    <w:p w:rsidR="008908D0" w:rsidRDefault="002D5E38" w:rsidP="00962CE9">
      <w:pPr>
        <w:numPr>
          <w:ilvl w:val="0"/>
          <w:numId w:val="1"/>
        </w:numPr>
        <w:spacing w:after="0" w:line="240" w:lineRule="auto"/>
        <w:ind w:left="0" w:firstLine="397"/>
        <w:jc w:val="both"/>
        <w:rPr>
          <w:color w:val="auto"/>
          <w:cs w:val="0"/>
        </w:rPr>
      </w:pPr>
      <w:r>
        <w:rPr>
          <w:rFonts w:hint="cs"/>
          <w:cs w:val="0"/>
        </w:rPr>
        <w:t>افسردگی</w:t>
      </w:r>
    </w:p>
    <w:p w:rsidR="008908D0" w:rsidRDefault="002D5E38" w:rsidP="00962CE9">
      <w:pPr>
        <w:numPr>
          <w:ilvl w:val="0"/>
          <w:numId w:val="1"/>
        </w:numPr>
        <w:spacing w:after="0" w:line="240" w:lineRule="auto"/>
        <w:ind w:left="0" w:firstLine="397"/>
        <w:jc w:val="both"/>
        <w:rPr>
          <w:color w:val="auto"/>
          <w:cs w:val="0"/>
        </w:rPr>
      </w:pPr>
      <w:r>
        <w:rPr>
          <w:rFonts w:hint="cs"/>
          <w:cs w:val="0"/>
        </w:rPr>
        <w:t>اختلالات اضطرابی</w:t>
      </w:r>
    </w:p>
    <w:p w:rsidR="008908D0" w:rsidRDefault="002D5E38" w:rsidP="00962CE9">
      <w:pPr>
        <w:numPr>
          <w:ilvl w:val="0"/>
          <w:numId w:val="1"/>
        </w:numPr>
        <w:spacing w:after="0" w:line="240" w:lineRule="auto"/>
        <w:ind w:left="0" w:firstLine="397"/>
        <w:jc w:val="both"/>
        <w:rPr>
          <w:color w:val="auto"/>
          <w:cs w:val="0"/>
        </w:rPr>
      </w:pPr>
      <w:r>
        <w:rPr>
          <w:rFonts w:hint="cs"/>
          <w:cs w:val="0"/>
        </w:rPr>
        <w:t>وسواس فکری</w:t>
      </w:r>
    </w:p>
    <w:p w:rsidR="008908D0" w:rsidRDefault="002D5E38" w:rsidP="00962CE9">
      <w:pPr>
        <w:numPr>
          <w:ilvl w:val="0"/>
          <w:numId w:val="1"/>
        </w:numPr>
        <w:spacing w:after="0" w:line="240" w:lineRule="auto"/>
        <w:ind w:left="0" w:firstLine="397"/>
        <w:jc w:val="both"/>
        <w:rPr>
          <w:color w:val="auto"/>
          <w:cs w:val="0"/>
        </w:rPr>
      </w:pPr>
      <w:r>
        <w:rPr>
          <w:rFonts w:hint="cs"/>
          <w:cs w:val="0"/>
        </w:rPr>
        <w:t>اجتناب از موقعیت‌های مرتبط با مرگ (بیمارستان، مراسم تشییع)</w:t>
      </w:r>
    </w:p>
    <w:p w:rsidR="008908D0" w:rsidRDefault="002D5E38" w:rsidP="00962CE9">
      <w:pPr>
        <w:numPr>
          <w:ilvl w:val="0"/>
          <w:numId w:val="1"/>
        </w:numPr>
        <w:spacing w:after="0" w:line="240" w:lineRule="auto"/>
        <w:ind w:left="0" w:firstLine="397"/>
        <w:jc w:val="both"/>
        <w:rPr>
          <w:color w:val="auto"/>
          <w:cs w:val="0"/>
        </w:rPr>
      </w:pPr>
      <w:r>
        <w:rPr>
          <w:rFonts w:hint="cs"/>
          <w:cs w:val="0"/>
        </w:rPr>
        <w:t>کاهش کیفیت زندگی</w:t>
      </w:r>
    </w:p>
    <w:p w:rsidR="008908D0" w:rsidRDefault="002D5E38" w:rsidP="00962CE9">
      <w:pPr>
        <w:numPr>
          <w:ilvl w:val="0"/>
          <w:numId w:val="1"/>
        </w:numPr>
        <w:spacing w:after="0" w:line="240" w:lineRule="auto"/>
        <w:ind w:left="0" w:firstLine="397"/>
        <w:jc w:val="both"/>
        <w:rPr>
          <w:color w:val="auto"/>
          <w:cs w:val="0"/>
        </w:rPr>
      </w:pPr>
      <w:r>
        <w:rPr>
          <w:rFonts w:hint="cs"/>
          <w:cs w:val="0"/>
        </w:rPr>
        <w:t>کاهش سلامت روانی و جسمی</w:t>
      </w:r>
    </w:p>
    <w:p w:rsidR="008908D0" w:rsidRDefault="002D5E38">
      <w:pPr>
        <w:spacing w:after="0" w:line="276" w:lineRule="auto"/>
        <w:ind w:firstLine="397"/>
        <w:jc w:val="both"/>
        <w:rPr>
          <w:color w:val="auto"/>
          <w:cs w:val="0"/>
        </w:rPr>
      </w:pPr>
      <w:r>
        <w:rPr>
          <w:rFonts w:hint="cs"/>
          <w:cs w:val="0"/>
        </w:rPr>
        <w:t>در مقابل، کاهش اضطراب مرگ می‌تواند باعث افزایش آرامش روانی، رضایت از زندگی و امید به آینده شود.</w:t>
      </w:r>
    </w:p>
    <w:p w:rsidR="008908D0" w:rsidRDefault="002D5E38">
      <w:pPr>
        <w:spacing w:after="0" w:line="276" w:lineRule="auto"/>
        <w:ind w:firstLine="397"/>
        <w:jc w:val="both"/>
        <w:rPr>
          <w:cs w:val="0"/>
        </w:rPr>
      </w:pPr>
      <w:r>
        <w:rPr>
          <w:cs w:val="0"/>
        </w:rPr>
        <w:t>مرورها نشان می‌دهند که اضطراب مرگ می‌تواند سازه‌ای فراتشخیصی باشد و با افسردگی، اضطراب سلامت و اجتناب از مراقبت سلامت همراه شود؛ کاهش آن با بهبود کیفیت زندگی مرتبط است (ایوراچ</w:t>
      </w:r>
      <w:r>
        <w:rPr>
          <w:rStyle w:val="FootnoteReference"/>
        </w:rPr>
        <w:footnoteReference w:id="94"/>
      </w:r>
      <w:r>
        <w:rPr>
          <w:cs w:val="0"/>
        </w:rPr>
        <w:t xml:space="preserve"> و همکاران، ۲۰۱۴؛ منزیس</w:t>
      </w:r>
      <w:r>
        <w:rPr>
          <w:rStyle w:val="FootnoteReference"/>
        </w:rPr>
        <w:footnoteReference w:id="95"/>
      </w:r>
      <w:r>
        <w:rPr>
          <w:cs w:val="0"/>
        </w:rPr>
        <w:t xml:space="preserve"> و منزیس، ۲۰۲۰).</w:t>
      </w:r>
    </w:p>
    <w:p w:rsidR="008908D0" w:rsidRPr="00962CE9" w:rsidRDefault="002D5E38" w:rsidP="00962CE9">
      <w:pPr>
        <w:pStyle w:val="Heading2"/>
        <w:rPr>
          <w:cs w:val="0"/>
        </w:rPr>
      </w:pPr>
      <w:bookmarkStart w:id="71" w:name="_Toc239015134"/>
      <w:bookmarkStart w:id="72" w:name="_Toc239431993"/>
      <w:r w:rsidRPr="00962CE9">
        <w:rPr>
          <w:cs w:val="0"/>
        </w:rPr>
        <w:t>۲-۳- گستره سوم: هوش معنوی</w:t>
      </w:r>
      <w:bookmarkEnd w:id="71"/>
      <w:bookmarkEnd w:id="72"/>
    </w:p>
    <w:p w:rsidR="008908D0" w:rsidRDefault="00A3590B" w:rsidP="00A3590B">
      <w:pPr>
        <w:bidi w:val="0"/>
        <w:jc w:val="center"/>
        <w:rPr>
          <w:cs w:val="0"/>
        </w:rPr>
      </w:pPr>
      <w:r>
        <w:rPr>
          <w:b/>
          <w:bCs/>
          <w:noProof/>
          <w:cs w:val="0"/>
          <w:lang w:bidi="ar-SA"/>
        </w:rPr>
        <mc:AlternateContent>
          <mc:Choice Requires="wpg">
            <w:drawing>
              <wp:inline distT="0" distB="0" distL="0" distR="0">
                <wp:extent cx="5422938" cy="2459568"/>
                <wp:effectExtent l="0" t="0" r="25400" b="17145"/>
                <wp:docPr id="199" name="Group 199"/>
                <wp:cNvGraphicFramePr/>
                <a:graphic xmlns:a="http://schemas.openxmlformats.org/drawingml/2006/main">
                  <a:graphicData uri="http://schemas.microsoft.com/office/word/2010/wordprocessingGroup">
                    <wpg:wgp>
                      <wpg:cNvGrpSpPr/>
                      <wpg:grpSpPr>
                        <a:xfrm>
                          <a:off x="0" y="0"/>
                          <a:ext cx="5422938" cy="2459568"/>
                          <a:chOff x="0" y="0"/>
                          <a:chExt cx="5422938" cy="2459568"/>
                        </a:xfrm>
                      </wpg:grpSpPr>
                      <wps:wsp>
                        <wps:cNvPr id="201" name="Text Box 201"/>
                        <wps:cNvSpPr txBox="1"/>
                        <wps:spPr>
                          <a:xfrm>
                            <a:off x="1447800" y="0"/>
                            <a:ext cx="2560645" cy="420764"/>
                          </a:xfrm>
                          <a:prstGeom prst="roundRect">
                            <a:avLst>
                              <a:gd name="adj" fmla="val 16667"/>
                            </a:avLst>
                          </a:prstGeom>
                          <a:solidFill>
                            <a:srgbClr val="1F4E5F"/>
                          </a:solidFill>
                          <a:ln w="6350">
                            <a:solidFill>
                              <a:srgbClr val="8AA38A"/>
                            </a:solidFill>
                          </a:ln>
                        </wps:spPr>
                        <wps:txbx>
                          <w:txbxContent>
                            <w:p w:rsidR="00A3590B" w:rsidRPr="00962CE9" w:rsidRDefault="00A3590B" w:rsidP="00A3590B">
                              <w:pPr>
                                <w:spacing w:after="0" w:line="240" w:lineRule="auto"/>
                                <w:jc w:val="center"/>
                                <w:rPr>
                                  <w:rFonts w:cs="B Titr"/>
                                  <w:cs w:val="0"/>
                                </w:rPr>
                              </w:pPr>
                              <w:r w:rsidRPr="00962CE9">
                                <w:rPr>
                                  <w:rFonts w:cs="B Titr"/>
                                  <w:color w:val="FFFFFF"/>
                                  <w:sz w:val="22"/>
                                  <w:szCs w:val="22"/>
                                  <w:cs w:val="0"/>
                                </w:rPr>
                                <w:t>هوش معنوی</w:t>
                              </w:r>
                            </w:p>
                          </w:txbxContent>
                        </wps:txbx>
                        <wps:bodyPr lIns="36000" tIns="18000" rIns="36000" bIns="18000" anchor="ctr"/>
                      </wps:wsp>
                      <wps:wsp>
                        <wps:cNvPr id="202" name="Text Box 202"/>
                        <wps:cNvSpPr txBox="1"/>
                        <wps:spPr>
                          <a:xfrm>
                            <a:off x="3810000" y="581025"/>
                            <a:ext cx="1600403" cy="439058"/>
                          </a:xfrm>
                          <a:prstGeom prst="roundRect">
                            <a:avLst>
                              <a:gd name="adj" fmla="val 16667"/>
                            </a:avLst>
                          </a:prstGeom>
                          <a:solidFill>
                            <a:srgbClr val="3D5C4A"/>
                          </a:solidFill>
                          <a:ln w="6350">
                            <a:solidFill>
                              <a:srgbClr val="8AA38A"/>
                            </a:solidFill>
                          </a:ln>
                        </wps:spPr>
                        <wps:txbx>
                          <w:txbxContent>
                            <w:p w:rsidR="00A3590B" w:rsidRPr="00962CE9" w:rsidRDefault="00A3590B" w:rsidP="00A3590B">
                              <w:pPr>
                                <w:spacing w:after="0" w:line="240" w:lineRule="auto"/>
                                <w:jc w:val="center"/>
                                <w:rPr>
                                  <w:rFonts w:cs="B Titr"/>
                                  <w:cs w:val="0"/>
                                </w:rPr>
                              </w:pPr>
                              <w:r w:rsidRPr="00962CE9">
                                <w:rPr>
                                  <w:rFonts w:cs="B Titr"/>
                                  <w:color w:val="FFFFFF"/>
                                  <w:sz w:val="16"/>
                                  <w:szCs w:val="16"/>
                                  <w:cs w:val="0"/>
                                </w:rPr>
                                <w:t>مفهوم</w:t>
                              </w:r>
                            </w:p>
                          </w:txbxContent>
                        </wps:txbx>
                        <wps:bodyPr lIns="36000" tIns="18000" rIns="36000" bIns="18000" anchor="ctr"/>
                      </wps:wsp>
                      <wps:wsp>
                        <wps:cNvPr id="203" name="Text Box 203"/>
                        <wps:cNvSpPr txBox="1"/>
                        <wps:spPr>
                          <a:xfrm>
                            <a:off x="1924050" y="581025"/>
                            <a:ext cx="1600403" cy="439058"/>
                          </a:xfrm>
                          <a:prstGeom prst="roundRect">
                            <a:avLst>
                              <a:gd name="adj" fmla="val 16667"/>
                            </a:avLst>
                          </a:prstGeom>
                          <a:solidFill>
                            <a:srgbClr val="3D5C4A"/>
                          </a:solidFill>
                          <a:ln w="6350">
                            <a:solidFill>
                              <a:srgbClr val="8AA38A"/>
                            </a:solidFill>
                          </a:ln>
                        </wps:spPr>
                        <wps:txbx>
                          <w:txbxContent>
                            <w:p w:rsidR="00A3590B" w:rsidRPr="00962CE9" w:rsidRDefault="00A3590B" w:rsidP="00A3590B">
                              <w:pPr>
                                <w:spacing w:after="0" w:line="240" w:lineRule="auto"/>
                                <w:jc w:val="center"/>
                                <w:rPr>
                                  <w:rFonts w:cs="B Titr"/>
                                  <w:cs w:val="0"/>
                                </w:rPr>
                              </w:pPr>
                              <w:r w:rsidRPr="00962CE9">
                                <w:rPr>
                                  <w:rFonts w:cs="B Titr"/>
                                  <w:color w:val="FFFFFF"/>
                                  <w:sz w:val="14"/>
                                  <w:szCs w:val="14"/>
                                  <w:cs w:val="0"/>
                                </w:rPr>
                                <w:t>دیدگاه</w:t>
                              </w:r>
                            </w:p>
                            <w:p w:rsidR="00A3590B" w:rsidRPr="00962CE9" w:rsidRDefault="00A3590B" w:rsidP="00A3590B">
                              <w:pPr>
                                <w:spacing w:after="0" w:line="240" w:lineRule="auto"/>
                                <w:jc w:val="center"/>
                                <w:rPr>
                                  <w:rFonts w:cs="B Titr"/>
                                  <w:cs w:val="0"/>
                                </w:rPr>
                              </w:pPr>
                              <w:r w:rsidRPr="00962CE9">
                                <w:rPr>
                                  <w:rFonts w:cs="B Titr"/>
                                  <w:color w:val="FFFFFF"/>
                                  <w:sz w:val="14"/>
                                  <w:szCs w:val="14"/>
                                  <w:cs w:val="0"/>
                                </w:rPr>
                                <w:t>فضیلت‌گرایانه</w:t>
                              </w:r>
                            </w:p>
                          </w:txbxContent>
                        </wps:txbx>
                        <wps:bodyPr lIns="36000" tIns="18000" rIns="36000" bIns="18000" anchor="ctr"/>
                      </wps:wsp>
                      <wps:wsp>
                        <wps:cNvPr id="204" name="Text Box 204"/>
                        <wps:cNvSpPr txBox="1"/>
                        <wps:spPr>
                          <a:xfrm>
                            <a:off x="57150" y="581025"/>
                            <a:ext cx="1600403" cy="439058"/>
                          </a:xfrm>
                          <a:prstGeom prst="roundRect">
                            <a:avLst>
                              <a:gd name="adj" fmla="val 16667"/>
                            </a:avLst>
                          </a:prstGeom>
                          <a:solidFill>
                            <a:srgbClr val="3D5C4A"/>
                          </a:solidFill>
                          <a:ln w="6350">
                            <a:solidFill>
                              <a:srgbClr val="8AA38A"/>
                            </a:solidFill>
                          </a:ln>
                        </wps:spPr>
                        <wps:txbx>
                          <w:txbxContent>
                            <w:p w:rsidR="00A3590B" w:rsidRPr="00962CE9" w:rsidRDefault="00A3590B" w:rsidP="00A3590B">
                              <w:pPr>
                                <w:spacing w:after="0" w:line="240" w:lineRule="auto"/>
                                <w:jc w:val="center"/>
                                <w:rPr>
                                  <w:rFonts w:cs="B Titr"/>
                                  <w:cs w:val="0"/>
                                </w:rPr>
                              </w:pPr>
                              <w:r w:rsidRPr="00962CE9">
                                <w:rPr>
                                  <w:rFonts w:cs="B Titr"/>
                                  <w:color w:val="FFFFFF"/>
                                  <w:sz w:val="16"/>
                                  <w:szCs w:val="16"/>
                                  <w:cs w:val="0"/>
                                </w:rPr>
                                <w:t>عوامل مؤثر</w:t>
                              </w:r>
                            </w:p>
                          </w:txbxContent>
                        </wps:txbx>
                        <wps:bodyPr lIns="36000" tIns="18000" rIns="36000" bIns="18000" anchor="ctr"/>
                      </wps:wsp>
                      <wps:wsp>
                        <wps:cNvPr id="205" name="Text Box 205"/>
                        <wps:cNvSpPr txBox="1"/>
                        <wps:spPr>
                          <a:xfrm>
                            <a:off x="1314450" y="1200150"/>
                            <a:ext cx="2835000" cy="439058"/>
                          </a:xfrm>
                          <a:prstGeom prst="roundRect">
                            <a:avLst>
                              <a:gd name="adj" fmla="val 16667"/>
                            </a:avLst>
                          </a:prstGeom>
                          <a:solidFill>
                            <a:srgbClr val="3D5C4A"/>
                          </a:solidFill>
                          <a:ln w="19050">
                            <a:solidFill>
                              <a:srgbClr val="C4A35A"/>
                            </a:solidFill>
                          </a:ln>
                        </wps:spPr>
                        <wps:txbx>
                          <w:txbxContent>
                            <w:p w:rsidR="00A3590B" w:rsidRPr="00962CE9" w:rsidRDefault="00A3590B" w:rsidP="00A3590B">
                              <w:pPr>
                                <w:spacing w:after="0" w:line="240" w:lineRule="auto"/>
                                <w:jc w:val="center"/>
                                <w:rPr>
                                  <w:rFonts w:cs="B Titr"/>
                                  <w:cs w:val="0"/>
                                </w:rPr>
                              </w:pPr>
                              <w:r w:rsidRPr="00962CE9">
                                <w:rPr>
                                  <w:rFonts w:cs="B Titr"/>
                                  <w:color w:val="FFFFFF"/>
                                  <w:sz w:val="16"/>
                                  <w:szCs w:val="16"/>
                                  <w:cs w:val="0"/>
                                </w:rPr>
                                <w:t>مدل چهارعاملی کینگ</w:t>
                              </w:r>
                            </w:p>
                          </w:txbxContent>
                        </wps:txbx>
                        <wps:bodyPr lIns="36000" tIns="18000" rIns="36000" bIns="18000" anchor="ctr"/>
                      </wps:wsp>
                      <wps:wsp>
                        <wps:cNvPr id="206" name="Text Box 206"/>
                        <wps:cNvSpPr txBox="1"/>
                        <wps:spPr>
                          <a:xfrm>
                            <a:off x="4124325" y="1819275"/>
                            <a:ext cx="1298613" cy="640293"/>
                          </a:xfrm>
                          <a:prstGeom prst="roundRect">
                            <a:avLst>
                              <a:gd name="adj" fmla="val 16667"/>
                            </a:avLst>
                          </a:prstGeom>
                          <a:solidFill>
                            <a:srgbClr val="F7F4EC"/>
                          </a:solidFill>
                          <a:ln w="19050">
                            <a:solidFill>
                              <a:srgbClr val="C4A35A"/>
                            </a:solidFill>
                          </a:ln>
                        </wps:spPr>
                        <wps:txbx>
                          <w:txbxContent>
                            <w:p w:rsidR="00A3590B" w:rsidRPr="00962CE9" w:rsidRDefault="00A3590B" w:rsidP="00A3590B">
                              <w:pPr>
                                <w:spacing w:after="0" w:line="240" w:lineRule="auto"/>
                                <w:jc w:val="center"/>
                                <w:rPr>
                                  <w:rFonts w:cs="B Titr"/>
                                  <w:cs w:val="0"/>
                                </w:rPr>
                              </w:pPr>
                              <w:r w:rsidRPr="00962CE9">
                                <w:rPr>
                                  <w:rFonts w:cs="B Titr"/>
                                  <w:color w:val="1F4E5F"/>
                                  <w:sz w:val="13"/>
                                  <w:szCs w:val="13"/>
                                  <w:cs w:val="0"/>
                                </w:rPr>
                                <w:t>تفکر وجودی</w:t>
                              </w:r>
                            </w:p>
                            <w:p w:rsidR="00A3590B" w:rsidRPr="00962CE9" w:rsidRDefault="00A3590B" w:rsidP="00A3590B">
                              <w:pPr>
                                <w:spacing w:after="0" w:line="240" w:lineRule="auto"/>
                                <w:jc w:val="center"/>
                                <w:rPr>
                                  <w:rFonts w:cs="B Titr"/>
                                  <w:cs w:val="0"/>
                                </w:rPr>
                              </w:pPr>
                              <w:r w:rsidRPr="00962CE9">
                                <w:rPr>
                                  <w:rFonts w:cs="B Titr"/>
                                  <w:color w:val="1F4E5F"/>
                                  <w:sz w:val="13"/>
                                  <w:szCs w:val="13"/>
                                  <w:cs w:val="0"/>
                                </w:rPr>
                                <w:t>انتقادی</w:t>
                              </w:r>
                            </w:p>
                          </w:txbxContent>
                        </wps:txbx>
                        <wps:bodyPr lIns="36000" tIns="18000" rIns="36000" bIns="18000" anchor="ctr"/>
                      </wps:wsp>
                      <wps:wsp>
                        <wps:cNvPr id="207" name="Text Box 207"/>
                        <wps:cNvSpPr txBox="1"/>
                        <wps:spPr>
                          <a:xfrm>
                            <a:off x="2752725" y="1819275"/>
                            <a:ext cx="1298613" cy="640293"/>
                          </a:xfrm>
                          <a:prstGeom prst="roundRect">
                            <a:avLst>
                              <a:gd name="adj" fmla="val 16667"/>
                            </a:avLst>
                          </a:prstGeom>
                          <a:solidFill>
                            <a:srgbClr val="F7F4EC"/>
                          </a:solidFill>
                          <a:ln w="19050">
                            <a:solidFill>
                              <a:srgbClr val="C4A35A"/>
                            </a:solidFill>
                          </a:ln>
                        </wps:spPr>
                        <wps:txbx>
                          <w:txbxContent>
                            <w:p w:rsidR="00A3590B" w:rsidRPr="00962CE9" w:rsidRDefault="00A3590B" w:rsidP="00A3590B">
                              <w:pPr>
                                <w:spacing w:after="0" w:line="240" w:lineRule="auto"/>
                                <w:jc w:val="center"/>
                                <w:rPr>
                                  <w:rFonts w:cs="B Titr"/>
                                  <w:cs w:val="0"/>
                                </w:rPr>
                              </w:pPr>
                              <w:r w:rsidRPr="00962CE9">
                                <w:rPr>
                                  <w:rFonts w:cs="B Titr"/>
                                  <w:color w:val="1F4E5F"/>
                                  <w:sz w:val="13"/>
                                  <w:szCs w:val="13"/>
                                  <w:cs w:val="0"/>
                                </w:rPr>
                                <w:t>تولید معنای</w:t>
                              </w:r>
                            </w:p>
                            <w:p w:rsidR="00A3590B" w:rsidRPr="00962CE9" w:rsidRDefault="00A3590B" w:rsidP="00A3590B">
                              <w:pPr>
                                <w:spacing w:after="0" w:line="240" w:lineRule="auto"/>
                                <w:jc w:val="center"/>
                                <w:rPr>
                                  <w:rFonts w:cs="B Titr"/>
                                  <w:cs w:val="0"/>
                                </w:rPr>
                              </w:pPr>
                              <w:r w:rsidRPr="00962CE9">
                                <w:rPr>
                                  <w:rFonts w:cs="B Titr"/>
                                  <w:color w:val="1F4E5F"/>
                                  <w:sz w:val="13"/>
                                  <w:szCs w:val="13"/>
                                  <w:cs w:val="0"/>
                                </w:rPr>
                                <w:t>شخصی</w:t>
                              </w:r>
                            </w:p>
                          </w:txbxContent>
                        </wps:txbx>
                        <wps:bodyPr lIns="36000" tIns="18000" rIns="36000" bIns="18000" anchor="ctr"/>
                      </wps:wsp>
                      <wps:wsp>
                        <wps:cNvPr id="208" name="Text Box 208"/>
                        <wps:cNvSpPr txBox="1"/>
                        <wps:spPr>
                          <a:xfrm>
                            <a:off x="1381125" y="1819275"/>
                            <a:ext cx="1298613" cy="640293"/>
                          </a:xfrm>
                          <a:prstGeom prst="roundRect">
                            <a:avLst>
                              <a:gd name="adj" fmla="val 16667"/>
                            </a:avLst>
                          </a:prstGeom>
                          <a:solidFill>
                            <a:srgbClr val="F7F4EC"/>
                          </a:solidFill>
                          <a:ln w="19050">
                            <a:solidFill>
                              <a:srgbClr val="C4A35A"/>
                            </a:solidFill>
                          </a:ln>
                        </wps:spPr>
                        <wps:txbx>
                          <w:txbxContent>
                            <w:p w:rsidR="00A3590B" w:rsidRPr="00962CE9" w:rsidRDefault="00A3590B" w:rsidP="00A3590B">
                              <w:pPr>
                                <w:spacing w:after="0" w:line="240" w:lineRule="auto"/>
                                <w:jc w:val="center"/>
                                <w:rPr>
                                  <w:rFonts w:cs="B Titr"/>
                                  <w:cs w:val="0"/>
                                </w:rPr>
                              </w:pPr>
                              <w:r w:rsidRPr="00962CE9">
                                <w:rPr>
                                  <w:rFonts w:cs="B Titr"/>
                                  <w:color w:val="1F4E5F"/>
                                  <w:sz w:val="13"/>
                                  <w:szCs w:val="13"/>
                                  <w:cs w:val="0"/>
                                </w:rPr>
                                <w:t>آگاهی</w:t>
                              </w:r>
                            </w:p>
                            <w:p w:rsidR="00A3590B" w:rsidRPr="00962CE9" w:rsidRDefault="00A3590B" w:rsidP="00A3590B">
                              <w:pPr>
                                <w:spacing w:after="0" w:line="240" w:lineRule="auto"/>
                                <w:jc w:val="center"/>
                                <w:rPr>
                                  <w:rFonts w:cs="B Titr"/>
                                  <w:cs w:val="0"/>
                                </w:rPr>
                              </w:pPr>
                              <w:r w:rsidRPr="00962CE9">
                                <w:rPr>
                                  <w:rFonts w:cs="B Titr"/>
                                  <w:color w:val="1F4E5F"/>
                                  <w:sz w:val="13"/>
                                  <w:szCs w:val="13"/>
                                  <w:cs w:val="0"/>
                                </w:rPr>
                                <w:t>متعالی</w:t>
                              </w:r>
                            </w:p>
                          </w:txbxContent>
                        </wps:txbx>
                        <wps:bodyPr lIns="36000" tIns="18000" rIns="36000" bIns="18000" anchor="ctr"/>
                      </wps:wsp>
                      <wps:wsp>
                        <wps:cNvPr id="209" name="Text Box 209"/>
                        <wps:cNvSpPr txBox="1"/>
                        <wps:spPr>
                          <a:xfrm>
                            <a:off x="0" y="1819275"/>
                            <a:ext cx="1298613" cy="640293"/>
                          </a:xfrm>
                          <a:prstGeom prst="roundRect">
                            <a:avLst>
                              <a:gd name="adj" fmla="val 16667"/>
                            </a:avLst>
                          </a:prstGeom>
                          <a:solidFill>
                            <a:srgbClr val="F7F4EC"/>
                          </a:solidFill>
                          <a:ln w="19050">
                            <a:solidFill>
                              <a:srgbClr val="C4A35A"/>
                            </a:solidFill>
                          </a:ln>
                        </wps:spPr>
                        <wps:txbx>
                          <w:txbxContent>
                            <w:p w:rsidR="00A3590B" w:rsidRPr="00962CE9" w:rsidRDefault="00A3590B" w:rsidP="00A3590B">
                              <w:pPr>
                                <w:spacing w:after="0" w:line="240" w:lineRule="auto"/>
                                <w:jc w:val="center"/>
                                <w:rPr>
                                  <w:rFonts w:cs="B Titr"/>
                                  <w:cs w:val="0"/>
                                </w:rPr>
                              </w:pPr>
                              <w:r w:rsidRPr="00962CE9">
                                <w:rPr>
                                  <w:rFonts w:cs="B Titr"/>
                                  <w:color w:val="1F4E5F"/>
                                  <w:sz w:val="13"/>
                                  <w:szCs w:val="13"/>
                                  <w:cs w:val="0"/>
                                </w:rPr>
                                <w:t>گسترش هشیارانه</w:t>
                              </w:r>
                            </w:p>
                            <w:p w:rsidR="00A3590B" w:rsidRPr="00962CE9" w:rsidRDefault="00A3590B" w:rsidP="00A3590B">
                              <w:pPr>
                                <w:spacing w:after="0" w:line="240" w:lineRule="auto"/>
                                <w:jc w:val="center"/>
                                <w:rPr>
                                  <w:rFonts w:cs="B Titr"/>
                                  <w:cs w:val="0"/>
                                </w:rPr>
                              </w:pPr>
                              <w:r w:rsidRPr="00962CE9">
                                <w:rPr>
                                  <w:rFonts w:cs="B Titr"/>
                                  <w:color w:val="1F4E5F"/>
                                  <w:sz w:val="13"/>
                                  <w:szCs w:val="13"/>
                                  <w:cs w:val="0"/>
                                </w:rPr>
                                <w:t>حالت آگاهی</w:t>
                              </w:r>
                            </w:p>
                          </w:txbxContent>
                        </wps:txbx>
                        <wps:bodyPr lIns="36000" tIns="18000" rIns="36000" bIns="18000" anchor="ctr"/>
                      </wps:wsp>
                    </wpg:wgp>
                  </a:graphicData>
                </a:graphic>
              </wp:inline>
            </w:drawing>
          </mc:Choice>
          <mc:Fallback>
            <w:pict>
              <v:group id="Group 199" o:spid="_x0000_s1052" style="width:427pt;height:193.65pt;mso-position-horizontal-relative:char;mso-position-vertical-relative:line" coordsize="54229,24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">
                <v:roundrect id="Text Box 201" o:spid="_x0000_s1053" style="position:absolute;left:14478;width:25606;height:420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mmk/cUA&#10;AADcAAAADwAAAGRycy9kb3ducmV2LnhtbESP3WoCMRSE7wt9h3AKvavJCpW6GqUIhf4I1dUHOGyO&#10;m6Wbk3UT3a1Pb4RCL4eZ+YaZLwfXiDN1ofasIRspEMSlNzVXGva7t6cXECEiG2w8k4ZfCrBc3N/N&#10;MTe+5y2di1iJBOGQowYbY5tLGUpLDsPIt8TJO/jOYUyyq6TpsE9w18ixUhPpsOa0YLGllaXypzg5&#10;DcfMK+svp+L5Y/31aWW1WU+/e60fH4bXGYhIQ/wP/7XfjYaxyuB2Jh0Bubg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CaaT9xQAAANwAAAAPAAAAAAAAAAAAAAAAAJgCAABkcnMv&#10;ZG93bnJldi54bWxQSwUGAAAAAAQABAD1AAAAigMAAAAA&#10;" fillcolor="#1f4e5f" strokecolor="#8aa38a" strokeweight=".5pt">
                  <v:textbox inset="1mm,.5mm,1mm,.5mm">
                    <w:txbxContent>
                      <w:p w:rsidR="00A3590B" w:rsidRPr="00962CE9" w:rsidRDefault="00A3590B" w:rsidP="00A3590B">
                        <w:pPr>
                          <w:spacing w:after="0" w:line="240" w:lineRule="auto"/>
                          <w:jc w:val="center"/>
                          <w:rPr>
                            <w:rFonts w:cs="B Titr"/>
                            <w:cs w:val="0"/>
                          </w:rPr>
                        </w:pPr>
                        <w:r w:rsidRPr="00962CE9">
                          <w:rPr>
                            <w:rFonts w:cs="B Titr"/>
                            <w:color w:val="FFFFFF"/>
                            <w:sz w:val="22"/>
                            <w:szCs w:val="22"/>
                            <w:cs w:val="0"/>
                          </w:rPr>
                          <w:t>هوش معنوی</w:t>
                        </w:r>
                      </w:p>
                    </w:txbxContent>
                  </v:textbox>
                </v:roundrect>
                <v:roundrect id="Text Box 202" o:spid="_x0000_s1054" style="position:absolute;left:38100;top:5810;width:16004;height:439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gJX8QA&#10;AADcAAAADwAAAGRycy9kb3ducmV2LnhtbESPQYvCMBSE7wv+h/CEva2pRRapRhHBZZFFsXrw+Gye&#10;bbF5KU2s1V+/EQSPw8x8w0znnalES40rLSsYDiIQxJnVJecKDvvV1xiE88gaK8uk4E4O5rPexxQT&#10;bW+8ozb1uQgQdgkqKLyvEyldVpBBN7A1cfDOtjHog2xyqRu8BbipZBxF39JgyWGhwJqWBWWX9GoU&#10;YOX2P5vTw1zvf5d2t12P+Nwdlfrsd4sJCE+df4df7V+tII5ieJ4JR0DO/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ICV/EAAAA3AAAAA8AAAAAAAAAAAAAAAAAmAIAAGRycy9k&#10;b3ducmV2LnhtbFBLBQYAAAAABAAEAPUAAACJAwAAAAA=&#10;" fillcolor="#3d5c4a" strokecolor="#8aa38a" strokeweight=".5pt">
                  <v:textbox inset="1mm,.5mm,1mm,.5mm">
                    <w:txbxContent>
                      <w:p w:rsidR="00A3590B" w:rsidRPr="00962CE9" w:rsidRDefault="00A3590B" w:rsidP="00A3590B">
                        <w:pPr>
                          <w:spacing w:after="0" w:line="240" w:lineRule="auto"/>
                          <w:jc w:val="center"/>
                          <w:rPr>
                            <w:rFonts w:cs="B Titr"/>
                            <w:cs w:val="0"/>
                          </w:rPr>
                        </w:pPr>
                        <w:r w:rsidRPr="00962CE9">
                          <w:rPr>
                            <w:rFonts w:cs="B Titr"/>
                            <w:color w:val="FFFFFF"/>
                            <w:sz w:val="16"/>
                            <w:szCs w:val="16"/>
                            <w:cs w:val="0"/>
                          </w:rPr>
                          <w:t>مفهوم</w:t>
                        </w:r>
                      </w:p>
                    </w:txbxContent>
                  </v:textbox>
                </v:roundrect>
                <v:roundrect id="Text Box 203" o:spid="_x0000_s1055" style="position:absolute;left:19240;top:5810;width:16004;height:439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SsxMYA&#10;AADcAAAADwAAAGRycy9kb3ducmV2LnhtbESPQWvCQBSE74X+h+UVvDWbqhSJrlIKLUXEkqSHHp/Z&#10;ZxLMvg3ZNSb+erdQ8DjMzDfMajOYRvTUudqygpcoBkFcWF1zqeAn/3hegHAeWWNjmRSM5GCzfnxY&#10;YaLthVPqM1+KAGGXoILK+zaR0hUVGXSRbYmDd7SdQR9kV0rd4SXATSOncfwqDdYcFips6b2i4pSd&#10;jQJsXP65P1zNedyd+vR7O+fj8KvU5Gl4W4LwNPh7+L/9pRVM4xn8nQlHQK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ISsxMYAAADcAAAADwAAAAAAAAAAAAAAAACYAgAAZHJz&#10;L2Rvd25yZXYueG1sUEsFBgAAAAAEAAQA9QAAAIsDAAAAAA==&#10;" fillcolor="#3d5c4a" strokecolor="#8aa38a" strokeweight=".5pt">
                  <v:textbox inset="1mm,.5mm,1mm,.5mm">
                    <w:txbxContent>
                      <w:p w:rsidR="00A3590B" w:rsidRPr="00962CE9" w:rsidRDefault="00A3590B" w:rsidP="00A3590B">
                        <w:pPr>
                          <w:spacing w:after="0" w:line="240" w:lineRule="auto"/>
                          <w:jc w:val="center"/>
                          <w:rPr>
                            <w:rFonts w:cs="B Titr"/>
                            <w:cs w:val="0"/>
                          </w:rPr>
                        </w:pPr>
                        <w:r w:rsidRPr="00962CE9">
                          <w:rPr>
                            <w:rFonts w:cs="B Titr"/>
                            <w:color w:val="FFFFFF"/>
                            <w:sz w:val="14"/>
                            <w:szCs w:val="14"/>
                            <w:cs w:val="0"/>
                          </w:rPr>
                          <w:t>دیدگاه</w:t>
                        </w:r>
                      </w:p>
                      <w:p w:rsidR="00A3590B" w:rsidRPr="00962CE9" w:rsidRDefault="00A3590B" w:rsidP="00A3590B">
                        <w:pPr>
                          <w:spacing w:after="0" w:line="240" w:lineRule="auto"/>
                          <w:jc w:val="center"/>
                          <w:rPr>
                            <w:rFonts w:cs="B Titr"/>
                            <w:cs w:val="0"/>
                          </w:rPr>
                        </w:pPr>
                        <w:r w:rsidRPr="00962CE9">
                          <w:rPr>
                            <w:rFonts w:cs="B Titr"/>
                            <w:color w:val="FFFFFF"/>
                            <w:sz w:val="14"/>
                            <w:szCs w:val="14"/>
                            <w:cs w:val="0"/>
                          </w:rPr>
                          <w:t>فضیلت‌گرایانه</w:t>
                        </w:r>
                      </w:p>
                    </w:txbxContent>
                  </v:textbox>
                </v:roundrect>
                <v:roundrect id="Text Box 204" o:spid="_x0000_s1056" style="position:absolute;left:571;top:5810;width:16004;height:4390;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200sMMA&#10;AADcAAAADwAAAGRycy9kb3ducmV2LnhtbESPzarCMBSE9xd8h3AEd9dUEblUo4igiIjiz8LlsTm2&#10;xeakNLFWn94IF1wOM/MNM542phA1VS63rKDXjUAQJ1bnnCo4HRe/fyCcR9ZYWCYFT3IwnbR+xhhr&#10;++A91QefigBhF6OCzPsyltIlGRl0XVsSB+9qK4M+yCqVusJHgJtC9qNoKA3mHBYyLGmeUXI73I0C&#10;LNxxub28zP25udX73XrA1+asVKfdzEYgPDX+G/5vr7SCfjSAz5lwBOTk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200sMMAAADcAAAADwAAAAAAAAAAAAAAAACYAgAAZHJzL2Rv&#10;d25yZXYueG1sUEsFBgAAAAAEAAQA9QAAAIgDAAAAAA==&#10;" fillcolor="#3d5c4a" strokecolor="#8aa38a" strokeweight=".5pt">
                  <v:textbox inset="1mm,.5mm,1mm,.5mm">
                    <w:txbxContent>
                      <w:p w:rsidR="00A3590B" w:rsidRPr="00962CE9" w:rsidRDefault="00A3590B" w:rsidP="00A3590B">
                        <w:pPr>
                          <w:spacing w:after="0" w:line="240" w:lineRule="auto"/>
                          <w:jc w:val="center"/>
                          <w:rPr>
                            <w:rFonts w:cs="B Titr"/>
                            <w:cs w:val="0"/>
                          </w:rPr>
                        </w:pPr>
                        <w:r w:rsidRPr="00962CE9">
                          <w:rPr>
                            <w:rFonts w:cs="B Titr"/>
                            <w:color w:val="FFFFFF"/>
                            <w:sz w:val="16"/>
                            <w:szCs w:val="16"/>
                            <w:cs w:val="0"/>
                          </w:rPr>
                          <w:t>عوامل مؤثر</w:t>
                        </w:r>
                      </w:p>
                    </w:txbxContent>
                  </v:textbox>
                </v:roundrect>
                <v:roundrect id="Text Box 205" o:spid="_x0000_s1057" style="position:absolute;left:13144;top:12001;width:28350;height:4391;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gV9cYA&#10;AADcAAAADwAAAGRycy9kb3ducmV2LnhtbESPzWsCMRTE70L/h/AK3jSp4AerUbalguDF+nHw9ty8&#10;7i7dvKybqOt/bwqCx2FmfsPMFq2txJUaXzrW8NFXIIgzZ0rONex3y94EhA/IBivHpOFOHhbzt84M&#10;E+Nu/EPXbchFhLBPUEMRQp1I6bOCLPq+q4mj9+saiyHKJpemwVuE20oOlBpJiyXHhQJr+ioo+9te&#10;rIblUW7SgzqfT/YyWR/UZ/o9HG+07r636RREoDa8ws/2ymgYqCH8n4lH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dgV9cYAAADcAAAADwAAAAAAAAAAAAAAAACYAgAAZHJz&#10;L2Rvd25yZXYueG1sUEsFBgAAAAAEAAQA9QAAAIsDAAAAAA==&#10;" fillcolor="#3d5c4a" strokecolor="#c4a35a" strokeweight="1.5pt">
                  <v:textbox inset="1mm,.5mm,1mm,.5mm">
                    <w:txbxContent>
                      <w:p w:rsidR="00A3590B" w:rsidRPr="00962CE9" w:rsidRDefault="00A3590B" w:rsidP="00A3590B">
                        <w:pPr>
                          <w:spacing w:after="0" w:line="240" w:lineRule="auto"/>
                          <w:jc w:val="center"/>
                          <w:rPr>
                            <w:rFonts w:cs="B Titr"/>
                            <w:cs w:val="0"/>
                          </w:rPr>
                        </w:pPr>
                        <w:r w:rsidRPr="00962CE9">
                          <w:rPr>
                            <w:rFonts w:cs="B Titr"/>
                            <w:color w:val="FFFFFF"/>
                            <w:sz w:val="16"/>
                            <w:szCs w:val="16"/>
                            <w:cs w:val="0"/>
                          </w:rPr>
                          <w:t>مدل چهارعاملی کینگ</w:t>
                        </w:r>
                      </w:p>
                    </w:txbxContent>
                  </v:textbox>
                </v:roundrect>
                <v:roundrect id="Text Box 206" o:spid="_x0000_s1058" style="position:absolute;left:41243;top:18192;width:12986;height:640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NkwIscA&#10;AADcAAAADwAAAGRycy9kb3ducmV2LnhtbESPQWvCQBSE7wX/w/KEXkrdVaLW6CpVEAoFoSqlx0f2&#10;mcRm34bs1qT+elco9DjMzDfMYtXZSlyo8aVjDcOBAkGcOVNyruF42D6/gPAB2WDlmDT8kofVsvew&#10;wNS4lj/osg+5iBD2KWooQqhTKX1WkEU/cDVx9E6usRiibHJpGmwj3FZypNREWiw5LhRY06ag7Hv/&#10;YzUka54ZXD8Nr1/jT7UbJ9Pz8fqu9WO/e52DCNSF//Bf+81oGKkJ3M/EIyCXN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ZMCLHAAAA3AAAAA8AAAAAAAAAAAAAAAAAmAIAAGRy&#10;cy9kb3ducmV2LnhtbFBLBQYAAAAABAAEAPUAAACMAwAAAAA=&#10;" fillcolor="#f7f4ec" strokecolor="#c4a35a" strokeweight="1.5pt">
                  <v:textbox inset="1mm,.5mm,1mm,.5mm">
                    <w:txbxContent>
                      <w:p w:rsidR="00A3590B" w:rsidRPr="00962CE9" w:rsidRDefault="00A3590B" w:rsidP="00A3590B">
                        <w:pPr>
                          <w:spacing w:after="0" w:line="240" w:lineRule="auto"/>
                          <w:jc w:val="center"/>
                          <w:rPr>
                            <w:rFonts w:cs="B Titr"/>
                            <w:cs w:val="0"/>
                          </w:rPr>
                        </w:pPr>
                        <w:r w:rsidRPr="00962CE9">
                          <w:rPr>
                            <w:rFonts w:cs="B Titr"/>
                            <w:color w:val="1F4E5F"/>
                            <w:sz w:val="13"/>
                            <w:szCs w:val="13"/>
                            <w:cs w:val="0"/>
                          </w:rPr>
                          <w:t>تفکر وجودی</w:t>
                        </w:r>
                      </w:p>
                      <w:p w:rsidR="00A3590B" w:rsidRPr="00962CE9" w:rsidRDefault="00A3590B" w:rsidP="00A3590B">
                        <w:pPr>
                          <w:spacing w:after="0" w:line="240" w:lineRule="auto"/>
                          <w:jc w:val="center"/>
                          <w:rPr>
                            <w:rFonts w:cs="B Titr"/>
                            <w:cs w:val="0"/>
                          </w:rPr>
                        </w:pPr>
                        <w:r w:rsidRPr="00962CE9">
                          <w:rPr>
                            <w:rFonts w:cs="B Titr"/>
                            <w:color w:val="1F4E5F"/>
                            <w:sz w:val="13"/>
                            <w:szCs w:val="13"/>
                            <w:cs w:val="0"/>
                          </w:rPr>
                          <w:t>انتقادی</w:t>
                        </w:r>
                      </w:p>
                    </w:txbxContent>
                  </v:textbox>
                </v:roundrect>
                <v:roundrect id="Text Box 207" o:spid="_x0000_s1059" style="position:absolute;left:27527;top:18192;width:12986;height:640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WVucYA&#10;AADcAAAADwAAAGRycy9kb3ducmV2LnhtbESP3WoCMRSE7wu+QzhCb6Qmij91NUoVCkJB0Erx8rA5&#10;7q5uTpZN1K1PbwpCL4eZ+YaZLRpbiivVvnCsoddVIIhTZwrONOy/P9/eQfiAbLB0TBp+ycNi3nqZ&#10;YWLcjbd03YVMRAj7BDXkIVSJlD7NyaLvuoo4ekdXWwxR1pk0Nd4i3Jayr9RIWiw4LuRY0Sqn9Ly7&#10;WA2DJU8MLju9+2H4ozbDwfi0v39p/dpuPqYgAjXhP/xsr42GvhrD35l4BOT8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5WVucYAAADcAAAADwAAAAAAAAAAAAAAAACYAgAAZHJz&#10;L2Rvd25yZXYueG1sUEsFBgAAAAAEAAQA9QAAAIsDAAAAAA==&#10;" fillcolor="#f7f4ec" strokecolor="#c4a35a" strokeweight="1.5pt">
                  <v:textbox inset="1mm,.5mm,1mm,.5mm">
                    <w:txbxContent>
                      <w:p w:rsidR="00A3590B" w:rsidRPr="00962CE9" w:rsidRDefault="00A3590B" w:rsidP="00A3590B">
                        <w:pPr>
                          <w:spacing w:after="0" w:line="240" w:lineRule="auto"/>
                          <w:jc w:val="center"/>
                          <w:rPr>
                            <w:rFonts w:cs="B Titr"/>
                            <w:cs w:val="0"/>
                          </w:rPr>
                        </w:pPr>
                        <w:r w:rsidRPr="00962CE9">
                          <w:rPr>
                            <w:rFonts w:cs="B Titr"/>
                            <w:color w:val="1F4E5F"/>
                            <w:sz w:val="13"/>
                            <w:szCs w:val="13"/>
                            <w:cs w:val="0"/>
                          </w:rPr>
                          <w:t>تولید معنای</w:t>
                        </w:r>
                      </w:p>
                      <w:p w:rsidR="00A3590B" w:rsidRPr="00962CE9" w:rsidRDefault="00A3590B" w:rsidP="00A3590B">
                        <w:pPr>
                          <w:spacing w:after="0" w:line="240" w:lineRule="auto"/>
                          <w:jc w:val="center"/>
                          <w:rPr>
                            <w:rFonts w:cs="B Titr"/>
                            <w:cs w:val="0"/>
                          </w:rPr>
                        </w:pPr>
                        <w:r w:rsidRPr="00962CE9">
                          <w:rPr>
                            <w:rFonts w:cs="B Titr"/>
                            <w:color w:val="1F4E5F"/>
                            <w:sz w:val="13"/>
                            <w:szCs w:val="13"/>
                            <w:cs w:val="0"/>
                          </w:rPr>
                          <w:t>شخصی</w:t>
                        </w:r>
                      </w:p>
                    </w:txbxContent>
                  </v:textbox>
                </v:roundrect>
                <v:roundrect id="Text Box 208" o:spid="_x0000_s1060" style="position:absolute;left:13811;top:18192;width:12986;height:640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oBy8QA&#10;AADcAAAADwAAAGRycy9kb3ducmV2LnhtbERPXWvCMBR9H+w/hDvYi2ii6HRdo0xBGAjCqoiPl+au&#10;7dbclCarnb/ePAh7PJzvdNXbWnTU+sqxhvFIgSDOnam40HA8bIcLED4gG6wdk4Y/8rBaPj6kmBh3&#10;4U/qslCIGMI+QQ1lCE0ipc9LsuhHriGO3JdrLYYI20KaFi8x3NZyotSLtFhxbCixoU1J+U/2azVM&#10;1/xqcD0YX8+zk9rPpvPv43Wn9fNT//4GIlAf/sV394fRMFFxbTwTj4Bc3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4KAcvEAAAA3AAAAA8AAAAAAAAAAAAAAAAAmAIAAGRycy9k&#10;b3ducmV2LnhtbFBLBQYAAAAABAAEAPUAAACJAwAAAAA=&#10;" fillcolor="#f7f4ec" strokecolor="#c4a35a" strokeweight="1.5pt">
                  <v:textbox inset="1mm,.5mm,1mm,.5mm">
                    <w:txbxContent>
                      <w:p w:rsidR="00A3590B" w:rsidRPr="00962CE9" w:rsidRDefault="00A3590B" w:rsidP="00A3590B">
                        <w:pPr>
                          <w:spacing w:after="0" w:line="240" w:lineRule="auto"/>
                          <w:jc w:val="center"/>
                          <w:rPr>
                            <w:rFonts w:cs="B Titr"/>
                            <w:cs w:val="0"/>
                          </w:rPr>
                        </w:pPr>
                        <w:r w:rsidRPr="00962CE9">
                          <w:rPr>
                            <w:rFonts w:cs="B Titr"/>
                            <w:color w:val="1F4E5F"/>
                            <w:sz w:val="13"/>
                            <w:szCs w:val="13"/>
                            <w:cs w:val="0"/>
                          </w:rPr>
                          <w:t>آگاهی</w:t>
                        </w:r>
                      </w:p>
                      <w:p w:rsidR="00A3590B" w:rsidRPr="00962CE9" w:rsidRDefault="00A3590B" w:rsidP="00A3590B">
                        <w:pPr>
                          <w:spacing w:after="0" w:line="240" w:lineRule="auto"/>
                          <w:jc w:val="center"/>
                          <w:rPr>
                            <w:rFonts w:cs="B Titr"/>
                            <w:cs w:val="0"/>
                          </w:rPr>
                        </w:pPr>
                        <w:r w:rsidRPr="00962CE9">
                          <w:rPr>
                            <w:rFonts w:cs="B Titr"/>
                            <w:color w:val="1F4E5F"/>
                            <w:sz w:val="13"/>
                            <w:szCs w:val="13"/>
                            <w:cs w:val="0"/>
                          </w:rPr>
                          <w:t>متعالی</w:t>
                        </w:r>
                      </w:p>
                    </w:txbxContent>
                  </v:textbox>
                </v:roundrect>
                <v:roundrect id="Text Box 209" o:spid="_x0000_s1061" style="position:absolute;top:18192;width:12986;height:6403;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akUMYA&#10;AADcAAAADwAAAGRycy9kb3ducmV2LnhtbESPQWsCMRSE74X+h/AKXkQTRauuRtGCIBSEqojHx+a5&#10;u+3mZdmkuvrrTUHocZiZb5jZorGluFDtC8cael0Fgjh1puBMw2G/7oxB+IBssHRMGm7kYTF/fZlh&#10;YtyVv+iyC5mIEPYJashDqBIpfZqTRd91FXH0zq62GKKsM2lqvEa4LWVfqXdpseC4kGNFHzmlP7tf&#10;q2Gw4onBVbt3Pw2PajscjL4P90+tW2/NcgoiUBP+w8/2xmjoqwn8nYlHQM4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UakUMYAAADcAAAADwAAAAAAAAAAAAAAAACYAgAAZHJz&#10;L2Rvd25yZXYueG1sUEsFBgAAAAAEAAQA9QAAAIsDAAAAAA==&#10;" fillcolor="#f7f4ec" strokecolor="#c4a35a" strokeweight="1.5pt">
                  <v:textbox inset="1mm,.5mm,1mm,.5mm">
                    <w:txbxContent>
                      <w:p w:rsidR="00A3590B" w:rsidRPr="00962CE9" w:rsidRDefault="00A3590B" w:rsidP="00A3590B">
                        <w:pPr>
                          <w:spacing w:after="0" w:line="240" w:lineRule="auto"/>
                          <w:jc w:val="center"/>
                          <w:rPr>
                            <w:rFonts w:cs="B Titr"/>
                            <w:cs w:val="0"/>
                          </w:rPr>
                        </w:pPr>
                        <w:r w:rsidRPr="00962CE9">
                          <w:rPr>
                            <w:rFonts w:cs="B Titr"/>
                            <w:color w:val="1F4E5F"/>
                            <w:sz w:val="13"/>
                            <w:szCs w:val="13"/>
                            <w:cs w:val="0"/>
                          </w:rPr>
                          <w:t>گسترش هشیارانه</w:t>
                        </w:r>
                      </w:p>
                      <w:p w:rsidR="00A3590B" w:rsidRPr="00962CE9" w:rsidRDefault="00A3590B" w:rsidP="00A3590B">
                        <w:pPr>
                          <w:spacing w:after="0" w:line="240" w:lineRule="auto"/>
                          <w:jc w:val="center"/>
                          <w:rPr>
                            <w:rFonts w:cs="B Titr"/>
                            <w:cs w:val="0"/>
                          </w:rPr>
                        </w:pPr>
                        <w:r w:rsidRPr="00962CE9">
                          <w:rPr>
                            <w:rFonts w:cs="B Titr"/>
                            <w:color w:val="1F4E5F"/>
                            <w:sz w:val="13"/>
                            <w:szCs w:val="13"/>
                            <w:cs w:val="0"/>
                          </w:rPr>
                          <w:t>حالت آگاهی</w:t>
                        </w:r>
                      </w:p>
                    </w:txbxContent>
                  </v:textbox>
                </v:roundrect>
                <w10:anchorlock/>
              </v:group>
            </w:pict>
          </mc:Fallback>
        </mc:AlternateContent>
      </w:r>
      <w:bookmarkStart w:id="73" w:name="_TocFig003"/>
      <w:r w:rsidR="002D5E38">
        <w:rPr>
          <w:cs w:val="0"/>
        </w:rPr>
        <w:t>شکل</w:t>
      </w:r>
      <w:r w:rsidR="002D5E38">
        <w:fldChar w:fldCharType="begin"/>
      </w:r>
      <w:r w:rsidR="002D5E38">
        <w:rPr>
          <w:cs w:val="0"/>
        </w:rPr>
        <w:instrText xml:space="preserve"> SEQ شکل \* ARABIC </w:instrText>
      </w:r>
      <w:r w:rsidR="002D5E38">
        <w:fldChar w:fldCharType="separate"/>
      </w:r>
      <w:r w:rsidR="00D419F3">
        <w:rPr>
          <w:noProof/>
          <w:cs w:val="0"/>
        </w:rPr>
        <w:t>3</w:t>
      </w:r>
      <w:r w:rsidR="002D5E38">
        <w:fldChar w:fldCharType="end"/>
      </w:r>
      <w:r w:rsidR="002D5E38">
        <w:rPr>
          <w:cs w:val="0"/>
        </w:rPr>
        <w:t>- درختواره هوش معنوی (مفهوم، فضیلت‌گرایی، عوامل و مدل چهارعاملی کینگ)</w:t>
      </w:r>
      <w:bookmarkEnd w:id="73"/>
    </w:p>
    <w:p w:rsidR="008908D0" w:rsidRPr="00A3590B" w:rsidRDefault="002D5E38" w:rsidP="00A3590B">
      <w:pPr>
        <w:pStyle w:val="Heading3"/>
        <w:rPr>
          <w:cs w:val="0"/>
        </w:rPr>
      </w:pPr>
      <w:bookmarkStart w:id="74" w:name="_Toc239015135"/>
      <w:bookmarkStart w:id="75" w:name="_Toc239431994"/>
      <w:r w:rsidRPr="00A3590B">
        <w:rPr>
          <w:cs w:val="0"/>
        </w:rPr>
        <w:lastRenderedPageBreak/>
        <w:t>۲-۳-۱- مفهوم هوش معنوی</w:t>
      </w:r>
      <w:bookmarkEnd w:id="74"/>
      <w:bookmarkEnd w:id="75"/>
    </w:p>
    <w:p w:rsidR="008908D0" w:rsidRDefault="002D5E38">
      <w:pPr>
        <w:autoSpaceDE/>
        <w:autoSpaceDN/>
        <w:adjustRightInd/>
        <w:spacing w:after="0" w:line="276" w:lineRule="auto"/>
        <w:ind w:firstLine="397"/>
        <w:jc w:val="both"/>
        <w:rPr>
          <w:color w:val="auto"/>
          <w:cs w:val="0"/>
        </w:rPr>
      </w:pPr>
      <w:r>
        <w:rPr>
          <w:rFonts w:hint="cs"/>
          <w:cs w:val="0"/>
        </w:rPr>
        <w:t>هوش مفهومی چندبعدی است که در حوزه‌های مختلف علمی برای مثال روان‌شناسی، علوم اجتماعی و علوم سلامت مورد بررسی قرار گرفته است. به دلیل گستردگی کاربرد این مفهوم، تعریف واحد و مورد توافقی از هوش وجود ندارد. در دیدگاه‌های مختلف، هوش به توانایی‌هایی مانند سازگاری با محیط، حل مسئله، درک موقعیت‌ها، تنظیم هیجانات، شناخت خود و برقراری ارتباط مؤثر با دیگران اشاره دارد. برخی نظریه‌پردازان نیز هوش را فراتر از توانایی‌های شناختی دانسته و ابعادی مانند توانایی سازگاری، تعادل روانی و عملکرد مؤثر فرد در زندگی را مورد توجه قرار داده‌اند (استرنبرگ</w:t>
      </w:r>
      <w:r>
        <w:rPr>
          <w:rStyle w:val="FootnoteReference"/>
        </w:rPr>
        <w:footnoteReference w:id="96"/>
      </w:r>
      <w:r>
        <w:rPr>
          <w:rFonts w:hint="cs"/>
          <w:cs w:val="0"/>
        </w:rPr>
        <w:t>، ۲۰۲۱؛ مایر</w:t>
      </w:r>
      <w:r>
        <w:rPr>
          <w:rStyle w:val="FootnoteReference"/>
        </w:rPr>
        <w:footnoteReference w:id="97"/>
      </w:r>
      <w:r>
        <w:rPr>
          <w:rFonts w:hint="cs"/>
          <w:cs w:val="0"/>
        </w:rPr>
        <w:t xml:space="preserve"> و سالووی</w:t>
      </w:r>
      <w:r>
        <w:rPr>
          <w:rStyle w:val="FootnoteReference"/>
        </w:rPr>
        <w:footnoteReference w:id="98"/>
      </w:r>
      <w:r>
        <w:rPr>
          <w:rFonts w:hint="cs"/>
          <w:cs w:val="0"/>
        </w:rPr>
        <w:t>، ۲۰۲۰).</w:t>
      </w:r>
    </w:p>
    <w:p w:rsidR="008908D0" w:rsidRDefault="002D5E38">
      <w:pPr>
        <w:autoSpaceDE/>
        <w:autoSpaceDN/>
        <w:adjustRightInd/>
        <w:spacing w:after="0" w:line="276" w:lineRule="auto"/>
        <w:ind w:firstLine="397"/>
        <w:jc w:val="both"/>
        <w:rPr>
          <w:color w:val="auto"/>
          <w:cs w:val="0"/>
        </w:rPr>
      </w:pPr>
      <w:r>
        <w:rPr>
          <w:rFonts w:hint="cs"/>
          <w:cs w:val="0"/>
        </w:rPr>
        <w:t>بررسی دیدگاه‌های مختلف درباره هوش به اثبات می‌رساند که در مورد ماهیت و ابعاد هوش معنوی نیز اتفاق‌نظر کاملی میان پژوهشگران وجود ندارد. با این حال، رویکردهای معاصر هوش معنوی را مفهومی فراتر از توانایی‌های شناختی متعارف می‌دانند که با خودآگاهی، معنا و هدف زندگی، آگاهی متعالی و توانایی مواجهه با پرسش‌های وجودی ارتباط دارد. در این دیدگاه، هوش معنوی ظرفیت فرد برای استفاده از منابع معنوی و وجودی در تفسیر تجربیات، حل مسائل و هدایت رفتار در جهت معنا و ارزش‌های شخصی تلقی می‌شود. مرور نظام‌مند پژوهش‌های انجام‌شده نشان داده است که تفاوت در زمینه‌های فرهنگی و نظری پژوهشگران، موجب شکل‌گیری تعاریف و ابعاد متفاوتی از هوش معنوی شده است؛ با این وجود، مفاهیمی همچون معنا و هدف زندگی، خودآگاهی، آگاهی متعالی و تفکر درباره مسائل وجودی در بسیاری از این تعاریف مشترک هستند (پینتو</w:t>
      </w:r>
      <w:r>
        <w:rPr>
          <w:rStyle w:val="FootnoteReference"/>
        </w:rPr>
        <w:footnoteReference w:id="99"/>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از زمان های بسیار دور، همیشه این سئوال مطرح بوده که چه چیزی باعث خوشبختی و هوش معنوی می شود! هر یک از پژوهشگرانی که در این حیطه به کار پرداخته اند، عوامل و ابعاد خاصی، معرفی کرده اند که هر فردی که واجد این خصوصیات و ابعاد باشد، دارای نسبتی از هوش معنوی معنوی است. در این بخش سعی می گردد تبیین های نظری گوناگون در این خصوص و نیز پژوهش های صورت گرفته، بررسی شود. در طول تاریخ، فلاسفه و رهبران مذهبی عقیده داشتند که داشتن عشق و معرفت و عدم دلبستگی به دنیا و متعلقات آن، عامل تکامل و هوش معنوی است. معتقدین به اصل سودگرایی، مانند جرمی بنتهام اعتقاد داشتند که وجود خوشی و لذت، و عدم حضور درد در زندگی فرد، به هوش معنوی می انجامد. به این ترتیب، می </w:t>
      </w:r>
      <w:r>
        <w:rPr>
          <w:rFonts w:hint="cs"/>
          <w:cs w:val="0"/>
        </w:rPr>
        <w:lastRenderedPageBreak/>
        <w:t>توان گفت که این دسته از افراد بر لذت هیجانی، معنوی و جسمانی تأکید داشتند. در اوایل قرن بیستم مطالعه در مورد هوش معنوی شروع به شکل گیری کرد. ویلیام جیمز پدر روانشناسی آمریکا، در مورد "ذهنیت سالم" در کتاب " انواع تجارب مذهبی" مطالبی نوشت. او مشاهده کرد برخی از افراد در هر سنی، با وجود تمامی مشکلات و سختیهایی که در زندگی دارند، خود را به سوی خوشبختی سوق می دهند. اینها کسانی هستند که توجهشان را از بیماری، مرگ و کشت و کشتار و ناآرامیها، برگرفته و به سوی مسائل دلپذیرتر و بهتر سوق می دهند. در نگاه اول این عقیده که می توان با وجود بیماری، هوش معنوی معنوی را تجربه کرد، قابل پذیرش نیست. با این حال، مطالعات بسیاری حاکی از آن بودند که می توان تحت بدترین شرایط نیز هوش معنوی معنوی را تجربه کرد. بسیاری از نظریات بیان شده در مخالفت با دیدگاه منفی فروید نسبت به روان انسان بود، فروید معتقد بود روان انسان مجموعه ای درهم و پیچیده از آشفتگی های هیجانی و تعارضات و سائق های غریزی است که انسان را به سمت لذایذ جنسی و پرخاشگری می کشاند. یونگ و فرنس در مخالفت با دیدگاه منفی فروید، تأکید بر یکپارچگی و هماهنگی خصوصیات خوب و بد انسانها، صفات مردانه و زنانه و هوش معنوی و توانایی آنها برای پذیرش چیزهای جدید داشت. عقیده محکم اریکسون مبنی بر رشد ایگو باعث اعتقاد به رشد مداوم فرد در طول زندگی شد. بهلر، بیان داشت که انسان در طول زندگی به تکامل می رسد. الپورت نوعی بلوغ را مطرح کرد که شامل رشد فردی، داشتن روابط گرم با دیگران، داشتن امنیت هیجانی و خودپنداره ای مبنی بر واقعیت می شد. مازلو خصوصیات و مشخصه های افراد خودشکوفا را مطرح کرد. جاهودا دریافت که هوش چیزی فراتر از عدم وجود بیماری و اختلال است. او با این تبیین مشخصه های هوش را نیز بر شمرد. نظریه فرانکل بر معناجویی افراد در زندگی تأکید دارد. او معتقد است، که رفتار انسانها نه بر پایه لذت گرایی نظریه روانکاوی فروید و نه بر پایه نظریه قدرت طلبی آدلر است، بلکه انسانها در زندگی به دنبال معنا و مفهومی برای زندگی خود می باشند. اگر فردی نتواند معنایی در زندگی خویش بیابد، احساس پوچی به او دست می دهد و از زندگی ناامید می شود و ملالت و خستگی از زندگی تمام وجودش را فرا می گیرد. الزاما این حس منجر به بیماری معنوی نمی شود، بلکه پیش آگهی بدی برای ابتلا به این اختلالات است. بنابراین فرانکل هوش معنوی را در یافتن معنا و مفهوم در زندگی می‌داند (فرانکل، ۲۰۱۸).</w:t>
      </w:r>
    </w:p>
    <w:p w:rsidR="008908D0" w:rsidRPr="00A3590B" w:rsidRDefault="002D5E38" w:rsidP="00A3590B">
      <w:pPr>
        <w:pStyle w:val="Heading3"/>
        <w:rPr>
          <w:cs w:val="0"/>
        </w:rPr>
      </w:pPr>
      <w:bookmarkStart w:id="76" w:name="_Toc239015136"/>
      <w:bookmarkStart w:id="77" w:name="_Toc239431995"/>
      <w:bookmarkStart w:id="78" w:name="_Toc113114059"/>
      <w:r w:rsidRPr="00A3590B">
        <w:rPr>
          <w:cs w:val="0"/>
        </w:rPr>
        <w:t>۲-۳-۲- دیدگاه فضیلت گرایانه به هوش معنوی</w:t>
      </w:r>
      <w:bookmarkEnd w:id="76"/>
      <w:bookmarkEnd w:id="77"/>
    </w:p>
    <w:p w:rsidR="008908D0" w:rsidRDefault="002D5E38">
      <w:pPr>
        <w:autoSpaceDE/>
        <w:autoSpaceDN/>
        <w:adjustRightInd/>
        <w:spacing w:after="0" w:line="276" w:lineRule="auto"/>
        <w:ind w:firstLine="397"/>
        <w:jc w:val="both"/>
        <w:rPr>
          <w:color w:val="auto"/>
          <w:cs w:val="0"/>
        </w:rPr>
      </w:pPr>
      <w:r>
        <w:rPr>
          <w:rFonts w:hint="cs"/>
          <w:cs w:val="0"/>
        </w:rPr>
        <w:t xml:space="preserve">با وجود برداشت‌های گوناگون از مفهوم هوش، دیدگاه‌های جدیدتر بر این باورند که هوش صرفاً به توانایی‌های شناختی یا دستیابی به لذت محدود نمی‌شود، بلکه می‌تواند ابعاد معنایی، وجودی و ارزشی زندگی </w:t>
      </w:r>
      <w:r>
        <w:rPr>
          <w:rFonts w:hint="cs"/>
          <w:cs w:val="0"/>
        </w:rPr>
        <w:lastRenderedPageBreak/>
        <w:t>انسان را نیز دربرگیرد. از این منظر، هوش معنوی به عنوان ظرفیتی برای یافتن معنا، هدف و ارزش در زندگی مورد توجه قرار گرفته است (پینتو</w:t>
      </w:r>
      <w:r>
        <w:rPr>
          <w:rStyle w:val="FootnoteReference"/>
        </w:rPr>
        <w:footnoteReference w:id="100"/>
      </w:r>
      <w:r>
        <w:rPr>
          <w:rFonts w:hint="cs"/>
          <w:cs w:val="0"/>
        </w:rPr>
        <w:t xml:space="preserve"> و همکاران، ۲۰۲۴). از دیدگاه فضیلت‌گرایانه، برخورداری از لذت و شادی به‌تنهایی نمی‌تواند معیار کافی برای زندگی مطلوب و سلامت انسان باشد. در مقابل، این دیدگاه بر رشد و شکوفایی توانمندی‌های فرد، زندگی مطابق با ارزش‌های درونی، معنا و هدفمندی تأکید دارد. از این منظر، لذت می‌تواند پیامد یک زندگی مطلوب باشد، اما به‌تنهایی معادل بهزیستی و زندگی خوب نیست (رایان</w:t>
      </w:r>
      <w:r>
        <w:rPr>
          <w:rStyle w:val="FootnoteReference"/>
        </w:rPr>
        <w:footnoteReference w:id="101"/>
      </w:r>
      <w:r>
        <w:rPr>
          <w:rFonts w:hint="cs"/>
          <w:cs w:val="0"/>
        </w:rPr>
        <w:t xml:space="preserve"> و دسی</w:t>
      </w:r>
      <w:r>
        <w:rPr>
          <w:rStyle w:val="FootnoteReference"/>
        </w:rPr>
        <w:footnoteReference w:id="102"/>
      </w:r>
      <w:r>
        <w:rPr>
          <w:rFonts w:hint="cs"/>
          <w:cs w:val="0"/>
        </w:rPr>
        <w:t>، ۲۰۱۷). ریف</w:t>
      </w:r>
      <w:r>
        <w:rPr>
          <w:rStyle w:val="FootnoteReference"/>
        </w:rPr>
        <w:footnoteReference w:id="103"/>
      </w:r>
      <w:r>
        <w:rPr>
          <w:rFonts w:hint="cs"/>
          <w:cs w:val="0"/>
        </w:rPr>
        <w:t xml:space="preserve"> (۱۹۸۹) با تمایز میان رویکرد لذت‌گرایانه و رویکرد مبتنی بر شکوفایی، تأکید می‌کند که بهزیستی روان‌شناختی صرفاً به تجربه شادی و لذت محدود نمی‌شود، بلکه تحقق توانمندی‌های فرد، رشد شخصی و داشتن زندگی هدفمند را نیز دربرمی‌گیرد. بر اساس الگوی چندبعدی ریف، بهزیستی روان‌شناختی شامل شش مؤلفه اصلی است:</w:t>
      </w:r>
    </w:p>
    <w:p w:rsidR="008908D0" w:rsidRDefault="002D5E38">
      <w:pPr>
        <w:autoSpaceDE/>
        <w:autoSpaceDN/>
        <w:adjustRightInd/>
        <w:spacing w:after="0" w:line="276" w:lineRule="auto"/>
        <w:ind w:firstLine="397"/>
        <w:jc w:val="both"/>
        <w:rPr>
          <w:color w:val="auto"/>
          <w:cs w:val="0"/>
        </w:rPr>
      </w:pPr>
      <w:r>
        <w:rPr>
          <w:rFonts w:hint="cs"/>
          <w:cs w:val="0"/>
        </w:rPr>
        <w:t>پذیرش خود: یعنی نگرش مثبت نسبت به خود و پذیرش نقاط قوت و ضعف؛</w:t>
      </w:r>
    </w:p>
    <w:p w:rsidR="008908D0" w:rsidRDefault="002D5E38">
      <w:pPr>
        <w:autoSpaceDE/>
        <w:autoSpaceDN/>
        <w:adjustRightInd/>
        <w:spacing w:after="0" w:line="276" w:lineRule="auto"/>
        <w:ind w:firstLine="397"/>
        <w:jc w:val="both"/>
        <w:rPr>
          <w:color w:val="auto"/>
          <w:cs w:val="0"/>
        </w:rPr>
      </w:pPr>
      <w:r>
        <w:rPr>
          <w:rFonts w:hint="cs"/>
          <w:cs w:val="0"/>
        </w:rPr>
        <w:t>روابط مثبت با دیگران: شامل برقراری روابط گرم، رضایت‌بخش و همدلانه؛</w:t>
      </w:r>
    </w:p>
    <w:p w:rsidR="008908D0" w:rsidRDefault="002D5E38">
      <w:pPr>
        <w:autoSpaceDE/>
        <w:autoSpaceDN/>
        <w:adjustRightInd/>
        <w:spacing w:after="0" w:line="276" w:lineRule="auto"/>
        <w:ind w:firstLine="397"/>
        <w:jc w:val="both"/>
        <w:rPr>
          <w:color w:val="auto"/>
          <w:cs w:val="0"/>
        </w:rPr>
      </w:pPr>
      <w:r>
        <w:rPr>
          <w:rFonts w:hint="cs"/>
          <w:cs w:val="0"/>
        </w:rPr>
        <w:t>خودمختاری: به معنای استقلال در تصمیم‌گیری و مقاومت در برابر فشارهای اجتماعی؛</w:t>
      </w:r>
    </w:p>
    <w:p w:rsidR="008908D0" w:rsidRDefault="002D5E38">
      <w:pPr>
        <w:autoSpaceDE/>
        <w:autoSpaceDN/>
        <w:adjustRightInd/>
        <w:spacing w:after="0" w:line="276" w:lineRule="auto"/>
        <w:ind w:firstLine="397"/>
        <w:jc w:val="both"/>
        <w:rPr>
          <w:color w:val="auto"/>
          <w:cs w:val="0"/>
        </w:rPr>
      </w:pPr>
      <w:r>
        <w:rPr>
          <w:rFonts w:hint="cs"/>
          <w:cs w:val="0"/>
        </w:rPr>
        <w:t>تسلط بر محیط: یعنی توانایی مدیریت شرایط زندگی و استفاده مؤثر از فرصت‌های موجود؛</w:t>
      </w:r>
    </w:p>
    <w:p w:rsidR="008908D0" w:rsidRDefault="002D5E38">
      <w:pPr>
        <w:autoSpaceDE/>
        <w:autoSpaceDN/>
        <w:adjustRightInd/>
        <w:spacing w:after="0" w:line="276" w:lineRule="auto"/>
        <w:ind w:firstLine="397"/>
        <w:jc w:val="both"/>
        <w:rPr>
          <w:color w:val="auto"/>
          <w:cs w:val="0"/>
        </w:rPr>
      </w:pPr>
      <w:r>
        <w:rPr>
          <w:rFonts w:hint="cs"/>
          <w:cs w:val="0"/>
        </w:rPr>
        <w:t>هدفمندی در زندگی، شامل داشتن اهداف و احساس معنا و جهت در زندگی؛ و</w:t>
      </w:r>
    </w:p>
    <w:p w:rsidR="008908D0" w:rsidRDefault="002D5E38">
      <w:pPr>
        <w:autoSpaceDE/>
        <w:autoSpaceDN/>
        <w:adjustRightInd/>
        <w:spacing w:after="0" w:line="276" w:lineRule="auto"/>
        <w:ind w:firstLine="397"/>
        <w:jc w:val="both"/>
        <w:rPr>
          <w:color w:val="auto"/>
          <w:cs w:val="0"/>
        </w:rPr>
      </w:pPr>
      <w:r>
        <w:rPr>
          <w:rFonts w:hint="cs"/>
          <w:cs w:val="0"/>
        </w:rPr>
        <w:t>رشد شخصی: به معنای احساس رشد مداوم، گشودگی نسبت به تجربه‌های جدید و شناخت ظرفیت‌های فردی (ریف و همکاران، ۲۰۲۴).</w:t>
      </w:r>
    </w:p>
    <w:p w:rsidR="008908D0" w:rsidRDefault="002D5E38">
      <w:pPr>
        <w:autoSpaceDE/>
        <w:autoSpaceDN/>
        <w:adjustRightInd/>
        <w:spacing w:after="0" w:line="276" w:lineRule="auto"/>
        <w:ind w:firstLine="397"/>
        <w:jc w:val="both"/>
        <w:rPr>
          <w:color w:val="auto"/>
          <w:cs w:val="0"/>
        </w:rPr>
      </w:pPr>
      <w:r>
        <w:rPr>
          <w:rFonts w:hint="cs"/>
          <w:cs w:val="0"/>
        </w:rPr>
        <w:t xml:space="preserve">مدل سلامت معنوی کامل: این مدل دو بعد سلامت معنوی و تنش معنوی را ترکیب می کند که حاصل چهار حالت؛ به نحوی که هم سلامت معنوی و هم تنش معنوی شامل دو حالت کامل و ناکامل اند. سلامت معنوی کامل نشانگانی است که ترکیبی از حضور سطوح بالایی از نشانه های هوش هیجان، روانشناختی و اجتماعی و در عین حال عدم ابتلا به تنش های معنوی اخیر را شامل می شود. از این رو بزرگسالان که به لحاظ معنوی سالم اند علائم سرزندگی هیجانی و شادکامی و رضایتمندی بالا را نشان می دهند. از کنش وری روانشناختی و اجتماعی خوبی برخوردارند و در نهایت دچار تنش های معنوی در طول ۱۲ ماه گذشته نیستند. سلامت معنوی ناکامل شرایطی است که در آن فرد دچار تنش معنوی است و واجد سطوح پائین هوش </w:t>
      </w:r>
      <w:r>
        <w:rPr>
          <w:rFonts w:hint="cs"/>
          <w:cs w:val="0"/>
        </w:rPr>
        <w:lastRenderedPageBreak/>
        <w:t>اجتماعی، روانشناختی و هیجانی است. تنش معنوی کامل نشانگانی است که ترکیبی از سطوح پائین نشانه های هوش هیجانی، روانشناختی و اجتماعی است (جوشن لو، ۱۳۹۵). افراد در حال پژمردگی از ناامیدی خاموشی رنج می برند که ثمره فقدان معنا، هدف و هرچیز مثبت دیگری در زندگی شان است. پژمردگی یک عارضه نادیده گرفته شده است که در اصل نقطه مقابل هوش است. افراد در حال پژمردگی ساکن خالی و پوچ هستند، اما افراد در حال شکوفایی برای زندگی شور و اشتیاق دارند و به صورت فعال و مولد درگیر جامعه و افراد دیگر می شوند. تنیدگی شغلی مطلوب، همواره آرزوی بشر بوده و هست. در ابتدا رفاه و طول عمر بیشتر، معنی تنیدگی شغلی بهتر را داشت. اما امروزه تنیدگی شغلی در نقطه مقابل کمیت، قرار گرفته و با توجه به ابعاد گسترده سلامتی، تعریف می شود و منظور از آن سال هایی از عمر است که همراه با رضایت، شادمانی و لذت بخشی باشد. تنیدگی شغلی مفهومی پویا و وسیعتر از سلامتی است بر طبق مدل سلامتی، تنیدگی شغلی مطلوب باید چند بعد فیزیکی، خلقی-معنوی، اجتماعی، معنوی و شغلی را در بر گیرد. امروزه با پیدایش و گسترش روان شناسی سلامت و روان شناسی مثبت، نگرش درباره اختلالات، از چارچوب پزشکی و مدل تک عاملی خارج شده و محققان معتقدند که بهتر است شکل گیری وگسترش اختلال های معنوی را به حساب سبک های زندگی معیوب و کیفیت نازل زندگی افراد گذاشت و در درمان باید به دنبال اصلاح و تغییر در تنیدگی شغلی وگسترش توانمندی ها و ایجاد رضایت از زندگی و هوش در افراد و جوامع بود. بر همین اساس روان شناسان مثبت گرا با یک رویکرد کل نگر در مقابل رویکرد تشخیصی آماری انجمن روان پزشکی آمریکا</w:t>
      </w:r>
      <w:r>
        <w:rPr>
          <w:rStyle w:val="FootnoteReference"/>
        </w:rPr>
        <w:footnoteReference w:id="104"/>
      </w:r>
      <w:r>
        <w:rPr>
          <w:rFonts w:hint="cs"/>
          <w:cs w:val="0"/>
        </w:rPr>
        <w:t>، یک نظام طبقه بندی جدید به نام نیرومندی های منش را در شش حیطه، جهت شناسی و طبقه بندی توانمندی هایی که در خلاف تنش عمل می کنند، مشخص کرده اند و بر اساس آن رویکرد های مداخله‌ای متعددی را بنا نهاده‌اند. و معتقدند که به جای تأکید صرف بر آسیب‌شناسی، باید به دنبال فهم کامل گستره تجارب انسان از کمبود، رنج، تنش تا شکوفایی، هوش و شادمانی باشیم زیرا روان شناسی تنها تمرکز بر تنش ها و درمان هم متمرکز بر ضعف ها نمی باشد. از لحاظ تاریخی فلاسفه در تئوری های اخلاق به خصوص رویکردهای لذت گرایانه اپیکوری به طور گسترده به مفهوم شادمانی و هوش پرداخته اند. اما برای اولین باردر سال ۱۹۸۰ داینر</w:t>
      </w:r>
      <w:r>
        <w:rPr>
          <w:rStyle w:val="FootnoteReference"/>
        </w:rPr>
        <w:footnoteReference w:id="105"/>
      </w:r>
      <w:r>
        <w:rPr>
          <w:rFonts w:hint="cs"/>
          <w:cs w:val="0"/>
        </w:rPr>
        <w:t xml:space="preserve"> اصطلاح هوش روان شناختی و ساختار های مرتبط با آن را به صورت روش‌مند در حوزه روان شناسی بررسی کرد و آن را جایگزین و مترادف شادمانی قرار داد. داینر مطابق با دیدگاه سیکزنت میهالی، در تعریف هوش به تئوری فعالیت اشاره دارد و آن را همانند کارکردی از شخصیت و نگرش </w:t>
      </w:r>
      <w:r>
        <w:rPr>
          <w:rFonts w:hint="cs"/>
          <w:cs w:val="0"/>
        </w:rPr>
        <w:lastRenderedPageBreak/>
        <w:t>های کلی نسبت به محیط و شرایط می داند. هوش روان شناختی دارای دو جزء شناختی و خلقی است. بعد شناختی هوش، یعنی ارزیابی شناختی افراد از میزان رضایت زندگی و بعد خلقی یعنی برخورداری از حداکثر عاطفه مثبت و حداقل خلقی منفی مؤلفه های شناختی و خلقی هوش، به همدیگر وابسته و میزان این همبستگی از ۱۰/۰ تا ۸۰/۰ در نوسان است. در بعد هوش روان شناختی، تمایزبر اساس تأکید بر تئوری های صعودی – نزولی (بیرونی -موقعیتی) و یا نزولی صعودی (صفات درونی -فرایندها) است. در تئوری های نزولی – صعودی اعتقاد بر این است که رضایت مندی در حوزه های خاص زندگی مانند کار، ازدواج رضایت مندی به صورت کلی در زندگی را به دنبال دارد. اما در تئوری صعودی – نزولی اعتقاد بر این است که یک شخص بدون داشتن رضایت در حوزه های خاص مثلا کار می تواند به صورت کلی رضایت از زندگی را تجربه کند و در بعد خلقی هوش، نیز برادبون سه نوع استقلال را در بین دو نوع مؤلفه (عاطفه مثبت و عاطفه منفی) مشخص می کند: استقلال استقلال ساختاری یعنی در یک دوره زمانی مشخص، فرد احساسات مثبت و منفی مختلفی را تجربه کند. استقلال علّی یعنی این که عاطفه مثبت و عاطفه منفی متأثر از علت های مختلفی هستند و استقلال گذرا به رابطه بین عاطفه مثبت و عاطفه منفی در یک لحظه زمان اشاره دارد. سلامت معنوی نیز در این میان نوعی وضعیت ذهنی است که با شماری از متغیر درونی و بیرونی در ارتباط می باشد که می تواند از فقدان تنش تا احساس رضایت و لذت بردن از زندگی را در بر گیرد. در سالیان اخیر رویکرد آسیب شناسی به مطالعهی سلامتی انسان مورد انتقاد قرار گرفته است. بر خلاف این دیدگاه که سلامتی را به عنوان نداشتن تنش تعریف می کند، رویکرد های جدید بر"خوب بودن" به جای بد یا بیمار بودن "تآکید می کنند (ریف</w:t>
      </w:r>
      <w:r>
        <w:rPr>
          <w:rStyle w:val="FootnoteReference"/>
        </w:rPr>
        <w:footnoteReference w:id="106"/>
      </w:r>
      <w:r>
        <w:rPr>
          <w:rFonts w:hint="cs"/>
          <w:cs w:val="0"/>
        </w:rPr>
        <w:t xml:space="preserve"> و همکاران، ۲۰۱۹).</w:t>
      </w:r>
    </w:p>
    <w:p w:rsidR="008908D0" w:rsidRDefault="002D5E38">
      <w:pPr>
        <w:autoSpaceDE/>
        <w:autoSpaceDN/>
        <w:adjustRightInd/>
        <w:spacing w:after="0" w:line="276" w:lineRule="auto"/>
        <w:ind w:firstLine="397"/>
        <w:jc w:val="both"/>
        <w:rPr>
          <w:color w:val="auto"/>
          <w:cs w:val="0"/>
        </w:rPr>
      </w:pPr>
      <w:r>
        <w:rPr>
          <w:cs w:val="0"/>
        </w:rPr>
        <w:t>۴- تنش معنوی ناکامل حالتی است که فرد نشانه‌هایی از تنش یا پریشانی معنوی دارد، اما هنوز درجاتی از بهزیستی هیجانی، روان‌شناختی یا اجتماعی در او باقی می‌ماند. این تفکیک از مدل حالت کامل سلامت کیز</w:t>
      </w:r>
      <w:r>
        <w:rPr>
          <w:rStyle w:val="FootnoteReference"/>
        </w:rPr>
        <w:footnoteReference w:id="107"/>
      </w:r>
      <w:r>
        <w:rPr>
          <w:cs w:val="0"/>
        </w:rPr>
        <w:t xml:space="preserve"> برمی‌آید که سلامت و بیماری را دو پیوستار جدا می‌داند؛ به همین دلیل وجود تنش لزوماً به معنای فقدان کامل سلامت نیست و چهار حالت از ترکیب دو بُعد سلامت معنوی (کامل/ناکامل) و تنش معنوی (کامل/ناکامل) به‌دست می‌آید (کیز، ۲۰۰۲).</w:t>
      </w:r>
    </w:p>
    <w:p w:rsidR="008908D0" w:rsidRDefault="002D5E38">
      <w:pPr>
        <w:autoSpaceDE/>
        <w:autoSpaceDN/>
        <w:adjustRightInd/>
        <w:spacing w:after="0" w:line="276" w:lineRule="auto"/>
        <w:ind w:firstLine="397"/>
        <w:jc w:val="both"/>
        <w:rPr>
          <w:color w:val="auto"/>
          <w:cs w:val="0"/>
        </w:rPr>
      </w:pPr>
      <w:r>
        <w:rPr>
          <w:rFonts w:hint="cs"/>
          <w:cs w:val="0"/>
        </w:rPr>
        <w:t xml:space="preserve">می‌توان بیان کرد که سلامت روان‌شناختی صرفاً به نبود نشانه‌های منفی یا اختلالات روانی محدود نمی‌شود، بلکه برخورداری از ویژگی‌هایی همچون سازگاری، احساس رضایت، معنا و هدف در زندگی و </w:t>
      </w:r>
      <w:r>
        <w:rPr>
          <w:rFonts w:hint="cs"/>
          <w:cs w:val="0"/>
        </w:rPr>
        <w:lastRenderedPageBreak/>
        <w:t>توانایی رشد و شکوفایی ظرفیت‌های فردی را نیز دربرمی‌گیرد. در دیدگاه‌های جدید روان‌شناختی، بهزیستی مطلوب شامل پذیرش خود، روابط مثبت با دیگران، رشد شخصی، خودمختاری، تسلط بر محیط و هدفمندی در زندگی است و فرد از نظر روان‌شناختی سالم، فردی است که در مسیر رشد و تحقق توانمندی‌های خود قرار دارد (ریف</w:t>
      </w:r>
      <w:r>
        <w:rPr>
          <w:rStyle w:val="FootnoteReference"/>
        </w:rPr>
        <w:footnoteReference w:id="108"/>
      </w:r>
      <w:r>
        <w:rPr>
          <w:rFonts w:hint="cs"/>
          <w:cs w:val="0"/>
        </w:rPr>
        <w:t>، ۲۰۲۴). گروهی از روان‌شناسان به جای تمرکز صرف بر نبود اختلال و نشانه‌های منفی، بر ابعاد مثبت سلامت روان و کارکرد مطلوب روان‌شناختی تأکید کرده‌اند. در این رویکرد، سلامت روان صرفاً به معنای نداشتن تنش و اختلال نیست، بلکه مؤلفه‌هایی مانند رضایت از زندگی، روابط مثبت با دیگران، احساس هدفمندی، رشد شخصی، خودپذیری و توانایی سازگاری با محیط را نیز شامل می‌شود. بر این اساس، سلامت روانی مطلوب زمانی تحقق می‌یابد که فرد علاوه بر فقدان مشکلات روان‌شناختی، از ظرفیت‌های مثبت خود برای رشد، معنا بخشیدن به زندگی و تعامل مؤثر با محیط استفاده کند (ریف، ۲۰۲۴).</w:t>
      </w:r>
    </w:p>
    <w:p w:rsidR="008908D0" w:rsidRDefault="002D5E38">
      <w:pPr>
        <w:autoSpaceDE/>
        <w:autoSpaceDN/>
        <w:adjustRightInd/>
        <w:spacing w:after="0" w:line="276" w:lineRule="auto"/>
        <w:ind w:firstLine="397"/>
        <w:jc w:val="both"/>
        <w:rPr>
          <w:color w:val="auto"/>
          <w:cs w:val="0"/>
        </w:rPr>
      </w:pPr>
      <w:r>
        <w:rPr>
          <w:rFonts w:hint="cs"/>
          <w:cs w:val="0"/>
        </w:rPr>
        <w:t>بسیاری از دیدگاه‌های روان‌شناختی، معنویت را با مفاهیمی همچون خودفراروی، نوع‌دوستی، معنا و ارتباط با چیزی فراتر از خود مرتبط می‌دانند. از این منظر، رشد معنوی می‌تواند با کاهش تمرکز افراطی بر خود و افزایش توجه به دیگران و ارزش‌های فراتر از منافع فردی همراه باشد (والسالا</w:t>
      </w:r>
      <w:r>
        <w:rPr>
          <w:rStyle w:val="FootnoteReference"/>
        </w:rPr>
        <w:footnoteReference w:id="109"/>
      </w:r>
      <w:r>
        <w:rPr>
          <w:rFonts w:hint="cs"/>
          <w:cs w:val="0"/>
        </w:rPr>
        <w:t xml:space="preserve"> و منون</w:t>
      </w:r>
      <w:r>
        <w:rPr>
          <w:rStyle w:val="FootnoteReference"/>
        </w:rPr>
        <w:footnoteReference w:id="110"/>
      </w:r>
      <w:r>
        <w:rPr>
          <w:rFonts w:hint="cs"/>
          <w:cs w:val="0"/>
        </w:rPr>
        <w:t>، ۲۰۲۳). در میان نظریه‌پردازان روان‌پویشی، کارل گوستاو یونگ</w:t>
      </w:r>
      <w:r>
        <w:rPr>
          <w:rStyle w:val="FootnoteReference"/>
        </w:rPr>
        <w:footnoteReference w:id="111"/>
      </w:r>
      <w:r>
        <w:rPr>
          <w:rFonts w:hint="cs"/>
          <w:cs w:val="0"/>
        </w:rPr>
        <w:t xml:space="preserve"> توجه ویژه‌ای به ابعاد معنوی روان داشت. در دیدگاه یونگ، تجربه‌های معنوی با فرایند رشد شخصیت و حرکت به سوی یکپارچگی و تمامیت روانی ارتباط دارند. وی فرایند فردیت‌یابی را مسیری برای رشد و تحول شخصیت و برقراری ارتباط عمیق‌تر فرد با خویشتن می‌دانست. از این منظر، تجربه‌های معنوی و فرایند فردیت‌یابی می‌توانند در شکل‌گیری معنا، احساس تمامیت و ارتباط فرد با ابعادی فراتر از خود نقش داشته باشند؛ همینطور در رویکرد تحلیلی یونگ، معنویت بخشی مهم از فرایند رشد و یکپارچگی شخصیت محسوب می‌شود. از این دیدگاه، انسان در مسیر رشد روان‌شناختی خود تلاش می‌کند میان بخش‌های مختلف شخصیت، برای مثال جنبه‌های آگاه و ناآگاه روان، هماهنگی ایجاد کند. فرایند فردیت‌یابی در این چارچوب به معنای حرکت تدریجی فرد به سوی شناخت و پذیرش ابعاد مختلف خویشتن و دستیابی به احساس تمامیت است. ازاین‌رو، تجربه‌های معنوی می‌توانند در شکل‌گیری معنا، افزایش خودآگاهی و ایجاد ارتباط عمیق‌تر فرد با خویشتن و جهان پیرامون نقش داشته باشند (واگنسلر</w:t>
      </w:r>
      <w:r>
        <w:rPr>
          <w:rStyle w:val="FootnoteReference"/>
        </w:rPr>
        <w:footnoteReference w:id="112"/>
      </w:r>
      <w:r>
        <w:rPr>
          <w:rFonts w:hint="cs"/>
          <w:cs w:val="0"/>
        </w:rPr>
        <w:t>، ۲۰۲۴).</w:t>
      </w:r>
    </w:p>
    <w:p w:rsidR="008908D0" w:rsidRPr="00C17338" w:rsidRDefault="002D5E38" w:rsidP="00C17338">
      <w:pPr>
        <w:pStyle w:val="Heading3"/>
        <w:rPr>
          <w:cs w:val="0"/>
        </w:rPr>
      </w:pPr>
      <w:bookmarkStart w:id="79" w:name="_Toc239015137"/>
      <w:bookmarkStart w:id="80" w:name="_Toc239431996"/>
      <w:r w:rsidRPr="00C17338">
        <w:rPr>
          <w:cs w:val="0"/>
        </w:rPr>
        <w:lastRenderedPageBreak/>
        <w:t>۲-۳-۳- عوامل مؤثر بر هوش معنوی</w:t>
      </w:r>
      <w:bookmarkEnd w:id="78"/>
      <w:bookmarkEnd w:id="79"/>
      <w:bookmarkEnd w:id="80"/>
    </w:p>
    <w:p w:rsidR="008908D0" w:rsidRDefault="002D5E38">
      <w:pPr>
        <w:autoSpaceDE/>
        <w:autoSpaceDN/>
        <w:adjustRightInd/>
        <w:spacing w:after="0" w:line="276" w:lineRule="auto"/>
        <w:ind w:firstLine="397"/>
        <w:jc w:val="both"/>
        <w:rPr>
          <w:color w:val="auto"/>
          <w:cs w:val="0"/>
        </w:rPr>
      </w:pPr>
      <w:r>
        <w:rPr>
          <w:rFonts w:hint="cs"/>
          <w:cs w:val="0"/>
        </w:rPr>
        <w:t>هوش معنوی می‌تواند تحت تأثیر مجموعه‌ای از عوامل فردی، روان‌شناختی و اجتماعی قرار گیرد. یافته‌های پژوهشی نشان می‌دهند که هوش معنوی با متغیرهایی مانند معنا و هدف در زندگی، رضایت از زندگی، تاب‌آوری، سلامت روان، خودکارآمدی و رفتارهای اجتماعی مطلوب ارتباط دارد. افزون بر این، خودآگاهی و توانایی معنا بخشیدن به تجربه‌های زندگی می‌توانند در تقویت هوش معنوی و سازگاری بهتر فرد با شرایط زندگی نقش داشته باشند. با این حال، شواهد موجود درباره نقش برخی ویژگی‌های جمعیت‌شناختی در هوش معنوی یکسان نیست و برای تعیین دقیق تأثیر عواملی مانند سن و وضعیت اجتماعی ـ اقتصادی، به پژوهش‌های بیشتری نیاز است (پینتو</w:t>
      </w:r>
      <w:r>
        <w:rPr>
          <w:rStyle w:val="FootnoteReference"/>
        </w:rPr>
        <w:footnoteReference w:id="113"/>
      </w:r>
      <w:r>
        <w:rPr>
          <w:rFonts w:hint="cs"/>
          <w:cs w:val="0"/>
        </w:rPr>
        <w:t xml:space="preserve"> و همکاران، ۲۰۲۴).</w:t>
      </w:r>
    </w:p>
    <w:p w:rsidR="008908D0" w:rsidRDefault="002D5E38">
      <w:pPr>
        <w:autoSpaceDE/>
        <w:autoSpaceDN/>
        <w:adjustRightInd/>
        <w:spacing w:after="0" w:line="276" w:lineRule="auto"/>
        <w:ind w:firstLine="397"/>
        <w:jc w:val="both"/>
        <w:rPr>
          <w:color w:val="auto"/>
          <w:cs w:val="0"/>
        </w:rPr>
      </w:pPr>
      <w:r>
        <w:rPr>
          <w:rFonts w:hint="cs"/>
          <w:cs w:val="0"/>
        </w:rPr>
        <w:t>هوش معنوی مفهومی چندبعدی است که به توانایی فرد در درک عمیق‌تر معنا و هدف زندگی، استفاده از منابع معنوی برای حل مسائل، سازگاری با چالش‌های زندگی و برقراری ارتباط هماهنگ با خود، دیگران و جهان پیرامون اشاره دارد. هوش معنوی شامل ظرفیت‌هایی مانند خودآگاهی، تعالی فردی، معناجویی، درک ارزش‌های انسانی و توانایی ایجاد انسجام میان باورها، ارزش‌ها و رفتارهای فردی است. برخلاف دیدگاه‌های سنتی که هوش را عمدتاً به توانایی‌های شناختی محدود می‌کردند، نظریه هوش معنوی بر نقش ابعاد معنایی و وجودی در عملکرد انسان تأکید دارد. پژوهش‌ها نشان داده‌اند که هوش معنوی می‌تواند با افزایش سازگاری روان‌شناختی، احساس معنا در زندگی، بهزیستی روانی و توانایی مقابله با فشارهای زندگی مرتبط باشد (کینگ</w:t>
      </w:r>
      <w:r>
        <w:rPr>
          <w:rStyle w:val="FootnoteReference"/>
        </w:rPr>
        <w:footnoteReference w:id="114"/>
      </w:r>
      <w:r>
        <w:rPr>
          <w:rFonts w:hint="cs"/>
          <w:cs w:val="0"/>
        </w:rPr>
        <w:t xml:space="preserve"> و دی‌سیکو</w:t>
      </w:r>
      <w:r>
        <w:rPr>
          <w:rStyle w:val="FootnoteReference"/>
        </w:rPr>
        <w:footnoteReference w:id="115"/>
      </w:r>
      <w:r>
        <w:rPr>
          <w:rFonts w:hint="cs"/>
          <w:cs w:val="0"/>
        </w:rPr>
        <w:t>، ۲۰۰۹؛ کینگ، ۲۰۲۱).</w:t>
      </w:r>
    </w:p>
    <w:p w:rsidR="008908D0" w:rsidRDefault="002D5E38">
      <w:pPr>
        <w:autoSpaceDE/>
        <w:autoSpaceDN/>
        <w:adjustRightInd/>
        <w:spacing w:after="0" w:line="276" w:lineRule="auto"/>
        <w:ind w:firstLine="397"/>
        <w:jc w:val="both"/>
        <w:rPr>
          <w:color w:val="auto"/>
          <w:cs w:val="0"/>
        </w:rPr>
      </w:pPr>
      <w:r>
        <w:rPr>
          <w:rFonts w:hint="cs"/>
          <w:cs w:val="0"/>
        </w:rPr>
        <w:t xml:space="preserve">در رویکردهای نوین سلامت روان، میان وجود یا نبود اختلال روان‌شناختی و سطح بهزیستی و کارکرد مثبت فرد تمایز قائل می‌شوند. بر اساس این دیدگاه، سلامت روان را نمی‌توان صرفاً با نبود بیماری یا نشانه‌های روان‌شناختی تعریف کرد؛ زیرا ممکن است فردی با وجود برخی مشکلات یا اختلالات روانی، از احساس معنا، روابط مثبت، رشد شخصی و سطح مناسبی از کارکرد روان‌شناختی برخوردار باشد. به همین ترتیب، فقدان اختلال روانی لزوماً به معنای برخورداری از سطح بالای بهزیستی نیست. بر همین اساس، سلامت و بیماری روانی را می‌توان به عنوان دو بعد مرتبط اما متمایز در نظر گرفت که هر یک اطلاعات متفاوتی درباره وضعیت کلی فرد ارائه می‌کنند (کیز، ۲۰۰۲؛ ریف، ۲۰۲۴). سلامت روان را می‌توان مفهومی چندبعدی دانست </w:t>
      </w:r>
      <w:r>
        <w:rPr>
          <w:rFonts w:hint="cs"/>
          <w:cs w:val="0"/>
        </w:rPr>
        <w:lastRenderedPageBreak/>
        <w:t>که علاوه بر نبود اختلالات روان‌شناختی، شامل برخورداری از احساس معنا و هدف در زندگی، روابط مثبت با دیگران، احساس شایستگی، رشد شخصی و توانایی سازگاری با شرایط زندگی است. با این نگاه، ارزیابی سلامت فرد تنها بر اساس وجود یا نبود نشانه‌های بیماری کافی نیست و لازم است میزان بهزیستی و کارکرد مثبت او نیز مورد توجه قرار گیرد. این رویکرد به‌ویژه در سالمندی اهمیت دارد؛ زیرا حفظ احساس معنا، استقلال، ارتباط اجتماعی و مشارکت فعال می‌تواند در ارتقای کیفیت زندگی و بهزیستی روان‌شناختی سالمندان نقش داشته باشد (ریف، ۲۰۲۴؛ سازمان جهانی بهداشت، ۲۰۲۲).</w:t>
      </w:r>
    </w:p>
    <w:p w:rsidR="008908D0" w:rsidRDefault="002D5E38">
      <w:pPr>
        <w:autoSpaceDE/>
        <w:autoSpaceDN/>
        <w:adjustRightInd/>
        <w:spacing w:after="0" w:line="276" w:lineRule="auto"/>
        <w:ind w:firstLine="397"/>
        <w:jc w:val="both"/>
        <w:rPr>
          <w:color w:val="auto"/>
          <w:cs w:val="0"/>
        </w:rPr>
      </w:pPr>
      <w:r>
        <w:rPr>
          <w:rFonts w:hint="cs"/>
          <w:cs w:val="0"/>
        </w:rPr>
        <w:t>رویکرد لذت‌گرایانه به بهزیستی پیشینه‌ای طولانی در فلسفه و روان‌شناسی دارد و بر تجربه لذت، شادی و رضایت از زندگی تأکید می‌کند. در این دیدگاه، بهزیستی فرد بیشتر بر اساس میزان تجربه هیجانات مثبت، کاهش هیجانات منفی و ارزیابی کلی فرد از رضایت خود از زندگی سنجیده می‌شود. در روان‌شناسی معاصر نیز بهزیستی ذهنی معمولاً از دو مؤلفه اصلی تشکیل می‌شود: مؤلفه شناختی که در قالب رضایت از زندگی ارزیابی می‌شود و مؤلفه هیجانی که شامل تجربه عاطفه مثبت و عاطفه منفی است. از این رو، فردی که از بهزیستی ذهنی بالاتری برخوردار است، معمولاً رضایت بیشتری از زندگی، عواطف مثبت بیشتر و عواطف منفی کمتری را تجربه می‌کند؛ بهزیستی ذهنی تنها به تجربه لحظه‌ای شادی محدود نمی‌شود، بلکه ارزیابی شناختی و هیجانی فرد از کیفیت زندگی خود را نیز دربرمی‌گیرد. در این چارچوب، رضایت از زندگی بیانگر ارزیابی کلی فرد از شرایط زندگی است، در حالی که عواطف مثبت و منفی نشان‌دهنده تجربه‌های هیجانی روزمره او هستند. پژوهش‌ها نشان می‌دهند که بهزیستی ذهنی تحت تأثیر عوامل مختلفی برای مثال روابط اجتماعی، شرایط زندگی، ویژگی‌های شخصیتی و نحوه ارزیابی فرد از تجربه‌های زندگی قرار دارد. در نتیجه، بررسی بهزیستی ذهنی مستلزم توجه همزمان به ارزیابی شناختی فرد از زندگی و تجربه هیجانی اوست (داینر</w:t>
      </w:r>
      <w:r>
        <w:rPr>
          <w:rStyle w:val="FootnoteReference"/>
        </w:rPr>
        <w:footnoteReference w:id="116"/>
      </w:r>
      <w:r>
        <w:rPr>
          <w:rFonts w:hint="cs"/>
          <w:cs w:val="0"/>
        </w:rPr>
        <w:t>، اویشی</w:t>
      </w:r>
      <w:r>
        <w:rPr>
          <w:rStyle w:val="FootnoteReference"/>
        </w:rPr>
        <w:footnoteReference w:id="117"/>
      </w:r>
      <w:r>
        <w:rPr>
          <w:rFonts w:hint="cs"/>
          <w:cs w:val="0"/>
        </w:rPr>
        <w:t xml:space="preserve"> و تای</w:t>
      </w:r>
      <w:r>
        <w:rPr>
          <w:rStyle w:val="FootnoteReference"/>
        </w:rPr>
        <w:footnoteReference w:id="118"/>
      </w:r>
      <w:r>
        <w:rPr>
          <w:rFonts w:hint="cs"/>
          <w:cs w:val="0"/>
        </w:rPr>
        <w:t>، ۲۰۱۸).</w:t>
      </w:r>
    </w:p>
    <w:p w:rsidR="008908D0" w:rsidRPr="00C17338" w:rsidRDefault="002D5E38" w:rsidP="00C17338">
      <w:pPr>
        <w:pStyle w:val="Heading3"/>
        <w:rPr>
          <w:cs w:val="0"/>
        </w:rPr>
      </w:pPr>
      <w:bookmarkStart w:id="81" w:name="_Toc239015138"/>
      <w:bookmarkStart w:id="82" w:name="_Toc239431997"/>
      <w:r w:rsidRPr="00C17338">
        <w:rPr>
          <w:cs w:val="0"/>
        </w:rPr>
        <w:t>۲-۳-۴- مدل چهارعاملی هوش معنوی کینگ</w:t>
      </w:r>
      <w:bookmarkEnd w:id="81"/>
      <w:bookmarkEnd w:id="82"/>
    </w:p>
    <w:p w:rsidR="008908D0" w:rsidRDefault="002D5E38">
      <w:pPr>
        <w:spacing w:after="0" w:line="276" w:lineRule="auto"/>
        <w:ind w:firstLine="397"/>
        <w:jc w:val="both"/>
        <w:rPr>
          <w:cs w:val="0"/>
        </w:rPr>
      </w:pPr>
      <w:r>
        <w:rPr>
          <w:cs w:val="0"/>
        </w:rPr>
        <w:t>کینگ</w:t>
      </w:r>
      <w:r>
        <w:rPr>
          <w:rStyle w:val="FootnoteReference"/>
        </w:rPr>
        <w:footnoteReference w:id="119"/>
      </w:r>
      <w:r>
        <w:rPr>
          <w:cs w:val="0"/>
        </w:rPr>
        <w:t xml:space="preserve"> هوش معنوی را مجموعه‌ای از توانایی‌های ذهنی مرتبط با آگاهی، یکپارچگی و کاربرد انطباقی جنبه‌های غیرمادی و وجودی زندگی تعریف می‌کند. مدل چهارعاملی وی شامل تفکر وجودی انتقادی، تولید </w:t>
      </w:r>
      <w:r>
        <w:rPr>
          <w:cs w:val="0"/>
        </w:rPr>
        <w:lastRenderedPageBreak/>
        <w:t>معنای شخصی، آگاهی متعالی و گسترش هشیارانه حالت آگاهی است. همین مدل مبنای پرسشنامه‌ای است که در پژوهش حاضر برای سنجش هوش معنوی به کار رفته است (کینگ و دی‌سیکو</w:t>
      </w:r>
      <w:r>
        <w:rPr>
          <w:rStyle w:val="FootnoteReference"/>
        </w:rPr>
        <w:footnoteReference w:id="120"/>
      </w:r>
      <w:r>
        <w:rPr>
          <w:cs w:val="0"/>
        </w:rPr>
        <w:t>، ۲۰۰۹).</w:t>
      </w:r>
    </w:p>
    <w:p w:rsidR="008908D0" w:rsidRPr="00351D88" w:rsidRDefault="002D5E38" w:rsidP="00351D88">
      <w:pPr>
        <w:pStyle w:val="Heading2"/>
        <w:rPr>
          <w:cs w:val="0"/>
        </w:rPr>
      </w:pPr>
      <w:bookmarkStart w:id="83" w:name="_Toc239015139"/>
      <w:bookmarkStart w:id="84" w:name="_Toc239431998"/>
      <w:r w:rsidRPr="00351D88">
        <w:rPr>
          <w:cs w:val="0"/>
        </w:rPr>
        <w:t>۲-۴- گستره چهارم: اضطراب سلامتی</w:t>
      </w:r>
      <w:bookmarkEnd w:id="83"/>
      <w:bookmarkEnd w:id="84"/>
    </w:p>
    <w:p w:rsidR="008908D0" w:rsidRDefault="00C17338" w:rsidP="00351D88">
      <w:pPr>
        <w:bidi w:val="0"/>
        <w:jc w:val="center"/>
        <w:rPr>
          <w:cs w:val="0"/>
        </w:rPr>
      </w:pPr>
      <w:r>
        <w:rPr>
          <w:b/>
          <w:bCs/>
          <w:noProof/>
          <w:cs w:val="0"/>
          <w:lang w:bidi="ar-SA"/>
        </w:rPr>
        <mc:AlternateContent>
          <mc:Choice Requires="wpg">
            <w:drawing>
              <wp:inline distT="0" distB="0" distL="0" distR="0" wp14:anchorId="375153BF" wp14:editId="46069523">
                <wp:extent cx="5353253" cy="1827719"/>
                <wp:effectExtent l="0" t="0" r="19050" b="20320"/>
                <wp:docPr id="210" name="Group 210"/>
                <wp:cNvGraphicFramePr/>
                <a:graphic xmlns:a="http://schemas.openxmlformats.org/drawingml/2006/main">
                  <a:graphicData uri="http://schemas.microsoft.com/office/word/2010/wordprocessingGroup">
                    <wpg:wgp>
                      <wpg:cNvGrpSpPr/>
                      <wpg:grpSpPr>
                        <a:xfrm>
                          <a:off x="0" y="0"/>
                          <a:ext cx="5353253" cy="1827719"/>
                          <a:chOff x="0" y="0"/>
                          <a:chExt cx="5353253" cy="1827719"/>
                        </a:xfrm>
                      </wpg:grpSpPr>
                      <wps:wsp>
                        <wps:cNvPr id="211" name="Text Box 211"/>
                        <wps:cNvSpPr txBox="1"/>
                        <wps:spPr>
                          <a:xfrm>
                            <a:off x="1390650" y="0"/>
                            <a:ext cx="2560645" cy="322769"/>
                          </a:xfrm>
                          <a:prstGeom prst="roundRect">
                            <a:avLst>
                              <a:gd name="adj" fmla="val 16667"/>
                            </a:avLst>
                          </a:prstGeom>
                          <a:solidFill>
                            <a:srgbClr val="1F4E5F"/>
                          </a:solidFill>
                          <a:ln w="6350">
                            <a:solidFill>
                              <a:srgbClr val="8AA38A"/>
                            </a:solidFill>
                          </a:ln>
                        </wps:spPr>
                        <wps:txbx>
                          <w:txbxContent>
                            <w:p w:rsidR="00C17338" w:rsidRPr="00D63DDF" w:rsidRDefault="00C17338" w:rsidP="00C17338">
                              <w:pPr>
                                <w:spacing w:after="0" w:line="240" w:lineRule="auto"/>
                                <w:jc w:val="center"/>
                                <w:rPr>
                                  <w:rFonts w:cs="B Titr"/>
                                  <w:cs w:val="0"/>
                                </w:rPr>
                              </w:pPr>
                              <w:r w:rsidRPr="00D63DDF">
                                <w:rPr>
                                  <w:rFonts w:cs="B Titr"/>
                                  <w:color w:val="FFFFFF"/>
                                  <w:sz w:val="22"/>
                                  <w:szCs w:val="22"/>
                                  <w:cs w:val="0"/>
                                </w:rPr>
                                <w:t>اضطراب سلامت</w:t>
                              </w:r>
                            </w:p>
                          </w:txbxContent>
                        </wps:txbx>
                        <wps:bodyPr lIns="36000" tIns="18000" rIns="36000" bIns="18000" anchor="ctr"/>
                      </wps:wsp>
                      <wps:wsp>
                        <wps:cNvPr id="212" name="Text Box 212"/>
                        <wps:cNvSpPr txBox="1"/>
                        <wps:spPr>
                          <a:xfrm>
                            <a:off x="3752850" y="447675"/>
                            <a:ext cx="1600403" cy="322769"/>
                          </a:xfrm>
                          <a:prstGeom prst="roundRect">
                            <a:avLst>
                              <a:gd name="adj" fmla="val 16667"/>
                            </a:avLst>
                          </a:prstGeom>
                          <a:solidFill>
                            <a:srgbClr val="3D5C4A"/>
                          </a:solidFill>
                          <a:ln w="6350">
                            <a:solidFill>
                              <a:srgbClr val="8AA38A"/>
                            </a:solidFill>
                          </a:ln>
                        </wps:spPr>
                        <wps:txbx>
                          <w:txbxContent>
                            <w:p w:rsidR="00C17338" w:rsidRPr="00D63DDF" w:rsidRDefault="00C17338" w:rsidP="00C17338">
                              <w:pPr>
                                <w:spacing w:after="0" w:line="240" w:lineRule="auto"/>
                                <w:jc w:val="center"/>
                                <w:rPr>
                                  <w:rFonts w:cs="B Titr"/>
                                  <w:cs w:val="0"/>
                                </w:rPr>
                              </w:pPr>
                              <w:r w:rsidRPr="00D63DDF">
                                <w:rPr>
                                  <w:rFonts w:cs="B Titr"/>
                                  <w:color w:val="FFFFFF"/>
                                  <w:sz w:val="16"/>
                                  <w:szCs w:val="16"/>
                                  <w:cs w:val="0"/>
                                </w:rPr>
                                <w:t>مفهوم</w:t>
                              </w:r>
                            </w:p>
                          </w:txbxContent>
                        </wps:txbx>
                        <wps:bodyPr lIns="36000" tIns="18000" rIns="36000" bIns="18000" anchor="ctr"/>
                      </wps:wsp>
                      <wps:wsp>
                        <wps:cNvPr id="213" name="Text Box 213"/>
                        <wps:cNvSpPr txBox="1"/>
                        <wps:spPr>
                          <a:xfrm>
                            <a:off x="1866900" y="447675"/>
                            <a:ext cx="1600403" cy="322769"/>
                          </a:xfrm>
                          <a:prstGeom prst="roundRect">
                            <a:avLst>
                              <a:gd name="adj" fmla="val 16667"/>
                            </a:avLst>
                          </a:prstGeom>
                          <a:solidFill>
                            <a:srgbClr val="3D5C4A"/>
                          </a:solidFill>
                          <a:ln w="6350">
                            <a:solidFill>
                              <a:srgbClr val="8AA38A"/>
                            </a:solidFill>
                          </a:ln>
                        </wps:spPr>
                        <wps:txbx>
                          <w:txbxContent>
                            <w:p w:rsidR="00C17338" w:rsidRPr="00D63DDF" w:rsidRDefault="00C17338" w:rsidP="00C17338">
                              <w:pPr>
                                <w:spacing w:after="0" w:line="240" w:lineRule="auto"/>
                                <w:jc w:val="center"/>
                                <w:rPr>
                                  <w:rFonts w:cs="B Titr"/>
                                  <w:cs w:val="0"/>
                                </w:rPr>
                              </w:pPr>
                              <w:r w:rsidRPr="00D63DDF">
                                <w:rPr>
                                  <w:rFonts w:cs="B Titr"/>
                                  <w:color w:val="FFFFFF"/>
                                  <w:sz w:val="16"/>
                                  <w:szCs w:val="16"/>
                                  <w:cs w:val="0"/>
                                </w:rPr>
                                <w:t>مدل‌های نظری</w:t>
                              </w:r>
                            </w:p>
                          </w:txbxContent>
                        </wps:txbx>
                        <wps:bodyPr lIns="36000" tIns="18000" rIns="36000" bIns="18000" anchor="ctr"/>
                      </wps:wsp>
                      <wps:wsp>
                        <wps:cNvPr id="214" name="Text Box 214"/>
                        <wps:cNvSpPr txBox="1"/>
                        <wps:spPr>
                          <a:xfrm>
                            <a:off x="0" y="447675"/>
                            <a:ext cx="1600403" cy="322769"/>
                          </a:xfrm>
                          <a:prstGeom prst="roundRect">
                            <a:avLst>
                              <a:gd name="adj" fmla="val 16667"/>
                            </a:avLst>
                          </a:prstGeom>
                          <a:solidFill>
                            <a:srgbClr val="3D5C4A"/>
                          </a:solidFill>
                          <a:ln w="6350">
                            <a:solidFill>
                              <a:srgbClr val="8AA38A"/>
                            </a:solidFill>
                          </a:ln>
                        </wps:spPr>
                        <wps:txbx>
                          <w:txbxContent>
                            <w:p w:rsidR="00C17338" w:rsidRPr="00D63DDF" w:rsidRDefault="00C17338" w:rsidP="00C17338">
                              <w:pPr>
                                <w:spacing w:after="0" w:line="240" w:lineRule="auto"/>
                                <w:jc w:val="center"/>
                                <w:rPr>
                                  <w:rFonts w:cs="B Titr"/>
                                  <w:cs w:val="0"/>
                                </w:rPr>
                              </w:pPr>
                              <w:r w:rsidRPr="00D63DDF">
                                <w:rPr>
                                  <w:rFonts w:cs="B Titr"/>
                                  <w:color w:val="FFFFFF"/>
                                  <w:sz w:val="16"/>
                                  <w:szCs w:val="16"/>
                                  <w:cs w:val="0"/>
                                </w:rPr>
                                <w:t>سالمندی</w:t>
                              </w:r>
                            </w:p>
                          </w:txbxContent>
                        </wps:txbx>
                        <wps:bodyPr lIns="36000" tIns="18000" rIns="36000" bIns="18000" anchor="ctr"/>
                      </wps:wsp>
                      <wps:wsp>
                        <wps:cNvPr id="215" name="Text Box 215"/>
                        <wps:cNvSpPr txBox="1"/>
                        <wps:spPr>
                          <a:xfrm>
                            <a:off x="3752850" y="904875"/>
                            <a:ext cx="1600403" cy="454810"/>
                          </a:xfrm>
                          <a:prstGeom prst="roundRect">
                            <a:avLst>
                              <a:gd name="adj" fmla="val 16667"/>
                            </a:avLst>
                          </a:prstGeom>
                          <a:solidFill>
                            <a:srgbClr val="F7F4EC"/>
                          </a:solidFill>
                          <a:ln w="6350">
                            <a:solidFill>
                              <a:srgbClr val="8AA38A"/>
                            </a:solidFill>
                          </a:ln>
                        </wps:spPr>
                        <wps:txbx>
                          <w:txbxContent>
                            <w:p w:rsidR="00C17338" w:rsidRPr="00D63DDF" w:rsidRDefault="00C17338" w:rsidP="00C17338">
                              <w:pPr>
                                <w:spacing w:after="0" w:line="240" w:lineRule="auto"/>
                                <w:jc w:val="center"/>
                                <w:rPr>
                                  <w:rFonts w:cs="B Titr"/>
                                  <w:cs w:val="0"/>
                                </w:rPr>
                              </w:pPr>
                              <w:r w:rsidRPr="00D63DDF">
                                <w:rPr>
                                  <w:rFonts w:cs="B Titr"/>
                                  <w:color w:val="1F4E5F"/>
                                  <w:sz w:val="14"/>
                                  <w:szCs w:val="14"/>
                                  <w:cs w:val="0"/>
                                </w:rPr>
                                <w:t>شناختی-رفتاری</w:t>
                              </w:r>
                            </w:p>
                          </w:txbxContent>
                        </wps:txbx>
                        <wps:bodyPr lIns="36000" tIns="18000" rIns="36000" bIns="18000" anchor="ctr"/>
                      </wps:wsp>
                      <wps:wsp>
                        <wps:cNvPr id="216" name="Text Box 216"/>
                        <wps:cNvSpPr txBox="1"/>
                        <wps:spPr>
                          <a:xfrm>
                            <a:off x="1866900" y="904875"/>
                            <a:ext cx="1600403" cy="454810"/>
                          </a:xfrm>
                          <a:prstGeom prst="roundRect">
                            <a:avLst>
                              <a:gd name="adj" fmla="val 16667"/>
                            </a:avLst>
                          </a:prstGeom>
                          <a:solidFill>
                            <a:srgbClr val="F7F4EC"/>
                          </a:solidFill>
                          <a:ln w="6350">
                            <a:solidFill>
                              <a:srgbClr val="8AA38A"/>
                            </a:solidFill>
                          </a:ln>
                        </wps:spPr>
                        <wps:txbx>
                          <w:txbxContent>
                            <w:p w:rsidR="00C17338" w:rsidRPr="00D63DDF" w:rsidRDefault="00C17338" w:rsidP="00C17338">
                              <w:pPr>
                                <w:spacing w:after="0" w:line="240" w:lineRule="auto"/>
                                <w:jc w:val="center"/>
                                <w:rPr>
                                  <w:rFonts w:cs="B Titr"/>
                                  <w:cs w:val="0"/>
                                </w:rPr>
                              </w:pPr>
                              <w:r w:rsidRPr="00D63DDF">
                                <w:rPr>
                                  <w:rFonts w:cs="B Titr"/>
                                  <w:color w:val="1F4E5F"/>
                                  <w:sz w:val="14"/>
                                  <w:szCs w:val="14"/>
                                  <w:cs w:val="0"/>
                                </w:rPr>
                                <w:t>زیستی-روانی-</w:t>
                              </w:r>
                            </w:p>
                            <w:p w:rsidR="00C17338" w:rsidRPr="00D63DDF" w:rsidRDefault="00C17338" w:rsidP="00C17338">
                              <w:pPr>
                                <w:spacing w:after="0" w:line="240" w:lineRule="auto"/>
                                <w:jc w:val="center"/>
                                <w:rPr>
                                  <w:rFonts w:cs="B Titr"/>
                                  <w:cs w:val="0"/>
                                </w:rPr>
                              </w:pPr>
                              <w:r w:rsidRPr="00D63DDF">
                                <w:rPr>
                                  <w:rFonts w:cs="B Titr"/>
                                  <w:color w:val="1F4E5F"/>
                                  <w:sz w:val="14"/>
                                  <w:szCs w:val="14"/>
                                  <w:cs w:val="0"/>
                                </w:rPr>
                                <w:t>اجتماعی</w:t>
                              </w:r>
                            </w:p>
                          </w:txbxContent>
                        </wps:txbx>
                        <wps:bodyPr lIns="36000" tIns="18000" rIns="36000" bIns="18000" anchor="ctr"/>
                      </wps:wsp>
                      <wps:wsp>
                        <wps:cNvPr id="217" name="Text Box 217"/>
                        <wps:cNvSpPr txBox="1"/>
                        <wps:spPr>
                          <a:xfrm>
                            <a:off x="0" y="904875"/>
                            <a:ext cx="1600403" cy="454810"/>
                          </a:xfrm>
                          <a:prstGeom prst="roundRect">
                            <a:avLst>
                              <a:gd name="adj" fmla="val 16667"/>
                            </a:avLst>
                          </a:prstGeom>
                          <a:solidFill>
                            <a:srgbClr val="F7F4EC"/>
                          </a:solidFill>
                          <a:ln w="6350">
                            <a:solidFill>
                              <a:srgbClr val="8AA38A"/>
                            </a:solidFill>
                          </a:ln>
                        </wps:spPr>
                        <wps:txbx>
                          <w:txbxContent>
                            <w:p w:rsidR="00C17338" w:rsidRPr="00D63DDF" w:rsidRDefault="00C17338" w:rsidP="00C17338">
                              <w:pPr>
                                <w:spacing w:after="0" w:line="240" w:lineRule="auto"/>
                                <w:jc w:val="center"/>
                                <w:rPr>
                                  <w:rFonts w:cs="B Titr"/>
                                  <w:cs w:val="0"/>
                                </w:rPr>
                              </w:pPr>
                              <w:r w:rsidRPr="00D63DDF">
                                <w:rPr>
                                  <w:rFonts w:cs="B Titr"/>
                                  <w:color w:val="1F4E5F"/>
                                  <w:sz w:val="14"/>
                                  <w:szCs w:val="14"/>
                                  <w:cs w:val="0"/>
                                </w:rPr>
                                <w:t>دلبستگی</w:t>
                              </w:r>
                            </w:p>
                          </w:txbxContent>
                        </wps:txbx>
                        <wps:bodyPr lIns="36000" tIns="18000" rIns="36000" bIns="18000" anchor="ctr"/>
                      </wps:wsp>
                      <wps:wsp>
                        <wps:cNvPr id="218" name="Text Box 218"/>
                        <wps:cNvSpPr txBox="1"/>
                        <wps:spPr>
                          <a:xfrm>
                            <a:off x="2857500" y="1504950"/>
                            <a:ext cx="2011935" cy="322769"/>
                          </a:xfrm>
                          <a:prstGeom prst="roundRect">
                            <a:avLst>
                              <a:gd name="adj" fmla="val 16667"/>
                            </a:avLst>
                          </a:prstGeom>
                          <a:solidFill>
                            <a:srgbClr val="F7F4EC"/>
                          </a:solidFill>
                          <a:ln w="6350">
                            <a:solidFill>
                              <a:srgbClr val="8AA38A"/>
                            </a:solidFill>
                          </a:ln>
                        </wps:spPr>
                        <wps:txbx>
                          <w:txbxContent>
                            <w:p w:rsidR="00C17338" w:rsidRPr="00D63DDF" w:rsidRDefault="00C17338" w:rsidP="00C17338">
                              <w:pPr>
                                <w:spacing w:after="0" w:line="240" w:lineRule="auto"/>
                                <w:jc w:val="center"/>
                                <w:rPr>
                                  <w:rFonts w:cs="B Titr"/>
                                  <w:cs w:val="0"/>
                                </w:rPr>
                              </w:pPr>
                              <w:r w:rsidRPr="00D63DDF">
                                <w:rPr>
                                  <w:rFonts w:cs="B Titr"/>
                                  <w:color w:val="1F4E5F"/>
                                  <w:sz w:val="15"/>
                                  <w:szCs w:val="15"/>
                                  <w:cs w:val="0"/>
                                </w:rPr>
                                <w:t>عوامل زمینه‌ساز</w:t>
                              </w:r>
                            </w:p>
                          </w:txbxContent>
                        </wps:txbx>
                        <wps:bodyPr lIns="36000" tIns="18000" rIns="36000" bIns="18000" anchor="ctr"/>
                      </wps:wsp>
                      <wps:wsp>
                        <wps:cNvPr id="219" name="Text Box 219"/>
                        <wps:cNvSpPr txBox="1"/>
                        <wps:spPr>
                          <a:xfrm>
                            <a:off x="476250" y="1504950"/>
                            <a:ext cx="2011935" cy="322769"/>
                          </a:xfrm>
                          <a:prstGeom prst="roundRect">
                            <a:avLst>
                              <a:gd name="adj" fmla="val 16667"/>
                            </a:avLst>
                          </a:prstGeom>
                          <a:solidFill>
                            <a:srgbClr val="F7F4EC"/>
                          </a:solidFill>
                          <a:ln w="6350">
                            <a:solidFill>
                              <a:srgbClr val="8AA38A"/>
                            </a:solidFill>
                          </a:ln>
                        </wps:spPr>
                        <wps:txbx>
                          <w:txbxContent>
                            <w:p w:rsidR="00C17338" w:rsidRPr="00D63DDF" w:rsidRDefault="00C17338" w:rsidP="00C17338">
                              <w:pPr>
                                <w:spacing w:after="0" w:line="240" w:lineRule="auto"/>
                                <w:jc w:val="center"/>
                                <w:rPr>
                                  <w:rFonts w:cs="B Titr"/>
                                  <w:cs w:val="0"/>
                                </w:rPr>
                              </w:pPr>
                              <w:r w:rsidRPr="00D63DDF">
                                <w:rPr>
                                  <w:rFonts w:cs="B Titr"/>
                                  <w:color w:val="1F4E5F"/>
                                  <w:sz w:val="15"/>
                                  <w:szCs w:val="15"/>
                                  <w:cs w:val="0"/>
                                </w:rPr>
                                <w:t>مداخلات</w:t>
                              </w:r>
                            </w:p>
                          </w:txbxContent>
                        </wps:txbx>
                        <wps:bodyPr lIns="36000" tIns="18000" rIns="36000" bIns="18000" anchor="ctr"/>
                      </wps:wsp>
                    </wpg:wgp>
                  </a:graphicData>
                </a:graphic>
              </wp:inline>
            </w:drawing>
          </mc:Choice>
          <mc:Fallback>
            <w:pict>
              <v:group w14:anchorId="375153BF" id="Group 210" o:spid="_x0000_s1062" style="width:421.5pt;height:143.9pt;mso-position-horizontal-relative:char;mso-position-vertical-relative:line" coordsize="53532,182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">
                <v:roundrect id="Text Box 211" o:spid="_x0000_s1063" style="position:absolute;left:13906;width:25606;height:3227;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7AyIMUA&#10;AADcAAAADwAAAGRycy9kb3ducmV2LnhtbESP3WrCQBSE74W+w3IK3tVNBMWmrlIKgn+gTfsAh+xp&#10;NjR7Ns2uJvr0rlDwcpiZb5j5sre1OFPrK8cK0lECgrhwuuJSwffX6mUGwgdkjbVjUnAhD8vF02CO&#10;mXYdf9I5D6WIEPYZKjAhNJmUvjBk0Y9cQxy9H9daDFG2pdQtdhFuazlOkqm0WHFcMNjQh6HiNz9Z&#10;BX+pS4y7nvLJZr/bGlke96+HTqnhc//+BiJQHx7h//ZaKxinKdzPxCM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sDIgxQAAANwAAAAPAAAAAAAAAAAAAAAAAJgCAABkcnMv&#10;ZG93bnJldi54bWxQSwUGAAAAAAQABAD1AAAAigMAAAAA&#10;" fillcolor="#1f4e5f" strokecolor="#8aa38a" strokeweight=".5pt">
                  <v:textbox inset="1mm,.5mm,1mm,.5mm">
                    <w:txbxContent>
                      <w:p w:rsidR="00C17338" w:rsidRPr="00D63DDF" w:rsidRDefault="00C17338" w:rsidP="00C17338">
                        <w:pPr>
                          <w:spacing w:after="0" w:line="240" w:lineRule="auto"/>
                          <w:jc w:val="center"/>
                          <w:rPr>
                            <w:rFonts w:cs="B Titr"/>
                            <w:cs w:val="0"/>
                          </w:rPr>
                        </w:pPr>
                        <w:r w:rsidRPr="00D63DDF">
                          <w:rPr>
                            <w:rFonts w:cs="B Titr"/>
                            <w:color w:val="FFFFFF"/>
                            <w:sz w:val="22"/>
                            <w:szCs w:val="22"/>
                            <w:cs w:val="0"/>
                          </w:rPr>
                          <w:t>اضطراب سلامت</w:t>
                        </w:r>
                      </w:p>
                    </w:txbxContent>
                  </v:textbox>
                </v:roundrect>
                <v:roundrect id="Text Box 212" o:spid="_x0000_s1064" style="position:absolute;left:37528;top:4476;width:16004;height:322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hGfgsUA&#10;AADcAAAADwAAAGRycy9kb3ducmV2LnhtbESPT2vCQBTE70K/w/KE3szGIKWkriJCS5FS0Xjo8Zl9&#10;JsHs25Dd/LGfvisUPA4z8xtmuR5NLXpqXWVZwTyKQRDnVldcKDhl77NXEM4ja6wtk4IbOVivniZL&#10;TLUd+ED90RciQNilqKD0vkmldHlJBl1kG+LgXWxr0AfZFlK3OAS4qWUSxy/SYMVhocSGtiXl12Nn&#10;FGDtso/v86/pbl/X/rDfLfgy/ij1PB03byA8jf4R/m9/agXJPIH7mXAE5Oo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EZ+CxQAAANwAAAAPAAAAAAAAAAAAAAAAAJgCAABkcnMv&#10;ZG93bnJldi54bWxQSwUGAAAAAAQABAD1AAAAigMAAAAA&#10;" fillcolor="#3d5c4a" strokecolor="#8aa38a" strokeweight=".5pt">
                  <v:textbox inset="1mm,.5mm,1mm,.5mm">
                    <w:txbxContent>
                      <w:p w:rsidR="00C17338" w:rsidRPr="00D63DDF" w:rsidRDefault="00C17338" w:rsidP="00C17338">
                        <w:pPr>
                          <w:spacing w:after="0" w:line="240" w:lineRule="auto"/>
                          <w:jc w:val="center"/>
                          <w:rPr>
                            <w:rFonts w:cs="B Titr"/>
                            <w:cs w:val="0"/>
                          </w:rPr>
                        </w:pPr>
                        <w:r w:rsidRPr="00D63DDF">
                          <w:rPr>
                            <w:rFonts w:cs="B Titr"/>
                            <w:color w:val="FFFFFF"/>
                            <w:sz w:val="16"/>
                            <w:szCs w:val="16"/>
                            <w:cs w:val="0"/>
                          </w:rPr>
                          <w:t>مفهوم</w:t>
                        </w:r>
                      </w:p>
                    </w:txbxContent>
                  </v:textbox>
                </v:roundrect>
                <v:roundrect id="Text Box 213" o:spid="_x0000_s1065" style="position:absolute;left:18669;top:4476;width:16004;height:322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06GcUA&#10;AADcAAAADwAAAGRycy9kb3ducmV2LnhtbESPT4vCMBTE7wt+h/AEb2vqHxapRhFBkWVxsXrw+Gye&#10;bbF5KU2s1U9vFhY8DjPzG2a2aE0pGqpdYVnBoB+BIE6tLjhTcDysPycgnEfWWFomBQ9ysJh3PmYY&#10;a3vnPTWJz0SAsItRQe59FUvp0pwMur6tiIN3sbVBH2SdSV3jPcBNKYdR9CUNFhwWcqxolVN6TW5G&#10;AZbusNmdn+b2+Lk2+9/vMV/ak1K9brucgvDU+nf4v73VCoaDEfydCUdAz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XToZxQAAANwAAAAPAAAAAAAAAAAAAAAAAJgCAABkcnMv&#10;ZG93bnJldi54bWxQSwUGAAAAAAQABAD1AAAAigMAAAAA&#10;" fillcolor="#3d5c4a" strokecolor="#8aa38a" strokeweight=".5pt">
                  <v:textbox inset="1mm,.5mm,1mm,.5mm">
                    <w:txbxContent>
                      <w:p w:rsidR="00C17338" w:rsidRPr="00D63DDF" w:rsidRDefault="00C17338" w:rsidP="00C17338">
                        <w:pPr>
                          <w:spacing w:after="0" w:line="240" w:lineRule="auto"/>
                          <w:jc w:val="center"/>
                          <w:rPr>
                            <w:rFonts w:cs="B Titr"/>
                            <w:cs w:val="0"/>
                          </w:rPr>
                        </w:pPr>
                        <w:r w:rsidRPr="00D63DDF">
                          <w:rPr>
                            <w:rFonts w:cs="B Titr"/>
                            <w:color w:val="FFFFFF"/>
                            <w:sz w:val="16"/>
                            <w:szCs w:val="16"/>
                            <w:cs w:val="0"/>
                          </w:rPr>
                          <w:t>مدل‌های نظری</w:t>
                        </w:r>
                      </w:p>
                    </w:txbxContent>
                  </v:textbox>
                </v:roundrect>
                <v:roundrect id="Text Box 214" o:spid="_x0000_s1066" style="position:absolute;top:4476;width:16004;height:322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rSibcUA&#10;AADcAAAADwAAAGRycy9kb3ducmV2LnhtbESPT2vCQBTE74LfYXlCb7pRpEh0FRGUUkqLSQ89PrPP&#10;JJh9G7Jr/vTTdwuCx2FmfsNsdr2pREuNKy0rmM8iEMSZ1SXnCr7T43QFwnlkjZVlUjCQg912PNpg&#10;rG3HZ2oTn4sAYRejgsL7OpbSZQUZdDNbEwfvahuDPsgml7rBLsBNJRdR9CoNlhwWCqzpUFB2S+5G&#10;AVYuPX1efs19+Li156/3JV/7H6VeJv1+DcJT75/hR/tNK1jMl/B/JhwBuf0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tKJtxQAAANwAAAAPAAAAAAAAAAAAAAAAAJgCAABkcnMv&#10;ZG93bnJldi54bWxQSwUGAAAAAAQABAD1AAAAigMAAAAA&#10;" fillcolor="#3d5c4a" strokecolor="#8aa38a" strokeweight=".5pt">
                  <v:textbox inset="1mm,.5mm,1mm,.5mm">
                    <w:txbxContent>
                      <w:p w:rsidR="00C17338" w:rsidRPr="00D63DDF" w:rsidRDefault="00C17338" w:rsidP="00C17338">
                        <w:pPr>
                          <w:spacing w:after="0" w:line="240" w:lineRule="auto"/>
                          <w:jc w:val="center"/>
                          <w:rPr>
                            <w:rFonts w:cs="B Titr"/>
                            <w:cs w:val="0"/>
                          </w:rPr>
                        </w:pPr>
                        <w:r w:rsidRPr="00D63DDF">
                          <w:rPr>
                            <w:rFonts w:cs="B Titr"/>
                            <w:color w:val="FFFFFF"/>
                            <w:sz w:val="16"/>
                            <w:szCs w:val="16"/>
                            <w:cs w:val="0"/>
                          </w:rPr>
                          <w:t>سالمندی</w:t>
                        </w:r>
                      </w:p>
                    </w:txbxContent>
                  </v:textbox>
                </v:roundrect>
                <v:roundrect id="Text Box 215" o:spid="_x0000_s1067" style="position:absolute;left:37528;top:9048;width:16004;height:45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fAQ8MA&#10;AADcAAAADwAAAGRycy9kb3ducmV2LnhtbESP0WoCMRRE3wv+Q7iCL0WzK1hkNYoIRZ9sV/2Ay+a6&#10;WdzcrEmq69+bQqGPw8ycYZbr3rbiTj40jhXkkwwEceV0w7WC8+lzPAcRIrLG1jEpeFKA9WrwtsRC&#10;uweXdD/GWiQIhwIVmBi7QspQGbIYJq4jTt7FeYsxSV9L7fGR4LaV0yz7kBYbTgsGO9oaqq7HH6vg&#10;dDuY0l3Lr1n+bsPuu/SXmr1So2G/WYCI1Mf/8F97rxVM8xn8nklH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FfAQ8MAAADcAAAADwAAAAAAAAAAAAAAAACYAgAAZHJzL2Rv&#10;d25yZXYueG1sUEsFBgAAAAAEAAQA9QAAAIgDAAAAAA==&#10;" fillcolor="#f7f4ec" strokecolor="#8aa38a" strokeweight=".5pt">
                  <v:textbox inset="1mm,.5mm,1mm,.5mm">
                    <w:txbxContent>
                      <w:p w:rsidR="00C17338" w:rsidRPr="00D63DDF" w:rsidRDefault="00C17338" w:rsidP="00C17338">
                        <w:pPr>
                          <w:spacing w:after="0" w:line="240" w:lineRule="auto"/>
                          <w:jc w:val="center"/>
                          <w:rPr>
                            <w:rFonts w:cs="B Titr"/>
                            <w:cs w:val="0"/>
                          </w:rPr>
                        </w:pPr>
                        <w:r w:rsidRPr="00D63DDF">
                          <w:rPr>
                            <w:rFonts w:cs="B Titr"/>
                            <w:color w:val="1F4E5F"/>
                            <w:sz w:val="14"/>
                            <w:szCs w:val="14"/>
                            <w:cs w:val="0"/>
                          </w:rPr>
                          <w:t>شناختی-رفتاری</w:t>
                        </w:r>
                      </w:p>
                    </w:txbxContent>
                  </v:textbox>
                </v:roundrect>
                <v:roundrect id="Text Box 216" o:spid="_x0000_s1068" style="position:absolute;left:18669;top:9048;width:16004;height:45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IVeNMMA&#10;AADcAAAADwAAAGRycy9kb3ducmV2LnhtbESP0WoCMRRE3wv+Q7iCL0WzK1RkNYoIRZ9sV/2Ay+a6&#10;WdzcrEmq69+bQqGPw8ycYZbr3rbiTj40jhXkkwwEceV0w7WC8+lzPAcRIrLG1jEpeFKA9WrwtsRC&#10;uweXdD/GWiQIhwIVmBi7QspQGbIYJq4jTt7FeYsxSV9L7fGR4LaV0yybSYsNpwWDHW0NVdfjj1Vw&#10;uh1M6a7l10f+bsPuu/SXmr1So2G/WYCI1Mf/8F97rxVM8xn8nklHQK5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IVeNMMAAADcAAAADwAAAAAAAAAAAAAAAACYAgAAZHJzL2Rv&#10;d25yZXYueG1sUEsFBgAAAAAEAAQA9QAAAIgDAAAAAA==&#10;" fillcolor="#f7f4ec" strokecolor="#8aa38a" strokeweight=".5pt">
                  <v:textbox inset="1mm,.5mm,1mm,.5mm">
                    <w:txbxContent>
                      <w:p w:rsidR="00C17338" w:rsidRPr="00D63DDF" w:rsidRDefault="00C17338" w:rsidP="00C17338">
                        <w:pPr>
                          <w:spacing w:after="0" w:line="240" w:lineRule="auto"/>
                          <w:jc w:val="center"/>
                          <w:rPr>
                            <w:rFonts w:cs="B Titr"/>
                            <w:cs w:val="0"/>
                          </w:rPr>
                        </w:pPr>
                        <w:r w:rsidRPr="00D63DDF">
                          <w:rPr>
                            <w:rFonts w:cs="B Titr"/>
                            <w:color w:val="1F4E5F"/>
                            <w:sz w:val="14"/>
                            <w:szCs w:val="14"/>
                            <w:cs w:val="0"/>
                          </w:rPr>
                          <w:t>زیستی-روانی-</w:t>
                        </w:r>
                      </w:p>
                      <w:p w:rsidR="00C17338" w:rsidRPr="00D63DDF" w:rsidRDefault="00C17338" w:rsidP="00C17338">
                        <w:pPr>
                          <w:spacing w:after="0" w:line="240" w:lineRule="auto"/>
                          <w:jc w:val="center"/>
                          <w:rPr>
                            <w:rFonts w:cs="B Titr"/>
                            <w:cs w:val="0"/>
                          </w:rPr>
                        </w:pPr>
                        <w:r w:rsidRPr="00D63DDF">
                          <w:rPr>
                            <w:rFonts w:cs="B Titr"/>
                            <w:color w:val="1F4E5F"/>
                            <w:sz w:val="14"/>
                            <w:szCs w:val="14"/>
                            <w:cs w:val="0"/>
                          </w:rPr>
                          <w:t>اجتماعی</w:t>
                        </w:r>
                      </w:p>
                    </w:txbxContent>
                  </v:textbox>
                </v:roundrect>
                <v:roundrect id="Text Box 217" o:spid="_x0000_s1069" style="position:absolute;top:9048;width:16004;height:454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n7r8MA&#10;AADcAAAADwAAAGRycy9kb3ducmV2LnhtbESP0WoCMRRE3wX/IVzBF6nZFayyNUoRRJ9sV/2Ay+a6&#10;WdzcbJOo279vCoU+DjNzhlltetuKB/nQOFaQTzMQxJXTDdcKLufdyxJEiMgaW8ek4JsCbNbDwQoL&#10;7Z5c0uMUa5EgHApUYGLsCilDZchimLqOOHlX5y3GJH0ttcdngttWzrLsVVpsOC0Y7GhrqLqd7lbB&#10;+etoSncrP+b5xIb9Z+mvNXulxqP+/Q1EpD7+h//aB61gli/g90w6An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n7r8MAAADcAAAADwAAAAAAAAAAAAAAAACYAgAAZHJzL2Rv&#10;d25yZXYueG1sUEsFBgAAAAAEAAQA9QAAAIgDAAAAAA==&#10;" fillcolor="#f7f4ec" strokecolor="#8aa38a" strokeweight=".5pt">
                  <v:textbox inset="1mm,.5mm,1mm,.5mm">
                    <w:txbxContent>
                      <w:p w:rsidR="00C17338" w:rsidRPr="00D63DDF" w:rsidRDefault="00C17338" w:rsidP="00C17338">
                        <w:pPr>
                          <w:spacing w:after="0" w:line="240" w:lineRule="auto"/>
                          <w:jc w:val="center"/>
                          <w:rPr>
                            <w:rFonts w:cs="B Titr"/>
                            <w:cs w:val="0"/>
                          </w:rPr>
                        </w:pPr>
                        <w:r w:rsidRPr="00D63DDF">
                          <w:rPr>
                            <w:rFonts w:cs="B Titr"/>
                            <w:color w:val="1F4E5F"/>
                            <w:sz w:val="14"/>
                            <w:szCs w:val="14"/>
                            <w:cs w:val="0"/>
                          </w:rPr>
                          <w:t>دلبستگی</w:t>
                        </w:r>
                      </w:p>
                    </w:txbxContent>
                  </v:textbox>
                </v:roundrect>
                <v:roundrect id="Text Box 218" o:spid="_x0000_s1070" style="position:absolute;left:28575;top:15049;width:20119;height:322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v3b8A&#10;AADcAAAADwAAAGRycy9kb3ducmV2LnhtbERPzYrCMBC+C75DGGEvsqYVFKlGkQXZPanVfYChGZti&#10;M+kmUbtvbw6Cx4/vf7XpbSvu5EPjWEE+yUAQV043XCv4Pe8+FyBCRNbYOiYF/xRgsx4OVlho9+CS&#10;7qdYixTCoUAFJsaukDJUhiyGieuIE3dx3mJM0NdSe3ykcNvKaZbNpcWGU4PBjr4MVdfTzSo4/+1N&#10;6a7lYZaPbfg+lv5Ss1fqY9RvlyAi9fEtfrl/tIJpntamM+kIyPUT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Vm/dvwAAANwAAAAPAAAAAAAAAAAAAAAAAJgCAABkcnMvZG93bnJl&#10;di54bWxQSwUGAAAAAAQABAD1AAAAhAMAAAAA&#10;" fillcolor="#f7f4ec" strokecolor="#8aa38a" strokeweight=".5pt">
                  <v:textbox inset="1mm,.5mm,1mm,.5mm">
                    <w:txbxContent>
                      <w:p w:rsidR="00C17338" w:rsidRPr="00D63DDF" w:rsidRDefault="00C17338" w:rsidP="00C17338">
                        <w:pPr>
                          <w:spacing w:after="0" w:line="240" w:lineRule="auto"/>
                          <w:jc w:val="center"/>
                          <w:rPr>
                            <w:rFonts w:cs="B Titr"/>
                            <w:cs w:val="0"/>
                          </w:rPr>
                        </w:pPr>
                        <w:r w:rsidRPr="00D63DDF">
                          <w:rPr>
                            <w:rFonts w:cs="B Titr"/>
                            <w:color w:val="1F4E5F"/>
                            <w:sz w:val="15"/>
                            <w:szCs w:val="15"/>
                            <w:cs w:val="0"/>
                          </w:rPr>
                          <w:t>عوامل زمینه‌ساز</w:t>
                        </w:r>
                      </w:p>
                    </w:txbxContent>
                  </v:textbox>
                </v:roundrect>
                <v:roundrect id="Text Box 219" o:spid="_x0000_s1071" style="position:absolute;left:4762;top:15049;width:20119;height:3228;visibility:visible;mso-wrap-style:square;v-text-anchor:middle" arcsize="10923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RrKRsMA&#10;AADcAAAADwAAAGRycy9kb3ducmV2LnhtbESP0WoCMRRE3wX/IVzBF6nZFSy6NUoRRJ9sV/2Ay+a6&#10;WdzcbJOo279vCoU+DjNzhlltetuKB/nQOFaQTzMQxJXTDdcKLufdywJEiMgaW8ek4JsCbNbDwQoL&#10;7Z5c0uMUa5EgHApUYGLsCilDZchimLqOOHlX5y3GJH0ttcdngttWzrLsVVpsOC0Y7GhrqLqd7lbB&#10;+etoSncrP+b5xIb9Z+mvNXulxqP+/Q1EpD7+h//aB61gli/h90w6AnL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RrKRsMAAADcAAAADwAAAAAAAAAAAAAAAACYAgAAZHJzL2Rv&#10;d25yZXYueG1sUEsFBgAAAAAEAAQA9QAAAIgDAAAAAA==&#10;" fillcolor="#f7f4ec" strokecolor="#8aa38a" strokeweight=".5pt">
                  <v:textbox inset="1mm,.5mm,1mm,.5mm">
                    <w:txbxContent>
                      <w:p w:rsidR="00C17338" w:rsidRPr="00D63DDF" w:rsidRDefault="00C17338" w:rsidP="00C17338">
                        <w:pPr>
                          <w:spacing w:after="0" w:line="240" w:lineRule="auto"/>
                          <w:jc w:val="center"/>
                          <w:rPr>
                            <w:rFonts w:cs="B Titr"/>
                            <w:cs w:val="0"/>
                          </w:rPr>
                        </w:pPr>
                        <w:r w:rsidRPr="00D63DDF">
                          <w:rPr>
                            <w:rFonts w:cs="B Titr"/>
                            <w:color w:val="1F4E5F"/>
                            <w:sz w:val="15"/>
                            <w:szCs w:val="15"/>
                            <w:cs w:val="0"/>
                          </w:rPr>
                          <w:t>مداخلات</w:t>
                        </w:r>
                      </w:p>
                    </w:txbxContent>
                  </v:textbox>
                </v:roundrect>
                <w10:anchorlock/>
              </v:group>
            </w:pict>
          </mc:Fallback>
        </mc:AlternateContent>
      </w:r>
      <w:bookmarkStart w:id="85" w:name="_TocFig004"/>
      <w:r w:rsidR="002D5E38">
        <w:rPr>
          <w:cs w:val="0"/>
        </w:rPr>
        <w:t>شکل</w:t>
      </w:r>
      <w:r w:rsidR="002D5E38">
        <w:fldChar w:fldCharType="begin"/>
      </w:r>
      <w:r w:rsidR="002D5E38">
        <w:rPr>
          <w:cs w:val="0"/>
        </w:rPr>
        <w:instrText xml:space="preserve"> SEQ شکل \* ARABIC </w:instrText>
      </w:r>
      <w:r w:rsidR="002D5E38">
        <w:fldChar w:fldCharType="separate"/>
      </w:r>
      <w:r w:rsidR="00D419F3">
        <w:rPr>
          <w:noProof/>
          <w:cs w:val="0"/>
        </w:rPr>
        <w:t>4</w:t>
      </w:r>
      <w:r w:rsidR="002D5E38">
        <w:fldChar w:fldCharType="end"/>
      </w:r>
      <w:r w:rsidR="002D5E38">
        <w:rPr>
          <w:cs w:val="0"/>
        </w:rPr>
        <w:t>- درختواره اضطراب سلامت (مفهوم، مدل‌های نظری، عوامل و مداخلات)</w:t>
      </w:r>
      <w:bookmarkEnd w:id="85"/>
    </w:p>
    <w:p w:rsidR="008908D0" w:rsidRPr="00C17338" w:rsidRDefault="002D5E38" w:rsidP="00C17338">
      <w:pPr>
        <w:pStyle w:val="Heading3"/>
        <w:rPr>
          <w:cs w:val="0"/>
        </w:rPr>
      </w:pPr>
      <w:bookmarkStart w:id="86" w:name="_Toc239015140"/>
      <w:bookmarkStart w:id="87" w:name="_Toc239431999"/>
      <w:r w:rsidRPr="00C17338">
        <w:rPr>
          <w:cs w:val="0"/>
        </w:rPr>
        <w:t>۲-۴-۱- مفهوم اضطراب سلامتی</w:t>
      </w:r>
      <w:bookmarkEnd w:id="86"/>
      <w:bookmarkEnd w:id="87"/>
    </w:p>
    <w:p w:rsidR="008908D0" w:rsidRDefault="002D5E38">
      <w:pPr>
        <w:spacing w:after="0" w:line="276" w:lineRule="auto"/>
        <w:ind w:firstLine="397"/>
        <w:jc w:val="both"/>
        <w:rPr>
          <w:color w:val="auto"/>
          <w:cs w:val="0"/>
        </w:rPr>
      </w:pPr>
      <w:r>
        <w:rPr>
          <w:rFonts w:hint="cs"/>
          <w:cs w:val="0"/>
        </w:rPr>
        <w:t>اضطراب سلامت یکی از سازه‌های مهم در روان‌شناسی سلامت و آسیب‌شناسی روانی است که به نگرانی و اشتغال ذهنی مداوم درباره ابتلا به بیماری یا احتمال بیمار شدن اشاره دارد. در این وضعیت، فرد ممکن است نشانه‌های جسمانی طبیعی یا خفیف را به‌عنوان نشانه‌ای از بیماری جدی تفسیر کند و حتی پس از دریافت اطمینان پزشکی همچنان نسبت به وضعیت سلامت خود نگران باقی بماند. تداوم این نگرانی‌ها می‌تواند با اختلال در عملکرد روزمره، افزایش مراجعه به خدمات پزشکی و کاهش بهزیستی و کیفیت زندگی همراه باشد؛ سالمندان به دلیل افزایش شیوع بیماری‌های مزمن، تغییرات جسمانی مرتبط با افزایش سن، کاهش توانایی‌های عملکردی و مواجهه بیشتر با تجربه‌هایی مانند بیماری، فقدان و مرگ، ممکن است با نگرانی‌های بیشتری درباره وضعیت سلامت خود مواجه شوند. این عوامل می‌توانند حساسیت فرد نسبت به نشانه‌های جسمانی را افزایش داده و در برخی سالمندان به شکل‌گیری یا تشدید نگرانی‌های مرتبط با سلامت منجر شوند (کیکاس</w:t>
      </w:r>
      <w:r>
        <w:rPr>
          <w:rStyle w:val="FootnoteReference"/>
        </w:rPr>
        <w:footnoteReference w:id="12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شناخت عوامل، مدل‌های نظری و پیامدهای اضطراب سلامتی در سالمندان می‌تواند راهگشای طراحی مداخلات روان‌شناختی مؤثر باشد.</w:t>
      </w:r>
    </w:p>
    <w:p w:rsidR="008908D0" w:rsidRDefault="002D5E38">
      <w:pPr>
        <w:spacing w:after="0" w:line="276" w:lineRule="auto"/>
        <w:ind w:firstLine="397"/>
        <w:jc w:val="both"/>
        <w:rPr>
          <w:color w:val="auto"/>
          <w:cs w:val="0"/>
        </w:rPr>
      </w:pPr>
      <w:r>
        <w:rPr>
          <w:rFonts w:hint="cs"/>
          <w:cs w:val="0"/>
        </w:rPr>
        <w:lastRenderedPageBreak/>
        <w:t>اضطراب سلامت به نگرانی و اشتغال ذهنی مداوم درباره ابتلا به یک بیماری جدی یا احتمال ابتلا به آن اشاره دارد. افراد دارای اضطراب سلامت ممکن است نشانه‌ها و احساسات جسمانی طبیعی یا خفیف را به‌صورت فاجعه‌آمیز تفسیر کرده و آن‌ها را نشانه‌ای از بیماری جدی تلقی کنند؛ این نگرانی‌ها می‌توانند حتی پس از دریافت اطمینان پزشکی نیز تداوم داشته باشند (کیکاس و همکاران، ۲۰۲۴).</w:t>
      </w:r>
    </w:p>
    <w:p w:rsidR="00C17338" w:rsidRDefault="002D5E38">
      <w:pPr>
        <w:spacing w:after="0" w:line="276" w:lineRule="auto"/>
        <w:ind w:firstLine="397"/>
        <w:jc w:val="both"/>
        <w:rPr>
          <w:rtl w:val="0"/>
          <w:cs w:val="0"/>
        </w:rPr>
      </w:pPr>
      <w:r>
        <w:rPr>
          <w:rFonts w:hint="cs"/>
          <w:cs w:val="0"/>
        </w:rPr>
        <w:t xml:space="preserve">در سالمندان، نگرانی‌های مرتبط با سلامت می‌تواند به صورت ترس از ابتلا یا پیشرفت بیماری، توجه و پایش بیش از حد نشانه‌های جسمانی و تفسیر تهدیدآمیز تغییرات بدنی بروز کند. </w:t>
      </w:r>
    </w:p>
    <w:p w:rsidR="008908D0" w:rsidRDefault="002D5E38">
      <w:pPr>
        <w:spacing w:after="0" w:line="276" w:lineRule="auto"/>
        <w:ind w:firstLine="397"/>
        <w:jc w:val="both"/>
        <w:rPr>
          <w:color w:val="auto"/>
          <w:cs w:val="0"/>
        </w:rPr>
      </w:pPr>
      <w:r>
        <w:rPr>
          <w:rFonts w:hint="cs"/>
          <w:cs w:val="0"/>
        </w:rPr>
        <w:t xml:space="preserve">در نظام تشخیصی </w:t>
      </w:r>
      <w:r>
        <w:rPr>
          <w:rFonts w:hint="cs"/>
          <w:rtl w:val="0"/>
          <w:cs w:val="0"/>
        </w:rPr>
        <w:t>DSM-5</w:t>
      </w:r>
      <w:r>
        <w:rPr>
          <w:rStyle w:val="FootnoteReference"/>
        </w:rPr>
        <w:footnoteReference w:id="122"/>
      </w:r>
      <w:r>
        <w:rPr>
          <w:rFonts w:hint="cs"/>
          <w:cs w:val="0"/>
        </w:rPr>
        <w:t>، مشکلات مرتبط با اضطراب سلامت عمدتاً در قالب «اختلال اضطراب بیماری» و «اختلال علائم جسمانی» مورد توجه قرار گرفته‌اند؛ در اختلال اضطراب بیماری، نگرانی مداوم درباره ابتلا یا احتمال ابتلا به یک بیماری جدی، همراه با پایش مکرر وضعیت سلامت و رفتارهایی مانند مراجعه مکرر برای اطمینان پزشکی یا بررسی بدن مشاهده می‌شود (کیکاس و همکاران، ۲۰۲۴).</w:t>
      </w:r>
    </w:p>
    <w:p w:rsidR="008908D0" w:rsidRDefault="002D5E38">
      <w:pPr>
        <w:spacing w:after="0" w:line="276" w:lineRule="auto"/>
        <w:ind w:firstLine="397"/>
        <w:jc w:val="both"/>
        <w:rPr>
          <w:color w:val="auto"/>
          <w:cs w:val="0"/>
        </w:rPr>
      </w:pPr>
      <w:r>
        <w:rPr>
          <w:rFonts w:hint="cs"/>
          <w:cs w:val="0"/>
        </w:rPr>
        <w:t>اضطراب سلامت را می‌توان از منظر شناختی ـ رفتاری در سه حوزه مرتبط با یکدیگر بررسی کرد. بعد شناختی شامل باورهای ناکارآمد درباره سلامت، توجه انتخابی به نشانه‌های بدنی و تفسیر فاجعه‌آمیز آن‌هاست؛ بعد هیجانی شامل ترس، نگرانی و اضطراب ناشی از احتمال بیماری است؛ و بعد رفتاری شامل رفتارهای ایمنی‌بخش مانند بررسی مکرر بدن، جست‌وجوی اطلاعات پزشکی، اطمینان‌خواهی از دیگران و مراجعه مکرر به مراکز درمانی است. این رفتارها اگرچه ممکن است در کوتاه‌مدت اضطراب را کاهش دهند، در بلندمدت می‌توانند موجب تداوم نگرانی‌های مرتبط با سلامت شوند (کیکاس</w:t>
      </w:r>
      <w:r>
        <w:rPr>
          <w:rStyle w:val="FootnoteReference"/>
        </w:rPr>
        <w:footnoteReference w:id="123"/>
      </w:r>
      <w:r>
        <w:rPr>
          <w:rFonts w:hint="cs"/>
          <w:cs w:val="0"/>
        </w:rPr>
        <w:t xml:space="preserve"> و همکاران، ۲۰۲۴؛ هالدورسون</w:t>
      </w:r>
      <w:r>
        <w:rPr>
          <w:rStyle w:val="FootnoteReference"/>
        </w:rPr>
        <w:footnoteReference w:id="124"/>
      </w:r>
      <w:r>
        <w:rPr>
          <w:rFonts w:hint="cs"/>
          <w:cs w:val="0"/>
        </w:rPr>
        <w:t xml:space="preserve"> و سالکووسکیس، ۲۰۲۳).</w:t>
      </w:r>
    </w:p>
    <w:p w:rsidR="008908D0" w:rsidRDefault="002D5E38">
      <w:pPr>
        <w:spacing w:after="0" w:line="276" w:lineRule="auto"/>
        <w:ind w:firstLine="397"/>
        <w:jc w:val="both"/>
        <w:rPr>
          <w:cs w:val="0"/>
        </w:rPr>
      </w:pPr>
      <w:r>
        <w:rPr>
          <w:cs w:val="0"/>
        </w:rPr>
        <w:t>در طبقه‌بندی‌های جدید، اضطراب سلامت در یک پیوستار دیده می‌شود؛ از نگرانی طبیعی تا اختلال اضطراب بیماری در DSM-5</w:t>
      </w:r>
      <w:r>
        <w:rPr>
          <w:rStyle w:val="FootnoteReference"/>
        </w:rPr>
        <w:footnoteReference w:id="125"/>
      </w:r>
      <w:r>
        <w:rPr>
          <w:cs w:val="0"/>
        </w:rPr>
        <w:t>-TR. این تمایز برای سالمندان اهمیت دارد، چون نشانه‌های جسمانی واقعی با تفسیر فاجعه‌آمیز همپوشانی پیدا می‌کنند (انجمن روان‌پزشکی آمریکا</w:t>
      </w:r>
      <w:r>
        <w:rPr>
          <w:rStyle w:val="FootnoteReference"/>
        </w:rPr>
        <w:footnoteReference w:id="126"/>
      </w:r>
      <w:r>
        <w:rPr>
          <w:cs w:val="0"/>
        </w:rPr>
        <w:t>، ۲۰۲۲؛ کیکاس و همکاران، ۲۰۲۴).</w:t>
      </w:r>
    </w:p>
    <w:p w:rsidR="008908D0" w:rsidRPr="00C17338" w:rsidRDefault="002D5E38" w:rsidP="00C17338">
      <w:pPr>
        <w:pStyle w:val="Heading3"/>
        <w:rPr>
          <w:cs w:val="0"/>
        </w:rPr>
      </w:pPr>
      <w:bookmarkStart w:id="88" w:name="_Toc239015141"/>
      <w:bookmarkStart w:id="89" w:name="_Toc239432000"/>
      <w:r w:rsidRPr="00C17338">
        <w:rPr>
          <w:cs w:val="0"/>
        </w:rPr>
        <w:lastRenderedPageBreak/>
        <w:t>۲-۴-۲- مدل‌های نظری اضطراب سلامتی</w:t>
      </w:r>
      <w:bookmarkEnd w:id="88"/>
      <w:bookmarkEnd w:id="89"/>
    </w:p>
    <w:p w:rsidR="008908D0" w:rsidRPr="00C17338" w:rsidRDefault="002D5E38" w:rsidP="00C17338">
      <w:pPr>
        <w:pStyle w:val="Heading4"/>
        <w:rPr>
          <w:cs w:val="0"/>
        </w:rPr>
      </w:pPr>
      <w:bookmarkStart w:id="90" w:name="_Toc239015142"/>
      <w:r w:rsidRPr="00C17338">
        <w:rPr>
          <w:cs w:val="0"/>
        </w:rPr>
        <w:t>۲-۴-۲-۱- مدل شناختی-رفتاری</w:t>
      </w:r>
      <w:bookmarkEnd w:id="90"/>
    </w:p>
    <w:p w:rsidR="008908D0" w:rsidRDefault="002D5E38">
      <w:pPr>
        <w:spacing w:after="0" w:line="276" w:lineRule="auto"/>
        <w:ind w:firstLine="397"/>
        <w:jc w:val="both"/>
        <w:rPr>
          <w:cs w:val="0"/>
        </w:rPr>
      </w:pPr>
      <w:r>
        <w:rPr>
          <w:rFonts w:hint="cs"/>
          <w:cs w:val="0"/>
        </w:rPr>
        <w:t>مدل شناختی ـ رفتاری اضطراب سلامت بیان می‌کند که افراد مبتلا به اضطراب سلامت ممکن است نشانه‌ها و احساسات جسمانی خفیف یا مبهم را به‌صورت منفی و فاجعه‌آمیز تفسیر کرده و آن‌ها را نشانه‌ای از وجود یک بیماری جدی بدانند. این تفسیرهای تهدیدآمیز می‌توانند موجب افزایش اضطراب و شکل‌گیری رفتارهای ایمنی‌بخش، مانند بررسی مکرر بدن و اطمینان‌خواهی پزشکی، شوند و از این طریق چرخه اضطراب سلامت را تداوم بخشند (کیکاس و همکاران، ۲۰۲۴). در سالمندان، تغییرات جسمانی و بروز نشانه‌های بدنی می‌تواند توجه فرد را نسبت به وضعیت سلامت افزایش دهد. در چارچوب مدل شناختی ـ رفتاری اضطراب سلامت، تفسیر تهدیدآمیز و فاجعه‌آمیز نشانه‌های جسمانی ممکن است موجب افزایش نگرانی درباره ابتلا به بیماری و شکل‌گیری رفتارهای ایمنی‌بخش، مانند بررسی مکرر بدن، اطمینان‌خواهی پزشکی و جست‌وجوی اطلاعات مربوط به بیماری شود. اگرچه این رفتارها ممکن است در کوتاه‌مدت اضطراب را کاهش دهند، در بلندمدت می‌توانند با جلوگیری از اصلاح باورهای ناکارآمد، به تداوم اضطراب سلامت کمک کنند. ازاین‌رو، اصلاح باورهای فاجعه‌آمیز و کاهش رفتارهای ایمنی‌بخش از مؤلفه‌های مهم درمان شناختی ـ رفتاری اضطراب سلامت محسوب می‌شوند (کیکاس و همکاران، ۲۰۲۴).</w:t>
      </w:r>
    </w:p>
    <w:p w:rsidR="008908D0" w:rsidRDefault="002D5E38">
      <w:pPr>
        <w:spacing w:after="0" w:line="276" w:lineRule="auto"/>
        <w:ind w:firstLine="397"/>
        <w:jc w:val="both"/>
        <w:rPr>
          <w:cs w:val="0"/>
        </w:rPr>
      </w:pPr>
      <w:r>
        <w:rPr>
          <w:cs w:val="0"/>
        </w:rPr>
        <w:t>صورت‌بندی کلاسیک این مدل را سالکووسکیس</w:t>
      </w:r>
      <w:r>
        <w:rPr>
          <w:rStyle w:val="FootnoteReference"/>
        </w:rPr>
        <w:footnoteReference w:id="127"/>
      </w:r>
      <w:r>
        <w:rPr>
          <w:cs w:val="0"/>
        </w:rPr>
        <w:t xml:space="preserve"> و وارویک</w:t>
      </w:r>
      <w:r>
        <w:rPr>
          <w:rStyle w:val="FootnoteReference"/>
        </w:rPr>
        <w:footnoteReference w:id="128"/>
      </w:r>
      <w:r>
        <w:rPr>
          <w:cs w:val="0"/>
        </w:rPr>
        <w:t xml:space="preserve"> ارائه کردند و منابع درمانی بعدی آن را بسط دادند. بر این اساس، اضطراب سلامت وقتی پایدار می‌شود که باورهای ناکارآمد درباره بیماری فعال شوند. این باورها معمولاً در چهار محور جای می‌گیرند:</w:t>
      </w:r>
    </w:p>
    <w:p w:rsidR="008908D0" w:rsidRDefault="002D5E38">
      <w:pPr>
        <w:spacing w:after="0" w:line="276" w:lineRule="auto"/>
        <w:ind w:firstLine="397"/>
        <w:jc w:val="both"/>
        <w:rPr>
          <w:cs w:val="0"/>
        </w:rPr>
      </w:pPr>
      <w:r>
        <w:rPr>
          <w:cs w:val="0"/>
        </w:rPr>
        <w:t>۱- باور به احتمال بالا یا حتی قطعی بودن ابتلا به بیماری، یا وجود پنهان آن؛</w:t>
      </w:r>
    </w:p>
    <w:p w:rsidR="008908D0" w:rsidRDefault="002D5E38">
      <w:pPr>
        <w:spacing w:after="0" w:line="276" w:lineRule="auto"/>
        <w:ind w:firstLine="397"/>
        <w:jc w:val="both"/>
        <w:rPr>
          <w:cs w:val="0"/>
        </w:rPr>
      </w:pPr>
      <w:r>
        <w:rPr>
          <w:cs w:val="0"/>
        </w:rPr>
        <w:t>۲- باور به وحشتناکی پیامدهای بیماری؛</w:t>
      </w:r>
    </w:p>
    <w:p w:rsidR="008908D0" w:rsidRDefault="002D5E38">
      <w:pPr>
        <w:spacing w:after="0" w:line="276" w:lineRule="auto"/>
        <w:ind w:firstLine="397"/>
        <w:jc w:val="both"/>
        <w:rPr>
          <w:cs w:val="0"/>
        </w:rPr>
      </w:pPr>
      <w:r>
        <w:rPr>
          <w:cs w:val="0"/>
        </w:rPr>
        <w:t>۳- باور به ناتوانی فرد در مقابله با بیماری؛</w:t>
      </w:r>
    </w:p>
    <w:p w:rsidR="008908D0" w:rsidRDefault="002D5E38">
      <w:pPr>
        <w:spacing w:after="0" w:line="276" w:lineRule="auto"/>
        <w:ind w:firstLine="397"/>
        <w:jc w:val="both"/>
        <w:rPr>
          <w:cs w:val="0"/>
        </w:rPr>
      </w:pPr>
      <w:r>
        <w:rPr>
          <w:cs w:val="0"/>
        </w:rPr>
        <w:t>۴- باور به ناکافی‌بودن یا غیرقابل‌اعتماد بودن خدمات پزشکی (سالکووسکیس و وارویک، ۱۹۹۰؛ تیلور</w:t>
      </w:r>
      <w:r>
        <w:rPr>
          <w:rStyle w:val="FootnoteReference"/>
        </w:rPr>
        <w:footnoteReference w:id="129"/>
      </w:r>
      <w:r>
        <w:rPr>
          <w:cs w:val="0"/>
        </w:rPr>
        <w:t xml:space="preserve"> و آسموندسون</w:t>
      </w:r>
      <w:r>
        <w:rPr>
          <w:rStyle w:val="FootnoteReference"/>
        </w:rPr>
        <w:footnoteReference w:id="130"/>
      </w:r>
      <w:r>
        <w:rPr>
          <w:cs w:val="0"/>
        </w:rPr>
        <w:t>، ۲۰۲۱).</w:t>
      </w:r>
    </w:p>
    <w:p w:rsidR="008908D0" w:rsidRDefault="002D5E38">
      <w:pPr>
        <w:spacing w:after="0" w:line="276" w:lineRule="auto"/>
        <w:ind w:firstLine="397"/>
        <w:jc w:val="both"/>
        <w:rPr>
          <w:cs w:val="0"/>
        </w:rPr>
      </w:pPr>
      <w:r>
        <w:rPr>
          <w:cs w:val="0"/>
        </w:rPr>
        <w:lastRenderedPageBreak/>
        <w:t>این باورها با چهار سازوکار درهم‌تنیده تداوم می‌یابند. در سطح شناختی، توجه انتخابی به حس‌های بدنی و سوگیری تأیید، اطلاعات ناسازگار با تهدید را کنار می‌گذارد. در سطح فیزیولوژیک، برانگیختگی خود به نشانه‌های تازه‌ای بدل می‌شود که دوباره تفسیر فاجعه‌آمیز می‌شوند. در سطح هیجانی، ترس و نگرانی دامنه پردازش را تنگ می‌کند. در سطح رفتاری، بررسی مکرر بدن، اطمینان‌خواهی پزشکی، اجتناب و جست‌وجوی اطلاعات، اضطراب را کوتاه‌مدت کاهش می‌دهند اما فرصت آزمون باور را می‌گیرند. اطمینان‌خواهی از این منظر تأمین اطلاعات نیست، بلکه رفتار ایمنی‌بخش است و به همین دلیل چرخه را پایدار می‌کند (هالدورسون</w:t>
      </w:r>
      <w:r>
        <w:rPr>
          <w:rStyle w:val="FootnoteReference"/>
        </w:rPr>
        <w:footnoteReference w:id="131"/>
      </w:r>
      <w:r>
        <w:rPr>
          <w:cs w:val="0"/>
        </w:rPr>
        <w:t xml:space="preserve"> و سالکووسکیس، ۲۰۲۳؛ کیکاس</w:t>
      </w:r>
      <w:r>
        <w:rPr>
          <w:rStyle w:val="FootnoteReference"/>
        </w:rPr>
        <w:footnoteReference w:id="132"/>
      </w:r>
      <w:r>
        <w:rPr>
          <w:cs w:val="0"/>
        </w:rPr>
        <w:t xml:space="preserve"> و همکاران، ۲۰۲۴؛ تیلور و آسموندسون، ۲۰۲۱).</w:t>
      </w:r>
    </w:p>
    <w:p w:rsidR="008908D0" w:rsidRDefault="002D5E38">
      <w:pPr>
        <w:spacing w:after="0" w:line="276" w:lineRule="auto"/>
        <w:ind w:firstLine="397"/>
        <w:jc w:val="both"/>
        <w:rPr>
          <w:cs w:val="0"/>
        </w:rPr>
      </w:pPr>
      <w:r>
        <w:rPr>
          <w:cs w:val="0"/>
        </w:rPr>
        <w:t>در سالمندی همین چرخه غالباً بر بستر نشانه‌های جسمانی واقعی، بیماری مزمن و مراجعات پزشکی مکرر عمل می‌کند؛ از این رو تمایز میان پایش ضروری پزشکی و رفتار ایمنی‌بخش دشوارتر است و اصلاح تفسیر فاجعه‌آمیز نباید به معنای نادیده‌گرفتن بیماری واقعی باشد. مؤلفه‌های اصلی مداخله عبارت‌اند از شناسایی و بازسازی همان چهار باور، کاهش تدریجی رفتارهای ایمنی‌بخش، و آزمایش‌های رفتاری برای آزمون پیش‌بینی‌های تهدیدآمیز. شواهد از آن حکایت دارد که درمان شناختی ـ رفتاری در کاهش اضطراب اواخر عمر مؤثر است، هرچند همبودی پزشکی، چنددارویی و کاهش ذخیره شناختی ممکن است نیازمند ساده‌سازی تکالیف و هماهنگی با مراقبت جسمانی باشد (آبراموویتز</w:t>
      </w:r>
      <w:r>
        <w:rPr>
          <w:rStyle w:val="FootnoteReference"/>
        </w:rPr>
        <w:footnoteReference w:id="133"/>
      </w:r>
      <w:r>
        <w:rPr>
          <w:cs w:val="0"/>
        </w:rPr>
        <w:t xml:space="preserve"> و برادوک</w:t>
      </w:r>
      <w:r>
        <w:rPr>
          <w:rStyle w:val="FootnoteReference"/>
        </w:rPr>
        <w:footnoteReference w:id="134"/>
      </w:r>
      <w:r>
        <w:rPr>
          <w:cs w:val="0"/>
        </w:rPr>
        <w:t>، ۲۰۲۳؛ گولد</w:t>
      </w:r>
      <w:r>
        <w:rPr>
          <w:rStyle w:val="FootnoteReference"/>
        </w:rPr>
        <w:footnoteReference w:id="135"/>
      </w:r>
      <w:r>
        <w:rPr>
          <w:cs w:val="0"/>
        </w:rPr>
        <w:t xml:space="preserve"> و همکاران، ۲۰۲۲؛ انجمن روان‌شناسی آمریکا</w:t>
      </w:r>
      <w:r>
        <w:rPr>
          <w:rStyle w:val="FootnoteReference"/>
        </w:rPr>
        <w:footnoteReference w:id="136"/>
      </w:r>
      <w:r>
        <w:rPr>
          <w:cs w:val="0"/>
        </w:rPr>
        <w:t>، ۲۰۲۳؛ بک</w:t>
      </w:r>
      <w:r>
        <w:rPr>
          <w:rStyle w:val="FootnoteReference"/>
        </w:rPr>
        <w:footnoteReference w:id="137"/>
      </w:r>
      <w:r>
        <w:rPr>
          <w:cs w:val="0"/>
        </w:rPr>
        <w:t xml:space="preserve"> و هایگ</w:t>
      </w:r>
      <w:r>
        <w:rPr>
          <w:rStyle w:val="FootnoteReference"/>
        </w:rPr>
        <w:footnoteReference w:id="138"/>
      </w:r>
      <w:r>
        <w:rPr>
          <w:cs w:val="0"/>
        </w:rPr>
        <w:t>، ۲۰۱۴).</w:t>
      </w:r>
    </w:p>
    <w:p w:rsidR="008908D0" w:rsidRDefault="002D5E38">
      <w:pPr>
        <w:spacing w:after="0" w:line="276" w:lineRule="auto"/>
        <w:ind w:firstLine="397"/>
        <w:jc w:val="both"/>
        <w:rPr>
          <w:cs w:val="0"/>
        </w:rPr>
      </w:pPr>
      <w:r>
        <w:rPr>
          <w:cs w:val="0"/>
        </w:rPr>
        <w:t>مرورهای اخیر همچنان درمان شناختی-رفتاری را مداخلهٔ اصلی اضطراب سلامت می‌دانند و بر کاهش رفتارهای ایمنی‌بخش و اصلاح تفسیر فاجعه‌آمیز نشانه‌های بدنی تأکید می‌کنند (آبراموویتز و برادوک، ۲۰۲۳؛ انجمن روان‌شناسی آمریکا، ۲۰۲۳).</w:t>
      </w:r>
    </w:p>
    <w:p w:rsidR="008908D0" w:rsidRPr="00C17338" w:rsidRDefault="002D5E38" w:rsidP="00C17338">
      <w:pPr>
        <w:pStyle w:val="Heading4"/>
        <w:rPr>
          <w:cs w:val="0"/>
        </w:rPr>
      </w:pPr>
      <w:bookmarkStart w:id="91" w:name="_Toc239015143"/>
      <w:r w:rsidRPr="00C17338">
        <w:rPr>
          <w:cs w:val="0"/>
        </w:rPr>
        <w:t>۲-۴-۲-۲- مدل زیستی-روانی-اجتماعی</w:t>
      </w:r>
      <w:bookmarkEnd w:id="91"/>
    </w:p>
    <w:p w:rsidR="008908D0" w:rsidRDefault="002D5E38">
      <w:pPr>
        <w:spacing w:after="0" w:line="276" w:lineRule="auto"/>
        <w:ind w:firstLine="397"/>
        <w:jc w:val="both"/>
        <w:rPr>
          <w:cs w:val="0"/>
        </w:rPr>
      </w:pPr>
      <w:r>
        <w:rPr>
          <w:rFonts w:hint="cs"/>
          <w:cs w:val="0"/>
        </w:rPr>
        <w:t xml:space="preserve">مدل زیستی ـ روانی ـ اجتماعی بر این فرض استوار است که سلامت و بیماری حاصل تعامل متقابل عوامل زیستی، روان‌شناختی و اجتماعی هستند و نمی‌توان وضعیت سلامت فرد را صرفاً بر اساس یک عامل </w:t>
      </w:r>
      <w:r>
        <w:rPr>
          <w:rFonts w:hint="cs"/>
          <w:cs w:val="0"/>
        </w:rPr>
        <w:lastRenderedPageBreak/>
        <w:t>توضیح داد. در مورد اضطراب سلامت نیز عوامل جسمانی و زیستی، ویژگی‌های شناختی و هیجانی فرد و شرایط اجتماعی و محیطی می‌توانند در شکل‌گیری و تداوم نگرانی‌های مرتبط با سلامت نقش داشته باشند. در سالمندان، تغییرات جسمانی و افزایش بیماری‌های مزمن می‌تواند در کنار عوامل روان‌شناختی و شرایط اجتماعی، تجربه و ادراک فرد از وضعیت سلامت خود را تحت تأثیر قرار دهد. بنابراین، بررسی اضطراب سلامت در این گروه سنی نیازمند توجه همزمان به ابعاد زیستی، روان‌شناختی و اجتماعی است (بولتون</w:t>
      </w:r>
      <w:r>
        <w:rPr>
          <w:rStyle w:val="FootnoteReference"/>
        </w:rPr>
        <w:footnoteReference w:id="139"/>
      </w:r>
      <w:r>
        <w:rPr>
          <w:rFonts w:hint="cs"/>
          <w:cs w:val="0"/>
        </w:rPr>
        <w:t xml:space="preserve"> و ژیلت</w:t>
      </w:r>
      <w:r>
        <w:rPr>
          <w:rStyle w:val="FootnoteReference"/>
        </w:rPr>
        <w:footnoteReference w:id="140"/>
      </w:r>
      <w:r>
        <w:rPr>
          <w:rFonts w:hint="cs"/>
          <w:cs w:val="0"/>
        </w:rPr>
        <w:t>، ۲۰۱۹).</w:t>
      </w:r>
    </w:p>
    <w:p w:rsidR="008908D0" w:rsidRDefault="002D5E38">
      <w:pPr>
        <w:spacing w:after="0" w:line="276" w:lineRule="auto"/>
        <w:ind w:firstLine="397"/>
        <w:jc w:val="both"/>
        <w:rPr>
          <w:cs w:val="0"/>
        </w:rPr>
      </w:pPr>
      <w:r>
        <w:rPr>
          <w:cs w:val="0"/>
        </w:rPr>
        <w:t>این مدل با رویکرد معاصر سالمندی سالم نیز همخوان است که سلامت را حاصل تعامل ظرفیت درونی فرد و ویژگی‌های محیطی می‌داند و مداخله را به یک بُعد زیستی محدود نمی‌کند (سازمان جهانی بهداشت</w:t>
      </w:r>
      <w:r>
        <w:rPr>
          <w:rStyle w:val="FootnoteReference"/>
        </w:rPr>
        <w:footnoteReference w:id="141"/>
      </w:r>
      <w:r>
        <w:rPr>
          <w:cs w:val="0"/>
        </w:rPr>
        <w:t>، ۲۰۲۰؛ سازمان جهانی بهداشت، ۲۰۲۴).</w:t>
      </w:r>
    </w:p>
    <w:p w:rsidR="008908D0" w:rsidRPr="00C17338" w:rsidRDefault="002D5E38" w:rsidP="00C17338">
      <w:pPr>
        <w:pStyle w:val="Heading4"/>
        <w:rPr>
          <w:cs w:val="0"/>
        </w:rPr>
      </w:pPr>
      <w:bookmarkStart w:id="92" w:name="_Toc239015144"/>
      <w:r w:rsidRPr="00C17338">
        <w:rPr>
          <w:cs w:val="0"/>
        </w:rPr>
        <w:t>۲-۴-۲-۳- مدل دلبستگی</w:t>
      </w:r>
      <w:bookmarkEnd w:id="92"/>
    </w:p>
    <w:p w:rsidR="008908D0" w:rsidRDefault="002D5E38">
      <w:pPr>
        <w:spacing w:after="0" w:line="276" w:lineRule="auto"/>
        <w:ind w:firstLine="397"/>
        <w:jc w:val="both"/>
        <w:rPr>
          <w:cs w:val="0"/>
        </w:rPr>
      </w:pPr>
      <w:r>
        <w:rPr>
          <w:rFonts w:hint="cs"/>
          <w:cs w:val="0"/>
        </w:rPr>
        <w:t>مدل دلبستگی بر این فرض استوار است که سبک‌های دلبستگی ناایمن، به‌ویژه دلبستگی اضطرابی، می‌توانند با افزایش آسیب‌پذیری فرد در برابر اضطراب و کاهش ادراک حمایت اجتماعی همراه باشند. افراد دارای دلبستگی اضطرابی ممکن است در مواجهه با تهدید و ابهام، نگرانی بیشتری تجربه کنند و حمایت اجتماعی را ناکافی ادراک نمایند؛ عواملی که می‌توانند در افزایش مشکلات اضطرابی نقش داشته باشند (چاریکچی‌اوزگول</w:t>
      </w:r>
      <w:r>
        <w:rPr>
          <w:rStyle w:val="FootnoteReference"/>
        </w:rPr>
        <w:footnoteReference w:id="142"/>
      </w:r>
      <w:r>
        <w:rPr>
          <w:rFonts w:hint="cs"/>
          <w:cs w:val="0"/>
        </w:rPr>
        <w:t xml:space="preserve"> و ایشیک</w:t>
      </w:r>
      <w:r>
        <w:rPr>
          <w:rStyle w:val="FootnoteReference"/>
        </w:rPr>
        <w:footnoteReference w:id="143"/>
      </w:r>
      <w:r>
        <w:rPr>
          <w:rFonts w:hint="cs"/>
          <w:cs w:val="0"/>
        </w:rPr>
        <w:t>، ۲۰۲۴).</w:t>
      </w:r>
    </w:p>
    <w:p w:rsidR="008908D0" w:rsidRDefault="002D5E38">
      <w:pPr>
        <w:spacing w:after="0" w:line="276" w:lineRule="auto"/>
        <w:ind w:firstLine="397"/>
        <w:jc w:val="both"/>
        <w:rPr>
          <w:cs w:val="0"/>
        </w:rPr>
      </w:pPr>
      <w:r>
        <w:rPr>
          <w:cs w:val="0"/>
        </w:rPr>
        <w:t>از منظر سالمندی، دلبستگی ناایمن می‌تواند با اطمینان‌خواهی مکرر پزشکی و ادراک تهدید بدنی همراه شود و چرخه اضطراب سلامت را پایدار کند (چاریکچی‌اوزگول و ایشیک، ۲۰۲۴).</w:t>
      </w:r>
    </w:p>
    <w:p w:rsidR="008908D0" w:rsidRDefault="002D5E38">
      <w:pPr>
        <w:spacing w:after="0" w:line="276" w:lineRule="auto"/>
        <w:ind w:firstLine="397"/>
        <w:jc w:val="both"/>
        <w:rPr>
          <w:cs w:val="0"/>
        </w:rPr>
      </w:pPr>
      <w:r>
        <w:rPr>
          <w:cs w:val="0"/>
        </w:rPr>
        <w:t>نظریه دلبستگی بالبی</w:t>
      </w:r>
      <w:r>
        <w:rPr>
          <w:rStyle w:val="FootnoteReference"/>
        </w:rPr>
        <w:footnoteReference w:id="144"/>
      </w:r>
      <w:r>
        <w:rPr>
          <w:cs w:val="0"/>
        </w:rPr>
        <w:t xml:space="preserve"> نظام دلبستگی را در برابر تهدید فعال می‌داند؛ ابهام درباره بیماری و تهدید بدنی نیز می‌تواند همین نظام را برانگیزد. این تبیین برای اضطراب سلامت است و با نقش دلبستگی در تحمل اضطراب مرگ که پیش‌تر آمده یکی گرفته نمی‌شود. دست‌کم دو مسیر ناایمن قابل تمایز است:</w:t>
      </w:r>
    </w:p>
    <w:p w:rsidR="008908D0" w:rsidRDefault="002D5E38">
      <w:pPr>
        <w:spacing w:after="0" w:line="276" w:lineRule="auto"/>
        <w:ind w:firstLine="397"/>
        <w:jc w:val="both"/>
        <w:rPr>
          <w:cs w:val="0"/>
        </w:rPr>
      </w:pPr>
      <w:r>
        <w:rPr>
          <w:cs w:val="0"/>
        </w:rPr>
        <w:t>۱- مسیر اضطرابی با بیش‌فعال‌سازی نظام دلبستگی همراه است: فرد در ابهام بدنی به مراقبت‌طلبی و اطمینان‌خواهی از نزدیکان و پزشک روی می‌آورد و حمایت را غالباً ناکافی ادراک می‌کند؛</w:t>
      </w:r>
    </w:p>
    <w:p w:rsidR="008908D0" w:rsidRDefault="002D5E38">
      <w:pPr>
        <w:spacing w:after="0" w:line="276" w:lineRule="auto"/>
        <w:ind w:firstLine="397"/>
        <w:jc w:val="both"/>
        <w:rPr>
          <w:cs w:val="0"/>
        </w:rPr>
      </w:pPr>
      <w:r>
        <w:rPr>
          <w:cs w:val="0"/>
        </w:rPr>
        <w:lastRenderedPageBreak/>
        <w:t>۲- مسیر اجتنابی با غیرفعال‌سازی نیاز به نزدیکی همراه است: فرد ممکن است کمک‌طلبی را به تأخیر بیندازد، ناراحتی را انکار کند یا نگرانی سلامت را بیشتر به‌صورت شکایت بدنی نشان دهد تا درخواست آشکار مراقبت.</w:t>
      </w:r>
    </w:p>
    <w:p w:rsidR="008908D0" w:rsidRDefault="002D5E38">
      <w:pPr>
        <w:spacing w:after="0" w:line="276" w:lineRule="auto"/>
        <w:ind w:firstLine="397"/>
        <w:jc w:val="both"/>
        <w:rPr>
          <w:cs w:val="0"/>
        </w:rPr>
      </w:pPr>
      <w:r>
        <w:rPr>
          <w:cs w:val="0"/>
        </w:rPr>
        <w:t>مدل بین‌فردی خودبیمارانگاری که استوارت</w:t>
      </w:r>
      <w:r>
        <w:rPr>
          <w:rStyle w:val="FootnoteReference"/>
        </w:rPr>
        <w:footnoteReference w:id="145"/>
      </w:r>
      <w:r>
        <w:rPr>
          <w:cs w:val="0"/>
        </w:rPr>
        <w:t xml:space="preserve"> و نویز</w:t>
      </w:r>
      <w:r>
        <w:rPr>
          <w:rStyle w:val="FootnoteReference"/>
        </w:rPr>
        <w:footnoteReference w:id="146"/>
      </w:r>
      <w:r>
        <w:rPr>
          <w:cs w:val="0"/>
        </w:rPr>
        <w:t xml:space="preserve"> صورت‌بندی کردند، شکایت از بیماری را نوعی ارتباط مراقبت‌طلب می‌داند که از دلبستگی ناایمن برمی‌خیزد. در این چرخه، اطمینان‌خواهی مکرر در درازمدت به ادراک طرد یا بیگانگی از دیگران ــ به عنوان نمونه پزشک ــ می‌انجامد و نگرانی را دوباره افزایش می‌دهد. آزمون مدل در بیماران مراقبت اولیه نشان داد نشانه‌های خودبیمارانگاری با سبک‌های دلبستگی ناایمن، به‌ویژه سبک ترسناک، و با مشکلات بین‌فردی و نارضایتی از رابطهٔ درمانی همبسته است (استوارت و نویز، ۱۹۹۹؛ نویز و همکاران، ۲۰۰۳).</w:t>
      </w:r>
    </w:p>
    <w:p w:rsidR="008908D0" w:rsidRDefault="002D5E38">
      <w:pPr>
        <w:spacing w:after="0" w:line="276" w:lineRule="auto"/>
        <w:ind w:firstLine="397"/>
        <w:jc w:val="both"/>
        <w:rPr>
          <w:cs w:val="0"/>
        </w:rPr>
      </w:pPr>
      <w:r>
        <w:rPr>
          <w:cs w:val="0"/>
        </w:rPr>
        <w:t>در سالمندی، با کاهش برخی چهره‌های دلبستگی نزدیک، رابطه با پزشک و نظام درمان می‌تواند بار دلبستگی بیشتری پیدا کند. مسیر اضطرابی بیشتر به مراجعات پیاپی و جابه‌جایی پزشک می‌انجامد؛ مسیر اجتنابی بیشتر به تأخیر در مراجعه یا کم‌گویی نیاز. کارکرد بین‌فردی اطمینان‌خواهی در این مدل مراقبت‌طلبی است و با تبیین شناختی ـ رفتاری آن به‌عنوان رفتار ایمنی‌بخش جمع‌پذیر است: یکی انگیزهٔ رابطه‌ای را روشن می‌کند و دیگری تداوم شناختی نگرانی را (استوارت و نویز، ۱۹۹۹؛ نویز و همکاران، ۲۰۰۳).</w:t>
      </w:r>
    </w:p>
    <w:p w:rsidR="008908D0" w:rsidRPr="00C17338" w:rsidRDefault="002D5E38" w:rsidP="00C17338">
      <w:pPr>
        <w:pStyle w:val="Heading3"/>
        <w:rPr>
          <w:cs w:val="0"/>
        </w:rPr>
      </w:pPr>
      <w:bookmarkStart w:id="93" w:name="_Toc239015145"/>
      <w:bookmarkStart w:id="94" w:name="_Toc239432001"/>
      <w:r w:rsidRPr="00C17338">
        <w:rPr>
          <w:cs w:val="0"/>
        </w:rPr>
        <w:t>۲-۴-۳- سالمندی و اضطراب سلامت</w:t>
      </w:r>
      <w:bookmarkEnd w:id="93"/>
      <w:bookmarkEnd w:id="94"/>
    </w:p>
    <w:p w:rsidR="008908D0" w:rsidRDefault="002D5E38">
      <w:pPr>
        <w:spacing w:after="0" w:line="276" w:lineRule="auto"/>
        <w:ind w:firstLine="397"/>
        <w:jc w:val="both"/>
        <w:rPr>
          <w:color w:val="auto"/>
          <w:cs w:val="0"/>
        </w:rPr>
      </w:pPr>
      <w:r>
        <w:rPr>
          <w:rFonts w:hint="cs"/>
          <w:cs w:val="0"/>
        </w:rPr>
        <w:t>اضطراب سلامت به نگرانی و ترس مداوم درباره ابتلا به یک بیماری جدی اشاره دارد، به‌گونه‌ای که فرد نسبت به نشانه‌های جسمانی خود حساسیت بیش از حد نشان داده و آن‌ها را به‌عنوان نشانه‌ای از بیماری تفسیر می‌کند. این مفهوم در یک طیف قرار دارد؛ به این معنا که نگرانی درباره سلامت می‌تواند از سطح طبیعی و خفیف تا سطوح شدیدتر مانند اختلال اضطراب بیماری ادامه یابد. سالکووسکیس</w:t>
      </w:r>
      <w:r>
        <w:rPr>
          <w:rStyle w:val="FootnoteReference"/>
        </w:rPr>
        <w:footnoteReference w:id="147"/>
      </w:r>
      <w:r>
        <w:rPr>
          <w:rFonts w:hint="cs"/>
          <w:cs w:val="0"/>
        </w:rPr>
        <w:t xml:space="preserve"> و وارویک</w:t>
      </w:r>
      <w:r>
        <w:rPr>
          <w:rStyle w:val="FootnoteReference"/>
        </w:rPr>
        <w:footnoteReference w:id="148"/>
      </w:r>
      <w:r>
        <w:rPr>
          <w:rFonts w:hint="cs"/>
          <w:cs w:val="0"/>
        </w:rPr>
        <w:t xml:space="preserve"> با ارائه مفهوم پیوستار اضطراب سلامت، بیان کردند که افراد ممکن است بدون داشتن معیارهای کامل اختلال، درجاتی از نگرانی افراطی درباره سلامت خود را تجربه کنند. پژوهش‌های جدید نشان داده‌اند که عواملی مانند افزایش سن، تجربه بیماری‌های مزمن، مواجهه بیشتر با مشکلات جسمانی و نگرانی درباره کاهش توانایی‌های بدنی </w:t>
      </w:r>
      <w:r>
        <w:rPr>
          <w:rFonts w:hint="cs"/>
          <w:cs w:val="0"/>
        </w:rPr>
        <w:lastRenderedPageBreak/>
        <w:t>می‌توانند اضطراب سلامت را در سالمندان افزایش دهند (انجمن روان‌پزشکی آمریکا</w:t>
      </w:r>
      <w:r>
        <w:rPr>
          <w:rStyle w:val="FootnoteReference"/>
        </w:rPr>
        <w:footnoteReference w:id="149"/>
      </w:r>
      <w:r>
        <w:rPr>
          <w:rFonts w:hint="cs"/>
          <w:cs w:val="0"/>
        </w:rPr>
        <w:t>، ۲۰۲۲؛ فرگوس</w:t>
      </w:r>
      <w:r>
        <w:rPr>
          <w:rStyle w:val="FootnoteReference"/>
        </w:rPr>
        <w:footnoteReference w:id="150"/>
      </w:r>
      <w:r>
        <w:rPr>
          <w:rFonts w:hint="cs"/>
          <w:cs w:val="0"/>
        </w:rPr>
        <w:t xml:space="preserve"> و والنتاینر</w:t>
      </w:r>
      <w:r>
        <w:rPr>
          <w:rStyle w:val="FootnoteReference"/>
        </w:rPr>
        <w:footnoteReference w:id="151"/>
      </w:r>
      <w:r>
        <w:rPr>
          <w:rFonts w:hint="cs"/>
          <w:cs w:val="0"/>
        </w:rPr>
        <w:t>، ۲۰۲۲).</w:t>
      </w:r>
    </w:p>
    <w:p w:rsidR="008908D0" w:rsidRDefault="002D5E38">
      <w:pPr>
        <w:spacing w:after="0" w:line="276" w:lineRule="auto"/>
        <w:ind w:firstLine="397"/>
        <w:jc w:val="both"/>
        <w:rPr>
          <w:color w:val="auto"/>
          <w:cs w:val="0"/>
        </w:rPr>
      </w:pPr>
      <w:r>
        <w:rPr>
          <w:rFonts w:hint="cs"/>
          <w:cs w:val="0"/>
        </w:rPr>
        <w:t>اضطراب سلامت ممکن است در دوره سالمندی تحت تأثیر افزایش تجربه بیماری‌های جسمانی، بیماری‌های مزمن، ضعف و محدودیت‌های عملکردی و افزون بر این مواجهه بیشتر با بیماری و مرگ در خود یا نزدیکان افزایش یابد. پژوهش‌ها نشان داده‌اند که وجود بیماری‌های مزمن و کاهش عملکرد جسمانی با سطوح بالاتر اضطراب سلامت در سالمندان ارتباط دارد؛ بنابراین، افزایش نگرانی درباره سلامت در این دوره را می‌توان تا حدی در ارتباط با تغییرات جسمانی و تجربیات مرتبط با بیماری در طول زندگی در نظر گرفت (هیل</w:t>
      </w:r>
      <w:r>
        <w:rPr>
          <w:rStyle w:val="FootnoteReference"/>
        </w:rPr>
        <w:footnoteReference w:id="152"/>
      </w:r>
      <w:r>
        <w:rPr>
          <w:rFonts w:hint="cs"/>
          <w:cs w:val="0"/>
        </w:rPr>
        <w:t xml:space="preserve"> و واتس</w:t>
      </w:r>
      <w:r>
        <w:rPr>
          <w:rStyle w:val="FootnoteReference"/>
        </w:rPr>
        <w:footnoteReference w:id="153"/>
      </w:r>
      <w:r>
        <w:rPr>
          <w:rFonts w:hint="cs"/>
          <w:cs w:val="0"/>
        </w:rPr>
        <w:t>، ۲۰۲۴). اضطراب از مشکلات شایع سلامت روان در دوره سالمندی است و با وجود شیوع قابل توجه، در بسیاری از موارد کمتر شناسایی و درمان می‌شود. مطالعات نشان داده‌اند که اضطراب در سالمندان می‌تواند با پیامدهایی همچون کاهش عملکرد جسمانی و شناختی، افزایش استفاده از خدمات سلامت و کاهش کیفیت زندگی همراه باشد. بیماری‌های جسمانی، مشکلات عملکردی و شرایط روانی ـ اجتماعی می‌توانند در بروز و تداوم علائم اضطرابی در این دوره نقش داشته باشند (ماتویچ</w:t>
      </w:r>
      <w:r>
        <w:rPr>
          <w:rStyle w:val="FootnoteReference"/>
        </w:rPr>
        <w:footnoteReference w:id="154"/>
      </w:r>
      <w:r>
        <w:rPr>
          <w:rFonts w:hint="cs"/>
          <w:cs w:val="0"/>
        </w:rPr>
        <w:t xml:space="preserve"> و همکاران، ۲۰۲۴). یافته‌های یک مرور نظام‌مند و فراتحلیل نشان داد که شیوع جهانی علائم اضطراب در سالمندان حدود ۲۸ درصد است. بیماری‌های جسمانی، جنسیت، حمایت اجتماعی پایین و انزوای اجتماعی به عنوان نمونه عوامل مرتبط با علائم اضطرابی در سالمندان گزارش شده‌اند (شفیعی و همکاران، ۲۰۲۵).</w:t>
      </w:r>
    </w:p>
    <w:p w:rsidR="008908D0" w:rsidRDefault="002D5E38">
      <w:pPr>
        <w:spacing w:after="0" w:line="276" w:lineRule="auto"/>
        <w:ind w:firstLine="397"/>
        <w:jc w:val="both"/>
        <w:rPr>
          <w:cs w:val="0"/>
        </w:rPr>
      </w:pPr>
      <w:r>
        <w:rPr>
          <w:cs w:val="0"/>
        </w:rPr>
        <w:t>این شواهد نشان می‌دهد اضطراب سلامت در سالمندی را باید در کنار بیماری‌های مزمن، تنهایی و کاهش حمایت اجتماعی دید؛ نه صرفاً به‌عنوان نگرانی افراطی جدا از بافت زندگی (سازمان جهانی بهداشت</w:t>
      </w:r>
      <w:r>
        <w:rPr>
          <w:rStyle w:val="FootnoteReference"/>
        </w:rPr>
        <w:footnoteReference w:id="155"/>
      </w:r>
      <w:r>
        <w:rPr>
          <w:cs w:val="0"/>
        </w:rPr>
        <w:t>، ۲۰۲۴؛ شفیعی و همکاران، ۲۰۲۵).</w:t>
      </w:r>
    </w:p>
    <w:p w:rsidR="008908D0" w:rsidRDefault="002D5E38">
      <w:pPr>
        <w:spacing w:after="0" w:line="276" w:lineRule="auto"/>
        <w:ind w:firstLine="397"/>
        <w:jc w:val="both"/>
        <w:rPr>
          <w:color w:val="auto"/>
          <w:cs w:val="0"/>
        </w:rPr>
      </w:pPr>
      <w:r>
        <w:rPr>
          <w:rFonts w:hint="cs"/>
          <w:cs w:val="0"/>
        </w:rPr>
        <w:t xml:space="preserve">سالمندان به دلیل مشکلات مختلف در ابعاد سلامت و آینده مبهم خویش گرفتار اضطراب می‌شوند. از طرفی تنهایی، وابستگی عاطفی و مالی، بیماریهای جسمانی، ضعف عضلانی و کاهش قوای جسم از عوامل ایجاد اضطراب در سالمندان می‌باشد. از علایم اضطراب در سالمندان می‌توان به افزایش فشار خون، تپش قلب، کاهش تمرکز، علایم گوارشی و تکرر ادرار که از عوامل اضطراب سالمندان هستند، اشاره کرد. در </w:t>
      </w:r>
      <w:r>
        <w:rPr>
          <w:rFonts w:hint="cs"/>
          <w:cs w:val="0"/>
        </w:rPr>
        <w:lastRenderedPageBreak/>
        <w:t>خصوص اضطراب در دوره سالمندی باید ذکر کرد که اضطراب جز جدایی ناپذیری از زندگی روزمره است، اما در صورتی که این اضطراب تداوم یابد و مقدار آن زیاد شود می‌تواند فرد سالمند را مبتلا به یک نگرانی مزمن در خصوص سلامت سالمند درآید. مشکلات عدیده ای دیگر در این دوران به خصوص کابوس‌های شبانه و خستگی جسمانی و مراقبت از همسر خود می‌تواند فرآیندهای شناختی فرد سالمند را تحت تاثیر خود قرار دهد. عوامل موثر بر اضطراب سالمندان: بنابر تعریف جهانی بهداشت، کیفیت زندگی، درک افراد از موقعیت کنونی خود از نظر فرهنگ، سیستم ارزشی که فرد در آن زندگی می‌کند، اهداف، انتظارات، استاندارد و اولویت هایشان می‌باشد. هم چنین تنهایی، اضطراب و افسردگی مشکلات رایجی هستند که در سالمندانی که تحت مراقبت‌های بهداشتی طولانی قرار دارند شایع است.</w:t>
      </w:r>
    </w:p>
    <w:p w:rsidR="008908D0" w:rsidRDefault="002D5E38">
      <w:pPr>
        <w:spacing w:after="0" w:line="276" w:lineRule="auto"/>
        <w:ind w:firstLine="397"/>
        <w:jc w:val="both"/>
        <w:rPr>
          <w:color w:val="auto"/>
          <w:cs w:val="0"/>
        </w:rPr>
      </w:pPr>
      <w:r>
        <w:rPr>
          <w:rFonts w:hint="cs"/>
          <w:cs w:val="0"/>
        </w:rPr>
        <w:t>اگرچه بسیاری از تغییرات جسمی، روانی و اجتماعی دوران سالمندی اجتناب‌ناپذیر هستند، اما بخش قابل‌توجهی از پیامدهای آن‌ها از طریق مداخلات مناسب قابل پیشگیری یا کنترل است. پژوهش‌ها نشان می‌دهند که تقویت حمایت اجتماعی، گسترش شبکه‌های ارتباطی، کاهش احساس تنهایی و افزایش مشارکت اجتماعی سالمندان می‌تواند به بهبود سلامت روان، کاهش افسردگی و اضطراب و ارتقای کیفیت زندگی آنان کمک کند. عوامل اجتماعی و اقتصادی مانند وضعیت اقتصادی، درآمد، پوشش بیمه‌ای، سطح تحصیلات، وضعیت اشتغال، شرایط مسکن، جنسیت و برخورداری از حمایت خانواده و افرادی که با سالمند زندگی می‌کنند، از مهم‌ترین عوامل مؤثر بر سلامت و کیفیت زندگی سالمندان به شمار می‌روند (سازمان جهانی بهداشت</w:t>
      </w:r>
      <w:r>
        <w:rPr>
          <w:rStyle w:val="FootnoteReference"/>
        </w:rPr>
        <w:footnoteReference w:id="156"/>
      </w:r>
      <w:r>
        <w:rPr>
          <w:rFonts w:hint="cs"/>
          <w:cs w:val="0"/>
        </w:rPr>
        <w:t>، ۲۰۲۴؛ سازمان ملل متحد</w:t>
      </w:r>
      <w:r>
        <w:rPr>
          <w:rStyle w:val="FootnoteReference"/>
        </w:rPr>
        <w:footnoteReference w:id="157"/>
      </w:r>
      <w:r>
        <w:rPr>
          <w:rFonts w:hint="cs"/>
          <w:cs w:val="0"/>
        </w:rPr>
        <w:t>، ۲۰۲۳).</w:t>
      </w:r>
    </w:p>
    <w:p w:rsidR="008908D0" w:rsidRPr="00B7369E" w:rsidRDefault="002D5E38" w:rsidP="00B7369E">
      <w:pPr>
        <w:pStyle w:val="Heading3"/>
        <w:rPr>
          <w:cs w:val="0"/>
        </w:rPr>
      </w:pPr>
      <w:bookmarkStart w:id="95" w:name="_Toc239015146"/>
      <w:bookmarkStart w:id="96" w:name="_Toc239432002"/>
      <w:r w:rsidRPr="00B7369E">
        <w:rPr>
          <w:cs w:val="0"/>
        </w:rPr>
        <w:t>۲-۴-۴- عوامل زمینه‌ساز اضطراب</w:t>
      </w:r>
      <w:bookmarkEnd w:id="95"/>
      <w:bookmarkEnd w:id="96"/>
    </w:p>
    <w:p w:rsidR="008908D0" w:rsidRDefault="002D5E38">
      <w:pPr>
        <w:spacing w:after="0" w:line="276" w:lineRule="auto"/>
        <w:ind w:firstLine="397"/>
        <w:jc w:val="both"/>
        <w:rPr>
          <w:color w:val="auto"/>
          <w:cs w:val="0"/>
        </w:rPr>
      </w:pPr>
      <w:r>
        <w:rPr>
          <w:rFonts w:hint="cs"/>
          <w:cs w:val="0"/>
        </w:rPr>
        <w:t xml:space="preserve">سالمندان به دلیل تغییرات جسمانی، روان‌شناختی و اجتماعی، بیش از سایر گروه‌های سنی در معرض مشکلات سلامت روان قرار دارند. کاهش توانایی‌های جسمی، ابتلا به بیماری‌های مزمن، از دست دادن همسر، دوستان و سایر نزدیکان، بازنشستگی، کاهش استقلال و محدود شدن مشارکت اجتماعی می‌تواند خطر بروز اضطراب، افسردگی و احساس تنهایی را افزایش دهد. نشانه‌هایی مانند ترس از مرگ، احساس بی‌فایدگی، کاهش امید، اختلالات خواب، خستگی، استرس و کاهش تعاملات اجتماعی به عنوان نمونه مشکلات شایع در این دوره از زندگی هستند. تغییرات طبیعی ناشی از افزایش سن ممکن است توانایی سالمندان را در انجام فعالیت‌های روزمره کاهش داده و وابستگی آنان به دیگران را افزایش دهد که این امر می‌تواند زمینه‌ساز کاهش </w:t>
      </w:r>
      <w:r>
        <w:rPr>
          <w:rFonts w:hint="cs"/>
          <w:cs w:val="0"/>
        </w:rPr>
        <w:lastRenderedPageBreak/>
        <w:t>کیفیت زندگی و افزایش مشکلات روان‌شناختی شود. پژوهش‌ها نشان داده‌اند که حمایت خانوادگی و اجتماعی، حفظ استقلال عملکردی، مشارکت در فعالیت‌های اجتماعی و دسترسی به خدمات سلامت، تأثیر بسزایی بر حفظ سلامت روان و کاهش اضطراب و افسردگی سالمندان دارند (سازمان جهانی بهداشت، ۲۰۲۴؛ انجمن روان‌پزشکی آمریکا</w:t>
      </w:r>
      <w:r>
        <w:rPr>
          <w:rStyle w:val="FootnoteReference"/>
        </w:rPr>
        <w:footnoteReference w:id="158"/>
      </w:r>
      <w:r>
        <w:rPr>
          <w:rFonts w:hint="cs"/>
          <w:cs w:val="0"/>
        </w:rPr>
        <w:t>، ۲۰۲۲).</w:t>
      </w:r>
    </w:p>
    <w:p w:rsidR="008908D0" w:rsidRDefault="002D5E38">
      <w:pPr>
        <w:spacing w:after="0" w:line="276" w:lineRule="auto"/>
        <w:ind w:firstLine="397"/>
        <w:jc w:val="both"/>
        <w:rPr>
          <w:color w:val="auto"/>
          <w:cs w:val="0"/>
        </w:rPr>
      </w:pPr>
      <w:r>
        <w:rPr>
          <w:rFonts w:hint="cs"/>
          <w:cs w:val="0"/>
        </w:rPr>
        <w:t>با افزایش جمعیت سالمندان، توجه به مشکلات روان‌شناختی، به‌ویژه اضطراب، افسردگی و احساس تنهایی، به یکی از اولویت‌های نظام‌های سلامت تبدیل شده است. سالمندان به دلیل تغییرات جسمانی، روانی و اجتماعی، از گروه‌های آسیب‌پذیر جامعه محسوب می‌شوند و نیازمند برنامه‌ریزی و مداخلات هدفمند هستند. تغییر ساختار خانواده از الگوی گسترده به خانواده هسته‌ای، افزایش شهرنشینی، تغییر سبک زندگی و کاهش حمایت‌های سنتی، موجب شده است بسیاری از سالمندان با کاهش حمایت خانوادگی و اجتماعی روبه‌رو شوند. این تحولات، ضرورت شناسایی مستمر نیازهای جسمی، روانی و اجتماعی سالمندان و تدوین سیاست‌ها و برنامه‌های مبتنی بر شواهد را بیش از پیش آشکار ساخته است. ازاین‌رو، انجام پژوهش‌های به‌روز و مستمر در حوزه سالمندی، سهم قابل توجهی در طراحی خدمات حمایتی، ارتقای سلامت روان و بهبود کیفیت زندگی سالمندان دارد (سازمان جهانی بهداشت</w:t>
      </w:r>
      <w:r>
        <w:rPr>
          <w:rStyle w:val="FootnoteReference"/>
        </w:rPr>
        <w:footnoteReference w:id="159"/>
      </w:r>
      <w:r>
        <w:rPr>
          <w:rFonts w:hint="cs"/>
          <w:cs w:val="0"/>
        </w:rPr>
        <w:t>، ۲۰۲۴؛ سازمان ملل متحد</w:t>
      </w:r>
      <w:r>
        <w:rPr>
          <w:rStyle w:val="FootnoteReference"/>
        </w:rPr>
        <w:footnoteReference w:id="160"/>
      </w:r>
      <w:r>
        <w:rPr>
          <w:rFonts w:hint="cs"/>
          <w:cs w:val="0"/>
        </w:rPr>
        <w:t>، ۲۰۲۳).</w:t>
      </w:r>
    </w:p>
    <w:p w:rsidR="008908D0" w:rsidRDefault="002D5E38">
      <w:pPr>
        <w:spacing w:after="0" w:line="276" w:lineRule="auto"/>
        <w:ind w:firstLine="397"/>
        <w:jc w:val="both"/>
        <w:rPr>
          <w:color w:val="auto"/>
          <w:cs w:val="0"/>
        </w:rPr>
      </w:pPr>
      <w:r>
        <w:rPr>
          <w:rFonts w:hint="cs"/>
          <w:cs w:val="0"/>
        </w:rPr>
        <w:t xml:space="preserve">تشخیص اختلالات اضطرابی در سالمندان به دلیل همپوشانی علائم روان‌شناختی با بیماری‌های جسمانی و تغییرات طبیعی ناشی از افزایش سن، با چالش‌های فراوانی همراه است. بسیاری از سالمندان به دلیل ابتلا به بیماری‌های مزمن، کاهش توانایی‌های جسمانی و نگرانی درباره وضعیت سلامت خود، بیش از سایر گروه‌های سنی در معرض اضطراب سلامت قرار دارند. اضطراب سلامت با نگرانی مداوم و افراطی درباره ابتلا به بیماری یا تفسیر نادرست علائم جسمانی مشخص می‌شود و افراد مبتلا معمولاً حساسیت بالایی نسبت به تغییرات بدنی خود دارند. اگرچه نگرانی درباره سلامت تا حدی طبیعی است، اما زمانی که این نگرانی شدید، پایدار و نامتناسب با شواهد پزشکی باشد، می‌تواند به اختلال اضطراب بیماری، کاهش کیفیت زندگی، افزایش مراجعات غیرضروری به مراکز درمانی و تشدید مشکلات روان‌شناختی منجر شود. ازاین‌رو، شناسایی </w:t>
      </w:r>
      <w:r>
        <w:rPr>
          <w:rFonts w:hint="cs"/>
          <w:cs w:val="0"/>
        </w:rPr>
        <w:lastRenderedPageBreak/>
        <w:t>زودهنگام اضطراب سلامت در سالمندان و ارائه مداخلات روان‌شناختی مناسب، سهم عمده‌ای در حفظ سلامت روان و بهبود عملکرد آنان دارد (انجمن روان‌پزشکی آمریکا</w:t>
      </w:r>
      <w:r>
        <w:rPr>
          <w:rStyle w:val="FootnoteReference"/>
        </w:rPr>
        <w:footnoteReference w:id="161"/>
      </w:r>
      <w:r>
        <w:rPr>
          <w:rFonts w:hint="cs"/>
          <w:cs w:val="0"/>
        </w:rPr>
        <w:t>، ۲۰۲۲؛ آبراموویتز</w:t>
      </w:r>
      <w:r>
        <w:rPr>
          <w:rStyle w:val="FootnoteReference"/>
        </w:rPr>
        <w:footnoteReference w:id="162"/>
      </w:r>
      <w:r>
        <w:rPr>
          <w:rFonts w:hint="cs"/>
          <w:cs w:val="0"/>
        </w:rPr>
        <w:t xml:space="preserve"> و برادوک</w:t>
      </w:r>
      <w:r>
        <w:rPr>
          <w:rStyle w:val="FootnoteReference"/>
        </w:rPr>
        <w:footnoteReference w:id="163"/>
      </w:r>
      <w:r>
        <w:rPr>
          <w:rFonts w:hint="cs"/>
          <w:cs w:val="0"/>
        </w:rPr>
        <w:t>، ۲۰۲۳).</w:t>
      </w:r>
    </w:p>
    <w:p w:rsidR="008908D0" w:rsidRDefault="002D5E38">
      <w:pPr>
        <w:spacing w:after="0" w:line="276" w:lineRule="auto"/>
        <w:ind w:firstLine="397"/>
        <w:jc w:val="both"/>
        <w:rPr>
          <w:color w:val="auto"/>
          <w:cs w:val="0"/>
        </w:rPr>
      </w:pPr>
      <w:r>
        <w:rPr>
          <w:rFonts w:hint="cs"/>
          <w:cs w:val="0"/>
        </w:rPr>
        <w:t>اضطراب سلامت با نگرانی مداوم، افراطی و پایدار درباره ابتلا به یک بیماری جدی یا تفسیر نادرست علائم جسمانی مشخص می‌شود. در طبقه‌بندی جدید اختلالات روان‌پزشکی، مفهوم اختلال اضطراب بیماری تا حد زیادی جایگزین تشخیص خودبیمارانگاری شده است و افرادی که با وجود ارزیابی‌های پزشکی اطمینان‌بخش همچنان نگرانی شدیدی درباره سلامت خود دارند، ممکن است در این گروه قرار گیرند. تداوم اضطراب سلامت می‌تواند موجب افزایش خطاهای شناختی، توجه انتخابی به علائم جسمانی و تفسیر فاجعه‌آمیز احساسات بدنی شود و مسیر هموار برای بروز یا تشدید مشکلات هیجانی مانند اضطراب و افسردگی گردد. در سالمندان، این وضعیت به دلیل هم‌زمانی بیماری‌های مزمن، کاهش عملکرد جسمانی و تغییرات مرتبط با سالمندی، از اهمیت بیشتری برخوردار است و می‌تواند کیفیت زندگی، عملکرد روزانه و سلامت روان را تحت تأثیر قرار دهد. شواهد روشن می‌سازد که سبک زندگی سالم، فعالیت بدنی منظم، خواب کافی، تغذیه مناسب، حمایت اجتماعی و اصلاح باورهای ناکارآمد درباره بیماری، در کاهش اضطراب سلامت و ارتقای سلامت روان سالمندان نقش مؤثری دارند (انجمن روان‌پزشکی آمریکا</w:t>
      </w:r>
      <w:r>
        <w:rPr>
          <w:rStyle w:val="FootnoteReference"/>
        </w:rPr>
        <w:footnoteReference w:id="164"/>
      </w:r>
      <w:r>
        <w:rPr>
          <w:rFonts w:hint="cs"/>
          <w:cs w:val="0"/>
        </w:rPr>
        <w:t>، ۲۰۲۲؛ تیلور</w:t>
      </w:r>
      <w:r>
        <w:rPr>
          <w:rStyle w:val="FootnoteReference"/>
        </w:rPr>
        <w:footnoteReference w:id="165"/>
      </w:r>
      <w:r>
        <w:rPr>
          <w:rFonts w:hint="cs"/>
          <w:cs w:val="0"/>
        </w:rPr>
        <w:t xml:space="preserve"> و آسموندسون، ۲۰۲۱؛ سازمان جهانی بهداشت</w:t>
      </w:r>
      <w:r>
        <w:rPr>
          <w:rStyle w:val="FootnoteReference"/>
        </w:rPr>
        <w:footnoteReference w:id="166"/>
      </w:r>
      <w:r>
        <w:rPr>
          <w:rFonts w:hint="cs"/>
          <w:cs w:val="0"/>
        </w:rPr>
        <w:t>، ۲۰۲۴).</w:t>
      </w:r>
    </w:p>
    <w:p w:rsidR="008908D0" w:rsidRPr="00B7369E" w:rsidRDefault="002D5E38" w:rsidP="00B7369E">
      <w:pPr>
        <w:pStyle w:val="Heading3"/>
        <w:rPr>
          <w:cs w:val="0"/>
        </w:rPr>
      </w:pPr>
      <w:bookmarkStart w:id="97" w:name="_Toc239015147"/>
      <w:bookmarkStart w:id="98" w:name="_Toc239432003"/>
      <w:r w:rsidRPr="00B7369E">
        <w:rPr>
          <w:cs w:val="0"/>
        </w:rPr>
        <w:t>۲-۴-۵- مداخلات معطوف به کاهش اضطراب سلامت سالمندان</w:t>
      </w:r>
      <w:bookmarkEnd w:id="97"/>
      <w:bookmarkEnd w:id="98"/>
    </w:p>
    <w:p w:rsidR="008908D0" w:rsidRDefault="002D5E38">
      <w:pPr>
        <w:spacing w:after="0" w:line="276" w:lineRule="auto"/>
        <w:ind w:firstLine="397"/>
        <w:jc w:val="both"/>
        <w:rPr>
          <w:color w:val="auto"/>
          <w:cs w:val="0"/>
        </w:rPr>
      </w:pPr>
      <w:r>
        <w:rPr>
          <w:rFonts w:hint="cs"/>
          <w:cs w:val="0"/>
        </w:rPr>
        <w:t>مداخلات معطوف به کاهش اضطراب سلامت سالمندان</w:t>
      </w:r>
    </w:p>
    <w:p w:rsidR="008908D0" w:rsidRDefault="002D5E38">
      <w:pPr>
        <w:spacing w:after="0" w:line="276" w:lineRule="auto"/>
        <w:ind w:firstLine="397"/>
        <w:jc w:val="both"/>
        <w:rPr>
          <w:color w:val="auto"/>
          <w:cs w:val="0"/>
        </w:rPr>
      </w:pPr>
      <w:r>
        <w:rPr>
          <w:rFonts w:hint="cs"/>
          <w:cs w:val="0"/>
        </w:rPr>
        <w:t xml:space="preserve">اضطراب و استرس در دوران سالمندی به دلیل تغییرات جسمانی، روان‌شناختی و اجتماعی، از مشکلات شایع این دوره به شمار می‌روند. کاهش توانایی‌های جسمی، ابتلا به بیماری‌های مزمن، از دست دادن همسر، دوستان یا سایر نزدیکان، کاهش استقلال، بازنشستگی و محدود شدن مشارکت اجتماعی، عواملی هستند که می‌توانند سطح اضطراب سلامت را در سالمندان افزایش دهند. این وضعیت ممکن است با نشانه‌هایی مانند بی‌قراری، نگرانی مداوم، اختلال خواب، کاهش تمرکز، خستگی، تپش قلب، افزایش فشار خون و کاهش توانایی انجام فعالیت‌های روزمره همراه باشد و در صورت تداوم، سلامت جسمی و روانی و کیفیت زندگی </w:t>
      </w:r>
      <w:r>
        <w:rPr>
          <w:rFonts w:hint="cs"/>
          <w:cs w:val="0"/>
        </w:rPr>
        <w:lastRenderedPageBreak/>
        <w:t>سالمندان را تحت تأثیر قرار دهد. از این ‌رو، مداخلاتی نظیر آموزش روان‌شناختی، درمان شناختی ـ رفتاری، افزایش فعالیت بدنی متناسب با توانایی فرد، تقویت حمایت اجتماعی، آموزش مهارت‌های مقابله با استرس، تمرین‌های آرام‌سازی و ذهن‌آگاهی و ارتقای سبک زندگی سالم، از مؤثرترین راهکارهای کاهش اضطراب سلامت و بهبود سلامت روان سالمندان محسوب می‌شوند (سازمان جهانی بهداشت، ۲۰۲۴؛ انجمن روان‌پزشکی آمریکا، ۲۰۲۲؛ مؤسسه ملی سالمندی</w:t>
      </w:r>
      <w:r>
        <w:rPr>
          <w:rStyle w:val="FootnoteReference"/>
        </w:rPr>
        <w:footnoteReference w:id="167"/>
      </w:r>
      <w:r>
        <w:rPr>
          <w:rFonts w:hint="cs"/>
          <w:cs w:val="0"/>
        </w:rPr>
        <w:t>، ۲۰۲۳).</w:t>
      </w:r>
    </w:p>
    <w:p w:rsidR="008908D0" w:rsidRDefault="002D5E38">
      <w:pPr>
        <w:spacing w:after="0" w:line="276" w:lineRule="auto"/>
        <w:ind w:firstLine="397"/>
        <w:jc w:val="both"/>
        <w:rPr>
          <w:color w:val="auto"/>
          <w:cs w:val="0"/>
        </w:rPr>
      </w:pPr>
      <w:r>
        <w:rPr>
          <w:rFonts w:hint="cs"/>
          <w:cs w:val="0"/>
        </w:rPr>
        <w:t>مداخلات مبتنی بر معنویت رویکردهای مؤثر در کاهش اضطراب و ارتقای سلامت روان سالمندان به شمار می‌روند. امروزه در ارائه مراقبت‌های جامع، توجه به نیازهای معنوی افراد در کنار ابعاد جسمی، روانی و اجتماعی، یکی از ارکان اساسی مراقبت سلامت محسوب می‌شود. سلامت معنوی به فرد کمک می‌کند تا در زندگی احساس معنا، هدف، امید و آرامش بیشتری داشته باشد و در مواجهه با بیماری، استرس و چالش‌های دوران سالمندی، سازگاری مؤثرتری نشان دهد. این مفهوم معمولاً از دو مؤلفه اصلی تشکیل شده است: سلامت مذهبی که بیانگر ارتباط فرد با خدا یا نیروی برتر است و سلامت وجودی که به احساس معنا، هدف، هویت و رضایت از زندگی اشاره دارد. این دو مؤلفه با یکدیگر تعامل داشته و در کنار هم می‌توانند به بهبود سلامت روان، کاهش اضطراب و افزایش کیفیت زندگی سالمندان کمک کنند (کونیگ</w:t>
      </w:r>
      <w:r>
        <w:rPr>
          <w:rStyle w:val="FootnoteReference"/>
        </w:rPr>
        <w:footnoteReference w:id="168"/>
      </w:r>
      <w:r>
        <w:rPr>
          <w:rFonts w:hint="cs"/>
          <w:cs w:val="0"/>
        </w:rPr>
        <w:t>، ۲۰۲۳؛ سازمان جهانی بهداشت</w:t>
      </w:r>
      <w:r>
        <w:rPr>
          <w:rStyle w:val="FootnoteReference"/>
        </w:rPr>
        <w:footnoteReference w:id="169"/>
      </w:r>
      <w:r>
        <w:rPr>
          <w:rFonts w:hint="cs"/>
          <w:cs w:val="0"/>
        </w:rPr>
        <w:t>، ۲۰۲۴).</w:t>
      </w:r>
    </w:p>
    <w:p w:rsidR="008908D0" w:rsidRDefault="002D5E38">
      <w:pPr>
        <w:spacing w:after="0" w:line="276" w:lineRule="auto"/>
        <w:ind w:firstLine="397"/>
        <w:jc w:val="both"/>
        <w:rPr>
          <w:color w:val="auto"/>
          <w:cs w:val="0"/>
        </w:rPr>
      </w:pPr>
      <w:r>
        <w:rPr>
          <w:rFonts w:hint="cs"/>
          <w:cs w:val="0"/>
        </w:rPr>
        <w:t>پژوهش‌ها نشان می‌دهند که مداخلات مبتنی بر معنادرمانی می‌توانند در ارتقای سلامت روان سالمندان نقش مؤثری داشته باشند. معنادرمانی با تأکید بر یافتن معنا و هدف در زندگی، به افراد کمک می‌کند تا در مواجهه با چالش‌های دوران سالمندی، بیماری، تنهایی، فقدان و نگرانی از مرگ، سازگاری بیشتری پیدا کنند. این رویکرد با تقویت احساس معنا، امید، مسئولیت‌پذیری و پذیرش شرایط زندگی، موجب کاهش اضطراب مرگ، اضطراب سلامت و نشانه‌های افسردگی شده و در نهایت کیفیت زندگی و بهزیستی روان‌شناختی سالمندان را بهبود می‌بخشد. ازاین‌رو، معنا در زندگی به‌عنوان یکی از عوامل محافظت‌کننده سلامت روان شناخته می‌شود و با متغیرهایی مانند امید، تاب‌آوری، رضایت از زندگی و سلامت روان رابطه مثبت دارد (وانگ</w:t>
      </w:r>
      <w:r>
        <w:rPr>
          <w:rStyle w:val="FootnoteReference"/>
        </w:rPr>
        <w:footnoteReference w:id="170"/>
      </w:r>
      <w:r>
        <w:rPr>
          <w:rFonts w:hint="cs"/>
          <w:cs w:val="0"/>
        </w:rPr>
        <w:t xml:space="preserve"> و همکاران، ۲۰۲۳؛ سوتو</w:t>
      </w:r>
      <w:r>
        <w:rPr>
          <w:rStyle w:val="FootnoteReference"/>
        </w:rPr>
        <w:footnoteReference w:id="171"/>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lastRenderedPageBreak/>
        <w:t>یکی از مداخلات غیردارویی مؤثر در کاهش استرس و اضطراب سالمندان، تکنیک آرام‌سازی پیشرونده عضلانی است. در این روش، فرد به‌صورت هدفمند گروه‌های مختلف عضلانی را به ترتیب منقبض و سپس شل می‌کند تا تنش جسمانی و برانگیختگی فیزیولوژیک کاهش یابد. پژوهش‌ها نشان داده‌اند که این تکنیک با کاهش فعالیت دستگاه عصبی سمپاتیک، بهبود تعادل دستگاه عصبی خودمختار، کاهش ضربان قلب و فشار خون و افزایش احساس آرامش، در کاهش اضطراب، استرس، اختلالات خواب و بهبود کیفیت زندگی سالمندان مؤثر است. آرام‌سازی پیشرونده عضلانی به دلیل سادگی، ایمنی، هزینه پایین و امکان آموزش در مدت‌زمان کوتاه، یکی از پرکاربردترین مداخلات مکمل در مراقبت از سالمندان محسوب می‌شود و به‌راحتی در منزل یا مراکز مراقبتی قابل اجرا است (چن</w:t>
      </w:r>
      <w:r>
        <w:rPr>
          <w:rStyle w:val="FootnoteReference"/>
        </w:rPr>
        <w:footnoteReference w:id="172"/>
      </w:r>
      <w:r>
        <w:rPr>
          <w:rFonts w:hint="cs"/>
          <w:cs w:val="0"/>
        </w:rPr>
        <w:t xml:space="preserve"> و همکاران، ۲۰۲۳؛ کاپلان</w:t>
      </w:r>
      <w:r>
        <w:rPr>
          <w:rStyle w:val="FootnoteReference"/>
        </w:rPr>
        <w:footnoteReference w:id="173"/>
      </w:r>
      <w:r>
        <w:rPr>
          <w:rFonts w:hint="cs"/>
          <w:cs w:val="0"/>
        </w:rPr>
        <w:t xml:space="preserve"> و همکاران، ۲۰۲۴).</w:t>
      </w:r>
    </w:p>
    <w:p w:rsidR="008908D0" w:rsidRDefault="002D5E38">
      <w:pPr>
        <w:spacing w:after="0" w:line="276" w:lineRule="auto"/>
        <w:ind w:firstLine="397"/>
        <w:jc w:val="both"/>
        <w:rPr>
          <w:color w:val="auto"/>
          <w:cs w:val="0"/>
        </w:rPr>
      </w:pPr>
      <w:r>
        <w:rPr>
          <w:rFonts w:hint="cs"/>
          <w:cs w:val="0"/>
        </w:rPr>
        <w:t>از دیگر راهکارهای مؤثر در کاهش اضطراب سالمندان، تقویت حمایت خانوادگی و اجتماعی و آموزش راهبردهای سازگاری روان‌شناختی است. سالمندان به دلیل تغییرات جسمانی، روانی و اجتماعی، نسبت به نحوه برخورد اطرافیان حساس‌تر هستند و رفتارهای همراه با احترام، همدلی و حمایت عاطفی می‌تواند احساس امنیت، ارزشمندی و آرامش را در آنان تقویت کند. فراهم کردن فرصت برای بیان احساسات و نگرانی‌ها، تشویق سالمندان به استفاده از وسایل کمک‌کننده در صورت نیاز، حفظ ارتباط مستمر با خانواده و دوستان، مشارکت در فعالیت‌های اجتماعی، مذهبی و اوقات فراغت، و ترغیب آنان به داشتن سبک زندگی سالم شامل تغذیه مناسب، فعالیت بدنی منظم و خواب کافی، از عوامل مؤثر در کاهش اضطراب و ارتقای سلامت روان محسوب می‌شوند. شواهد پژوهشی حاکی از آن است که مداخلات شناختی ـ رفتاری با اصلاح افکار ناکارآمد، آموزش مهارت‌های مقابله با استرس و افزایش فعالیت‌های لذت‌بخش، می‌توانند به طور مؤثری اضطراب و افسردگی سالمندان را کاهش داده و کیفیت زندگی آنان را بهبود بخشند (سازمان جهانی بهداشت</w:t>
      </w:r>
      <w:r>
        <w:rPr>
          <w:rStyle w:val="FootnoteReference"/>
        </w:rPr>
        <w:footnoteReference w:id="174"/>
      </w:r>
      <w:r>
        <w:rPr>
          <w:rFonts w:hint="cs"/>
          <w:cs w:val="0"/>
        </w:rPr>
        <w:t>، ۲۰۲۴؛ انجمن روان‌شناسی آمریکا</w:t>
      </w:r>
      <w:r>
        <w:rPr>
          <w:rStyle w:val="FootnoteReference"/>
        </w:rPr>
        <w:footnoteReference w:id="175"/>
      </w:r>
      <w:r>
        <w:rPr>
          <w:rFonts w:hint="cs"/>
          <w:cs w:val="0"/>
        </w:rPr>
        <w:t>، ۲۰۲۳؛ گولدبرگ</w:t>
      </w:r>
      <w:r>
        <w:rPr>
          <w:rStyle w:val="FootnoteReference"/>
        </w:rPr>
        <w:footnoteReference w:id="176"/>
      </w:r>
      <w:r>
        <w:rPr>
          <w:rFonts w:hint="cs"/>
          <w:cs w:val="0"/>
        </w:rPr>
        <w:t xml:space="preserve"> و همکاران، ۲۰۲۲).</w:t>
      </w:r>
    </w:p>
    <w:p w:rsidR="008908D0" w:rsidRDefault="002D5E38">
      <w:pPr>
        <w:spacing w:after="0" w:line="276" w:lineRule="auto"/>
        <w:ind w:firstLine="397"/>
        <w:jc w:val="both"/>
        <w:rPr>
          <w:color w:val="auto"/>
          <w:cs w:val="0"/>
        </w:rPr>
      </w:pPr>
      <w:r>
        <w:rPr>
          <w:rFonts w:hint="cs"/>
          <w:cs w:val="0"/>
        </w:rPr>
        <w:t xml:space="preserve">مداخلات شناختی از مؤثرترین رویکردهای روان‌شناختی در کاهش اضطراب و افسردگی سالمندان به شمار می‌روند. در این رویکرد، بر شناسایی و اصلاح افکار ناکارآمد، باورهای غیرمنطقی و خطاهای شناختی تأکید می‌شود؛ زیرا این الگوهای فکری می‌توانند موجب تداوم یا تشدید هیجان‌های منفی مانند اضطراب و افسردگی شوند. درمان شناختی ـ رفتاری به افراد کمک می‌کند تا تفسیرهای واقع‌بینانه‌تری از رویدادهای </w:t>
      </w:r>
      <w:r>
        <w:rPr>
          <w:rFonts w:hint="cs"/>
          <w:cs w:val="0"/>
        </w:rPr>
        <w:lastRenderedPageBreak/>
        <w:t>زندگی داشته باشند، راهبردهای مقابله‌ای مؤثرتری را به کار گیرند و با جایگزین کردن افکار سازگارانه به جای افکار منفی و خودکار، سلامت روان و کیفیت زندگی خود را بهبود بخشند. شواهد پژوهشی گویای این واقعیت است که این رویکرد در کاهش اضطراب، افسردگی و نگرانی‌های مرتبط با سلامت در سالمندان اثربخشی قابل‌توجهی دارد (بک</w:t>
      </w:r>
      <w:r>
        <w:rPr>
          <w:rStyle w:val="FootnoteReference"/>
        </w:rPr>
        <w:footnoteReference w:id="177"/>
      </w:r>
      <w:r>
        <w:rPr>
          <w:rFonts w:hint="cs"/>
          <w:cs w:val="0"/>
        </w:rPr>
        <w:t xml:space="preserve"> و هایگ</w:t>
      </w:r>
      <w:r>
        <w:rPr>
          <w:rStyle w:val="FootnoteReference"/>
        </w:rPr>
        <w:footnoteReference w:id="178"/>
      </w:r>
      <w:r>
        <w:rPr>
          <w:rFonts w:hint="cs"/>
          <w:cs w:val="0"/>
        </w:rPr>
        <w:t>، ۲۰۱۴؛ انجمن روان‌شناسی آمریکا، ۲۰۲۳؛ گولد</w:t>
      </w:r>
      <w:r>
        <w:rPr>
          <w:rStyle w:val="FootnoteReference"/>
        </w:rPr>
        <w:footnoteReference w:id="179"/>
      </w:r>
      <w:r>
        <w:rPr>
          <w:rFonts w:hint="cs"/>
          <w:cs w:val="0"/>
        </w:rPr>
        <w:t xml:space="preserve"> و همکاران، ۲۰۲۲).</w:t>
      </w:r>
    </w:p>
    <w:p w:rsidR="008908D0" w:rsidRDefault="002D5E38">
      <w:pPr>
        <w:spacing w:after="0" w:line="276" w:lineRule="auto"/>
        <w:ind w:firstLine="397"/>
        <w:jc w:val="both"/>
        <w:rPr>
          <w:cs w:val="0"/>
        </w:rPr>
      </w:pPr>
      <w:r>
        <w:rPr>
          <w:cs w:val="0"/>
        </w:rPr>
        <w:t>شواهد جدیدتر از ترکیب درمان شناختی-رفتاری با آرام‌سازی، حمایت اجتماعی و مداخلات معنوی در کاهش اضطراب سالمندان حمایت می‌کنند و بر مداخله چندسطحی تأکید دارند (سازمان جهانی بهداشت، ۲۰۲۴؛ انجمن روان‌شناسی آمریکا، ۲۰۲۳).</w:t>
      </w:r>
    </w:p>
    <w:p w:rsidR="008908D0" w:rsidRPr="00B7369E" w:rsidRDefault="002D5E38" w:rsidP="00B7369E">
      <w:pPr>
        <w:pStyle w:val="Heading2"/>
        <w:rPr>
          <w:cs w:val="0"/>
        </w:rPr>
      </w:pPr>
      <w:bookmarkStart w:id="99" w:name="_Toc239015148"/>
      <w:bookmarkStart w:id="100" w:name="_Toc239432004"/>
      <w:r w:rsidRPr="00B7369E">
        <w:rPr>
          <w:cs w:val="0"/>
        </w:rPr>
        <w:t>۲-۵- پیشینه پژوهش</w:t>
      </w:r>
      <w:bookmarkEnd w:id="99"/>
      <w:bookmarkEnd w:id="100"/>
    </w:p>
    <w:p w:rsidR="008908D0" w:rsidRPr="00B7369E" w:rsidRDefault="002D5E38" w:rsidP="00B7369E">
      <w:pPr>
        <w:pStyle w:val="Heading3"/>
        <w:rPr>
          <w:cs w:val="0"/>
        </w:rPr>
      </w:pPr>
      <w:bookmarkStart w:id="101" w:name="_Toc239015149"/>
      <w:bookmarkStart w:id="102" w:name="_Toc239432005"/>
      <w:r w:rsidRPr="00B7369E">
        <w:rPr>
          <w:cs w:val="0"/>
        </w:rPr>
        <w:t>۲-۵-۱- پیشینه داخلی</w:t>
      </w:r>
      <w:bookmarkEnd w:id="101"/>
      <w:bookmarkEnd w:id="102"/>
    </w:p>
    <w:p w:rsidR="008908D0" w:rsidRDefault="002D5E38">
      <w:pPr>
        <w:spacing w:after="0" w:line="276" w:lineRule="auto"/>
        <w:ind w:firstLine="397"/>
        <w:jc w:val="both"/>
        <w:rPr>
          <w:color w:val="auto"/>
          <w:cs w:val="0"/>
        </w:rPr>
      </w:pPr>
      <w:r>
        <w:rPr>
          <w:rFonts w:hint="cs"/>
          <w:cs w:val="0"/>
        </w:rPr>
        <w:t>یوسفی‌افراشته، فرتاش و ابوترابی در سال (۱۴۰۴) رابطه اضطراب مرگ و هوش معنوی را در سالمندان ایرانی بررسی کردند. این پژوهش با روش توصیفی ـ همبستگی و با مشارکت ۳۴۸ سالمند بالای ۶۰ سال در شهر زنجان انجام شد. برای گردآوری داده‌ها از مقیاس هوش معنوی، مقیاس اضطراب مرگ، پرسشنامه معنای زندگی و مقیاس تاب‌آوری استفاده شد. آزمون‌های آماری تأیید کردند که بین هوش معنوی و اضطراب مرگ رابطه منفی و معنادار وجود دارد. بر اساس خروجی‌های آماری، معنای زندگی و تاب‌آوری در رابطه میان هوش معنوی و اضطراب مرگ نقش میانجی دارند. بدین ترتیب، سالمندانی که از هوش معنوی بالاتری برخوردارند، در مقایسه با سالمندان دارای هوش معنوی پایین‌تر، اضطراب مرگ کمتری تجربه می‌کنند.</w:t>
      </w:r>
    </w:p>
    <w:p w:rsidR="008908D0" w:rsidRDefault="002D5E38">
      <w:pPr>
        <w:spacing w:after="0" w:line="276" w:lineRule="auto"/>
        <w:ind w:firstLine="397"/>
        <w:jc w:val="both"/>
        <w:rPr>
          <w:color w:val="auto"/>
          <w:cs w:val="0"/>
        </w:rPr>
      </w:pPr>
      <w:r>
        <w:rPr>
          <w:rFonts w:hint="cs"/>
          <w:cs w:val="0"/>
        </w:rPr>
        <w:t>کریمی و همکاران (۱۴۰۰) در مطالعه‌ای بر روی ۱۵۰ سالمند گزارش کردند که هوش معنوی می‌تواند اثر اضطراب سلامتی بر اضطراب مرگ را میانجی‌گری کند. به‌عبارت دیگر، افرادی که نگرانی بیشتری از وضعیت سلامت داشتند ولی دارای سطح بالاتری از هوش معنوی بودند، اضطراب مرگ کمتری تجربه می‌کردند.</w:t>
      </w:r>
    </w:p>
    <w:p w:rsidR="008908D0" w:rsidRDefault="002D5E38">
      <w:pPr>
        <w:spacing w:after="0" w:line="276" w:lineRule="auto"/>
        <w:ind w:firstLine="397"/>
        <w:jc w:val="both"/>
        <w:rPr>
          <w:color w:val="auto"/>
          <w:cs w:val="0"/>
        </w:rPr>
      </w:pPr>
      <w:r>
        <w:rPr>
          <w:rFonts w:hint="cs"/>
          <w:cs w:val="0"/>
        </w:rPr>
        <w:t xml:space="preserve">فروتن و محمدی (۱۴۰۰) ضمن پژوهشی به پیش‌بینی سلامت روان بر اساس هوش معنوی در سـالمندان ساکن شهر شیراز پرداختند. روش پژوهش همبستگی و جامعه آماری آن کلیه سالمندان ساکن شـهر شیراز </w:t>
      </w:r>
      <w:r>
        <w:rPr>
          <w:rFonts w:hint="cs"/>
          <w:cs w:val="0"/>
        </w:rPr>
        <w:lastRenderedPageBreak/>
        <w:t>بـود که براساس معیارهای ورود ۲۰۰ نفر سالمند (۹۵ نفر زن و ۱۰۵ نفر مرد) عضو کانون روزانه جهاندیدگان شـهر شیراز بـه شیوه در دسترس انتخاب شدند. داده‌های پژوهش گویای این واقعیت بودند که هـوش معنـوی می توانـد بـه طـور معنـاداری سـلامت روان را در سالمندان پیش‌بینی مثبت کند. بدین ترتیب از این نتایج برمی‌آید که رابطه مثبـت و معنـاداری بـین هـوش معنـوی و سلامت روان به عنوان دو متغیر اساسی در زندگی، وجود دارد.</w:t>
      </w:r>
    </w:p>
    <w:p w:rsidR="008908D0" w:rsidRDefault="002D5E38">
      <w:pPr>
        <w:spacing w:after="0" w:line="276" w:lineRule="auto"/>
        <w:ind w:firstLine="397"/>
        <w:jc w:val="both"/>
        <w:rPr>
          <w:color w:val="auto"/>
          <w:cs w:val="0"/>
        </w:rPr>
      </w:pPr>
      <w:r>
        <w:rPr>
          <w:rFonts w:hint="cs"/>
          <w:cs w:val="0"/>
        </w:rPr>
        <w:t>رحمانی و همکاران (۱۴۰۰) پژوهشی در شهر تبریز بر روی ۲۰۰ سالمند نشان داد که هوش معنوی می‌تواند نقش واسطه‌ای بین اضطراب سلامتی و اضطراب مرگ ایفا کند؛ بدین معنا که افراد با سطح بالاتری از هوش معنوی، اضطراب کمتری در مواجهه با مسائل سلامتی و مرگ دارند.</w:t>
      </w:r>
    </w:p>
    <w:p w:rsidR="008908D0" w:rsidRDefault="002D5E38">
      <w:pPr>
        <w:spacing w:after="0" w:line="276" w:lineRule="auto"/>
        <w:ind w:firstLine="397"/>
        <w:jc w:val="both"/>
        <w:rPr>
          <w:color w:val="auto"/>
          <w:cs w:val="0"/>
        </w:rPr>
      </w:pPr>
      <w:r>
        <w:rPr>
          <w:rFonts w:hint="cs"/>
          <w:cs w:val="0"/>
        </w:rPr>
        <w:t>سلیمانی‌زاده، محمدی نیا و سلیمانی‌زاده در سال (۱۳۹۹) رابطه سلامت معنوی و مقابله مذهبی با اضطراب مرگ در سالمندان را بررسی کردند. این پژوهش از نوع توصیفی ـ مقطعی بود و ۱۸۰ سالمند در آن شرکت کردند. ابزارهای پژوهش شامل پرسشنامه سلامت معنوی، پرسشنامه مقابله مذهبی و پرسشنامه اضطراب مرگ</w:t>
      </w:r>
      <w:r>
        <w:rPr>
          <w:rStyle w:val="FootnoteReference"/>
        </w:rPr>
        <w:footnoteReference w:id="180"/>
      </w:r>
      <w:r>
        <w:rPr>
          <w:rFonts w:hint="cs"/>
          <w:cs w:val="0"/>
        </w:rPr>
        <w:t xml:space="preserve"> بود. نتیجه به دست آمده از این پژوهش آن است که بین سلامت معنوی و مقابله مذهبی با اضطراب مرگ سالمندان رابطه معناداری وجود دارد. یافته‌های پژوهش بیانگر آن بود که برخورداری از وضعیت مطلوب‌تر سلامت معنوی و استفاده بیشتر از راهبردهای مقابله مذهبی می‌تواند با اضطراب مرگ پایین‌تر همراه باشد.</w:t>
      </w:r>
    </w:p>
    <w:p w:rsidR="008908D0" w:rsidRDefault="002D5E38">
      <w:pPr>
        <w:spacing w:after="0" w:line="276" w:lineRule="auto"/>
        <w:ind w:firstLine="397"/>
        <w:jc w:val="both"/>
        <w:rPr>
          <w:color w:val="auto"/>
          <w:cs w:val="0"/>
        </w:rPr>
      </w:pPr>
      <w:r>
        <w:rPr>
          <w:rFonts w:hint="cs"/>
          <w:cs w:val="0"/>
        </w:rPr>
        <w:t>راشدی، ابراهیمی، شریف محسنی و حسینی در سال (۱۳۹۹) رابطه اضطراب مرگ و امید به زندگی در سالمندان ایرانی را بررسی کردند. جامعه پژوهش شامل ۲۰۸ سالمند ۶۰ سال و بالاتر در</w:t>
      </w:r>
      <w:r>
        <w:rPr>
          <w:cs w:val="0"/>
        </w:rPr>
        <w:t xml:space="preserve"> اسلامشهر</w:t>
      </w:r>
      <w:r>
        <w:rPr>
          <w:rFonts w:hint="cs"/>
          <w:cs w:val="0"/>
        </w:rPr>
        <w:t xml:space="preserve"> تهران بود که از مراکز روزانه سالمندان انتخاب شدند. برای سنجش اضطراب مرگ از مقیاس اضطراب مرگ و برای سنجش امید به زندگی از مقیاس امید به زندگی استفاده شد. یافته‌های حاصل از این تحقیق بیانگر آن است که بین اضطراب مرگ و امید به زندگی رابطه منفی و معنادار وجود دارد؛ به این معنا که با افزایش اضطراب مرگ، امید به زندگی سالمندان کاهش می‌یابد. اضطراب مرگ از عوامل پیش‌بینی‌کننده کاهش امید به زندگی در سالمندان بود.</w:t>
      </w:r>
    </w:p>
    <w:p w:rsidR="008908D0" w:rsidRDefault="002D5E38">
      <w:pPr>
        <w:spacing w:after="0" w:line="276" w:lineRule="auto"/>
        <w:ind w:firstLine="397"/>
        <w:jc w:val="both"/>
        <w:rPr>
          <w:color w:val="auto"/>
          <w:cs w:val="0"/>
        </w:rPr>
      </w:pPr>
      <w:r>
        <w:rPr>
          <w:rFonts w:hint="cs"/>
          <w:cs w:val="0"/>
        </w:rPr>
        <w:t xml:space="preserve">رحیمی پور و کرمی (۱۳۹۹) ضمن پژوهشی به نقش واسطه گری هوش معنوی با بهزیستی روان شناختی و رضایت از زندگی در سالمندان یزد پرداختند روش مطالعه این پژوهش توصیفی و از نوع همبستگی می‌باشد و جامعه آماری این پژوهش همه افراد سالمند شهر یزد بودند که از این تعداد ۳۲۲ نفر سالمند از طریق نمونه </w:t>
      </w:r>
      <w:r>
        <w:rPr>
          <w:rFonts w:hint="cs"/>
          <w:cs w:val="0"/>
        </w:rPr>
        <w:lastRenderedPageBreak/>
        <w:t>گیری هدفمند جهت نمونه پژوهش انتخاب شدند و برای اندازه گیری متغیرها از پرسشنامه های هوش معنوی کینگ</w:t>
      </w:r>
      <w:r>
        <w:rPr>
          <w:rStyle w:val="FootnoteReference"/>
        </w:rPr>
        <w:footnoteReference w:id="181"/>
      </w:r>
      <w:r>
        <w:rPr>
          <w:rFonts w:hint="cs"/>
          <w:cs w:val="0"/>
        </w:rPr>
        <w:t xml:space="preserve"> رضایت از زندگی دیتر و همکارانش و بهزیستی روان شناختی ریف</w:t>
      </w:r>
      <w:r>
        <w:rPr>
          <w:rStyle w:val="FootnoteReference"/>
        </w:rPr>
        <w:footnoteReference w:id="182"/>
      </w:r>
      <w:r>
        <w:rPr>
          <w:rFonts w:hint="cs"/>
          <w:cs w:val="0"/>
        </w:rPr>
        <w:t xml:space="preserve"> استفاده شده است. یافته ها نشان داد که بین بهزیستی روان شناختی و هوش معنوی بین هوش معنوی و رضایت از زندگی در سطح (۰/۰۵) رابطه معنادار وجود دارد و بهزیستی روانشناختی قادر به تبیین ۳۹ درصد واریانس از روی رضایت از زندگی و هوش معنوی قادر به تبیین ۴۵ درصد واریانس از روی بهزیستی روان شناختی می باشد.</w:t>
      </w:r>
    </w:p>
    <w:p w:rsidR="008908D0" w:rsidRDefault="002D5E38">
      <w:pPr>
        <w:spacing w:after="0" w:line="276" w:lineRule="auto"/>
        <w:ind w:firstLine="397"/>
        <w:jc w:val="both"/>
        <w:rPr>
          <w:color w:val="auto"/>
          <w:cs w:val="0"/>
        </w:rPr>
      </w:pPr>
      <w:r>
        <w:rPr>
          <w:rFonts w:hint="cs"/>
          <w:cs w:val="0"/>
        </w:rPr>
        <w:t>مهدوی کیا و همکاران (۱۳۹۹) در مطالعه‌ای با عنوان بررسی رابطه بین هوش معنوی و اضطراب مرگ در سالمندان پرداختند، نتایج آشکار کرد که بین مؤلفه‌های هوش معنوی (مانند خودآگاهی وجودی و بُعد معنابخشی) و اضطراب مرگ، رابطه معکوس معناداری وجود دارد، هوش معنوی به عنوان عامل محافظت‌کننده عمل می‌کند.</w:t>
      </w:r>
    </w:p>
    <w:p w:rsidR="008908D0" w:rsidRDefault="002D5E38">
      <w:pPr>
        <w:spacing w:after="0" w:line="276" w:lineRule="auto"/>
        <w:ind w:firstLine="397"/>
        <w:jc w:val="both"/>
        <w:rPr>
          <w:color w:val="auto"/>
          <w:cs w:val="0"/>
        </w:rPr>
      </w:pPr>
      <w:r>
        <w:rPr>
          <w:rFonts w:hint="cs"/>
          <w:cs w:val="0"/>
        </w:rPr>
        <w:t>اکبری و یوسفی (۱۳۹۷) در پژوهشی با عنوان پیش‌بینی اضطراب مرگ سالمندان بر اساس اضطراب سلامتی و تاب‌آوری پرداختند، بررسی‌های آماری مؤید این نکته بود که اضطراب سلامتی پیش‌بینی‌کننده مثبت اضطراب مرگ است. سالمندانی که نگرانی‌های مفرط درباره وضعیت جسمانی دارند، بیشتر دچار اضطراب مرگ می‌شوند.</w:t>
      </w:r>
    </w:p>
    <w:p w:rsidR="008908D0" w:rsidRDefault="002D5E38">
      <w:pPr>
        <w:spacing w:after="0" w:line="276" w:lineRule="auto"/>
        <w:ind w:firstLine="397"/>
        <w:jc w:val="both"/>
        <w:rPr>
          <w:color w:val="auto"/>
          <w:cs w:val="0"/>
        </w:rPr>
      </w:pPr>
      <w:r>
        <w:rPr>
          <w:rFonts w:hint="cs"/>
          <w:cs w:val="0"/>
        </w:rPr>
        <w:t>کاظمی و همکاران (۱۳۹۷) در پژوهشی با عنوان "بررسی رابطه هوش معنوی و اضطراب مرگ در سالمندان ساکن خانه سالمندان و سالمندان خانواده‌ زندگی می کنند" گزارش کردند که هوش معنوی با کاهش اضطراب مرگ رابطه معنادار دارد. سالمندانی که سطح بالاتری از معنا و امید را تجربه می‌کردند، اضطراب کمتری نسبت به مرگ داشتند.</w:t>
      </w:r>
    </w:p>
    <w:p w:rsidR="008908D0" w:rsidRDefault="002D5E38">
      <w:pPr>
        <w:spacing w:after="0" w:line="276" w:lineRule="auto"/>
        <w:ind w:firstLine="397"/>
        <w:jc w:val="both"/>
        <w:rPr>
          <w:color w:val="auto"/>
          <w:cs w:val="0"/>
        </w:rPr>
      </w:pPr>
      <w:r>
        <w:rPr>
          <w:rFonts w:hint="cs"/>
          <w:cs w:val="0"/>
        </w:rPr>
        <w:t>رضایی و محمدی (۱۳۹۵) در پژوهشی با عنوان "بررسی رابطه اضطراب سلامتی و اضطراب مرگ در سالمندان شهر تهران" گزارش کردند که سالمندانی که نگرانی بیشتری درباره وضعیت جسمی و ابتلا به بیماری داشتند، بیشتر دچار اضطراب مرگ بودند. رابطه معناداری بین اضطراب سلامتی و اضطراب مرگ به‌دست آمد.</w:t>
      </w:r>
    </w:p>
    <w:p w:rsidR="008908D0" w:rsidRDefault="002D5E38">
      <w:pPr>
        <w:spacing w:after="0" w:line="276" w:lineRule="auto"/>
        <w:ind w:firstLine="397"/>
        <w:jc w:val="both"/>
        <w:rPr>
          <w:color w:val="auto"/>
          <w:cs w:val="0"/>
        </w:rPr>
      </w:pPr>
      <w:r>
        <w:rPr>
          <w:rFonts w:hint="cs"/>
          <w:cs w:val="0"/>
        </w:rPr>
        <w:t>امامی، مولوی و کلانتری (۱۳۹۳) در تحلیل مسیر اثر هوش معنوی و هوش اخلاقی بر خود شکوفایی و رضایت از زندگی در سالمندان شهر اصفهان به این نتیجه رسیدند که، هوش اخلاقی بر رضایت از زندگی و خودشکوفایی معنادار بود اما هوش معنوی بر این دو متغیر معنادار نبود.</w:t>
      </w:r>
    </w:p>
    <w:p w:rsidR="008908D0" w:rsidRDefault="002D5E38">
      <w:pPr>
        <w:spacing w:after="0" w:line="276" w:lineRule="auto"/>
        <w:ind w:firstLine="397"/>
        <w:jc w:val="both"/>
        <w:rPr>
          <w:color w:val="auto"/>
          <w:cs w:val="0"/>
        </w:rPr>
      </w:pPr>
      <w:r>
        <w:rPr>
          <w:rFonts w:hint="cs"/>
          <w:cs w:val="0"/>
        </w:rPr>
        <w:lastRenderedPageBreak/>
        <w:t>محمد پور (۱۳۹۲) در پژوهش خود با عنوان رابطه هوش معنوی و اضطراب مرگ به این نتیجه رسید که، مولفه های هوش معنوی قادر به پیش بینی اضطراب مرگ بود.</w:t>
      </w:r>
    </w:p>
    <w:p w:rsidR="008908D0" w:rsidRDefault="002D5E38">
      <w:pPr>
        <w:spacing w:after="0" w:line="276" w:lineRule="auto"/>
        <w:ind w:firstLine="397"/>
        <w:jc w:val="both"/>
        <w:rPr>
          <w:color w:val="auto"/>
          <w:cs w:val="0"/>
        </w:rPr>
      </w:pPr>
      <w:r>
        <w:rPr>
          <w:rFonts w:hint="cs"/>
          <w:cs w:val="0"/>
        </w:rPr>
        <w:t>نادری و روشنی (۱۳۹۰) به بررسی رابطه هوش معنوی و هوش اجتماعی با اضطراب مرگ زنان سالمند پرداختند و به این نتیجه رسیدند که رابطه معناداری بین هوش معنوی و اضطراب مرگ وجود دارد اما بین هوش اجتماعی با اضطراب مرگ رابطه ی معنادار وجود نداشت.</w:t>
      </w:r>
    </w:p>
    <w:p w:rsidR="008908D0" w:rsidRDefault="002D5E38">
      <w:pPr>
        <w:spacing w:after="0" w:line="276" w:lineRule="auto"/>
        <w:ind w:firstLine="397"/>
        <w:jc w:val="both"/>
        <w:rPr>
          <w:color w:val="auto"/>
          <w:cs w:val="0"/>
        </w:rPr>
      </w:pPr>
      <w:r>
        <w:rPr>
          <w:rFonts w:hint="cs"/>
          <w:cs w:val="0"/>
        </w:rPr>
        <w:t>محمدی و همکاران (۲۰۱۹) مطالعه‌ای در مورد مؤلفه‌های روانی موثر بر اضطراب مرگ سالمندان، بر نقش معنویت، سلامت ذهنی و کیفیت زندگی تأکید کردند و پیشنهاد دادند که این عوامل می‌توانند به‌صورت تعامل‌گر تأثیرگذار باشند.</w:t>
      </w:r>
    </w:p>
    <w:p w:rsidR="008908D0" w:rsidRDefault="002D5E38">
      <w:pPr>
        <w:spacing w:after="0" w:line="276" w:lineRule="auto"/>
        <w:ind w:firstLine="397"/>
        <w:jc w:val="both"/>
        <w:rPr>
          <w:color w:val="auto"/>
          <w:cs w:val="0"/>
        </w:rPr>
      </w:pPr>
      <w:r>
        <w:rPr>
          <w:rFonts w:hint="cs"/>
          <w:cs w:val="0"/>
        </w:rPr>
        <w:t>رحیمی و واعظی (۲۰۱۸) نیز در مطالعه‌ای در ایران گزارش دادند که هوش معنوی، از طریق تقویت حس پذیرش، آرامش درونی و هدفمندی زندگی، می‌تواند به‌طور معناداری اضطراب مرگ را کاهش دهد.</w:t>
      </w:r>
    </w:p>
    <w:p w:rsidR="008908D0" w:rsidRDefault="002D5E38">
      <w:pPr>
        <w:spacing w:after="0" w:line="276" w:lineRule="auto"/>
        <w:ind w:firstLine="397"/>
        <w:jc w:val="both"/>
        <w:rPr>
          <w:color w:val="auto"/>
          <w:cs w:val="0"/>
        </w:rPr>
      </w:pPr>
      <w:r>
        <w:rPr>
          <w:rFonts w:hint="cs"/>
          <w:cs w:val="0"/>
        </w:rPr>
        <w:t>امیری و همکاران (۲۰۱۶) بیان کردند که هوش معنوی می‌تواند نقش میانجی در کاهش اثرات منفی اختلالات اضطرابی، اضطراب مرگ، ایفا کند و آموزش مهارت‌های معنوی باعث افزایش تاب‌آوری روانی در دوران سالمندی می‌شود.</w:t>
      </w:r>
    </w:p>
    <w:p w:rsidR="008908D0" w:rsidRPr="00B7369E" w:rsidRDefault="002D5E38" w:rsidP="00B7369E">
      <w:pPr>
        <w:pStyle w:val="Heading3"/>
        <w:rPr>
          <w:cs w:val="0"/>
        </w:rPr>
      </w:pPr>
      <w:bookmarkStart w:id="103" w:name="_Toc239015150"/>
      <w:bookmarkStart w:id="104" w:name="_Toc239432006"/>
      <w:r w:rsidRPr="00B7369E">
        <w:rPr>
          <w:cs w:val="0"/>
        </w:rPr>
        <w:t>۲-۵-۲- پیشینه خارجی</w:t>
      </w:r>
      <w:bookmarkEnd w:id="103"/>
      <w:bookmarkEnd w:id="104"/>
    </w:p>
    <w:p w:rsidR="008908D0" w:rsidRDefault="002D5E38">
      <w:pPr>
        <w:spacing w:after="0" w:line="276" w:lineRule="auto"/>
        <w:ind w:firstLine="397"/>
        <w:jc w:val="both"/>
        <w:rPr>
          <w:cs w:val="0"/>
        </w:rPr>
      </w:pPr>
      <w:r>
        <w:rPr>
          <w:rFonts w:hint="cs"/>
          <w:cs w:val="0"/>
        </w:rPr>
        <w:t>لو</w:t>
      </w:r>
      <w:r>
        <w:rPr>
          <w:rStyle w:val="FootnoteReference"/>
        </w:rPr>
        <w:footnoteReference w:id="183"/>
      </w:r>
      <w:r>
        <w:rPr>
          <w:rFonts w:hint="cs"/>
          <w:cs w:val="0"/>
        </w:rPr>
        <w:t>، یانگ</w:t>
      </w:r>
      <w:r>
        <w:rPr>
          <w:rStyle w:val="FootnoteReference"/>
        </w:rPr>
        <w:footnoteReference w:id="184"/>
      </w:r>
      <w:r>
        <w:rPr>
          <w:rFonts w:hint="cs"/>
          <w:cs w:val="0"/>
        </w:rPr>
        <w:t>و ما</w:t>
      </w:r>
      <w:r>
        <w:rPr>
          <w:rStyle w:val="FootnoteReference"/>
        </w:rPr>
        <w:footnoteReference w:id="185"/>
      </w:r>
      <w:r>
        <w:rPr>
          <w:rFonts w:hint="cs"/>
          <w:cs w:val="0"/>
        </w:rPr>
        <w:t>در سال (۲۰۲۵) با انجام یک فراتحلیل شبکه‌ای، اثربخشی روش‌های مختلف روان‌شناختی در کاهش اضطراب مرگ سالمندان را بررسی کردند. در این پژوهش ۷ مطالعه کارآزمایی تصادفی‌شده با مجموع ۲۶۶ سالمند وارد تحلیل شدند. نتایج تحلیل‌های آماری نشان داد که مداخلات روان‌شناختی مختلف می‌توانند اضطراب مرگ سالمندان را کاهش دهند. در میان روش‌های بررسی‌شده، آموزش مؤلفه‌های مرتبطبا هوش معنوی بیشترین رتبه اثربخشی را در کاهش اضطراب مرگ سالمندان به دست آورد. این یافته به‌طور مستقیم از اهمیت هوش معنوی در کاهش اضطراب مرگ سالمندان حمایت می‌کند.</w:t>
      </w:r>
    </w:p>
    <w:p w:rsidR="008908D0" w:rsidRDefault="002D5E38">
      <w:pPr>
        <w:spacing w:after="0" w:line="276" w:lineRule="auto"/>
        <w:ind w:firstLine="397"/>
        <w:jc w:val="both"/>
        <w:rPr>
          <w:cs w:val="0"/>
        </w:rPr>
      </w:pPr>
      <w:r>
        <w:rPr>
          <w:rFonts w:hint="cs"/>
          <w:cs w:val="0"/>
        </w:rPr>
        <w:t>یونس</w:t>
      </w:r>
      <w:r>
        <w:rPr>
          <w:rStyle w:val="FootnoteReference"/>
        </w:rPr>
        <w:footnoteReference w:id="186"/>
      </w:r>
      <w:r>
        <w:rPr>
          <w:rFonts w:hint="cs"/>
          <w:cs w:val="0"/>
        </w:rPr>
        <w:t>، رحمه</w:t>
      </w:r>
      <w:r>
        <w:rPr>
          <w:rStyle w:val="FootnoteReference"/>
        </w:rPr>
        <w:footnoteReference w:id="187"/>
      </w:r>
      <w:r>
        <w:rPr>
          <w:rFonts w:hint="cs"/>
          <w:cs w:val="0"/>
        </w:rPr>
        <w:t>، راجحا</w:t>
      </w:r>
      <w:r>
        <w:rPr>
          <w:rStyle w:val="FootnoteReference"/>
        </w:rPr>
        <w:footnoteReference w:id="188"/>
      </w:r>
      <w:r>
        <w:rPr>
          <w:rFonts w:hint="cs"/>
          <w:cs w:val="0"/>
        </w:rPr>
        <w:t>و مزواک</w:t>
      </w:r>
      <w:r>
        <w:rPr>
          <w:rStyle w:val="FootnoteReference"/>
        </w:rPr>
        <w:footnoteReference w:id="189"/>
      </w:r>
      <w:r>
        <w:rPr>
          <w:rFonts w:hint="cs"/>
          <w:cs w:val="0"/>
        </w:rPr>
        <w:t xml:space="preserve">در سال (۲۰۲۴) یک مطالعه مروری درباره اضطراب مرگ در سالمندان انجام دادند. در این مطالعه، ۴۶ پژوهش مورد بررسی قرار گرفت و عوامل مرتبط با اضطراب مرگ سالمندان </w:t>
      </w:r>
      <w:r>
        <w:rPr>
          <w:rFonts w:hint="cs"/>
          <w:cs w:val="0"/>
        </w:rPr>
        <w:lastRenderedPageBreak/>
        <w:t>در چند گروه اصلی شامل عوامل جمعیت‌شناختی، عوامل روان‌شناختی و اجتماعی، عوامل معنوی و مذهبی، مواجهه با یادآورهای مرگ و مداخلات مؤثر دسته‌بندی شدند. بررسی فرضیه‌ها مشخص کرد که اضطراب مرگ سالمندان پدیده‌ای چندبعدی است و عوامل روان‌شناختی، اجتماعی و معنوی در شکل‌گیری و شدت آن نقش دارند. این مطالعه بر اهمیت توجه به عوامل معنوی و روان‌شناختی در پیشگیری و کاهش اضطراب مرگ سالمندان تأکید می‌کند.</w:t>
      </w:r>
    </w:p>
    <w:p w:rsidR="008908D0" w:rsidRDefault="002D5E38">
      <w:pPr>
        <w:spacing w:after="0" w:line="276" w:lineRule="auto"/>
        <w:ind w:firstLine="397"/>
        <w:jc w:val="both"/>
        <w:rPr>
          <w:cs w:val="0"/>
        </w:rPr>
      </w:pPr>
      <w:r>
        <w:rPr>
          <w:rFonts w:hint="cs"/>
          <w:cs w:val="0"/>
        </w:rPr>
        <w:t>کیلینگزورث</w:t>
      </w:r>
      <w:r>
        <w:rPr>
          <w:rStyle w:val="FootnoteReference"/>
        </w:rPr>
        <w:footnoteReference w:id="190"/>
      </w:r>
      <w:r>
        <w:rPr>
          <w:rFonts w:hint="cs"/>
          <w:cs w:val="0"/>
        </w:rPr>
        <w:t>و همکاران در سال (۲۰۲۳) رابطه ترس از مرگ و اضطراب بیماری در سالمندان را بررسی کردند. نمونه پژوهش شامل ۲۶۰ سالمند ۶۵ تا ۹۴ ساله بود. بر مبنای یافته‌های آماری، ترس از مرگ به‌طور مستقیم با اضطراب بیماری ارتباط دارد و عدم تحمل بلاتکلیفی در این رابطه نقش میانجی ایفا می‌کند. به عبارت دیگر، سالمندانی که ترس بیشتری از مرگ داشتند، احتمال بیشتری داشت که اضطراب بیماری بالاتری را تجربه کنند. این یافته برای پژوهش حاضر اهمیت زیادی دارد؛ زیرا از وجود ارتباط میان اضطراب سلامت و اضطراب مرگ در سالمندان حمایت می‌کند.</w:t>
      </w:r>
    </w:p>
    <w:p w:rsidR="008908D0" w:rsidRDefault="002D5E38">
      <w:pPr>
        <w:autoSpaceDE/>
        <w:autoSpaceDN/>
        <w:adjustRightInd/>
        <w:spacing w:after="0" w:line="276" w:lineRule="auto"/>
        <w:ind w:firstLine="397"/>
        <w:jc w:val="both"/>
        <w:rPr>
          <w:color w:val="auto"/>
          <w:cs w:val="0"/>
        </w:rPr>
      </w:pPr>
      <w:r>
        <w:rPr>
          <w:rFonts w:hint="cs"/>
          <w:cs w:val="0"/>
        </w:rPr>
        <w:t>وانگ</w:t>
      </w:r>
      <w:r>
        <w:rPr>
          <w:rStyle w:val="FootnoteReference"/>
        </w:rPr>
        <w:footnoteReference w:id="191"/>
      </w:r>
      <w:r>
        <w:rPr>
          <w:rFonts w:hint="cs"/>
          <w:cs w:val="0"/>
        </w:rPr>
        <w:t>و ژائو</w:t>
      </w:r>
      <w:r>
        <w:rPr>
          <w:rStyle w:val="FootnoteReference"/>
        </w:rPr>
        <w:footnoteReference w:id="192"/>
      </w:r>
      <w:r>
        <w:rPr>
          <w:rFonts w:hint="cs"/>
          <w:cs w:val="0"/>
        </w:rPr>
        <w:t>(۲۰۲۰) ضمن پژوهشی به رابطه هوش معنوی با بهزیستی روانی و هدف در زندگی سالمندان پرداختند. مطالعه از نوع توصیفی همبستگی بود در این مطالعه ۴۰۰ سالمند از بین سالمندان شهر شنیانگ به روش نمونه گیری در دسترس انتخاب شدند نتایج آشکار کرد که بین هوش معنوی و بهزیستی روانشناختی و داشتن هدف در زندگی سالمندان رابطه معنی داری وجود دارد ارتباط معناداری بین اجزای هوش معنوی گسترش حالت، آگاهانه تولید معنای، شخصی آگاهی متعالی و تفکر وجودی انتقادی با بهزیستی روانشناختی سالمندان وجود دارد.</w:t>
      </w:r>
    </w:p>
    <w:p w:rsidR="008908D0" w:rsidRDefault="002D5E38">
      <w:pPr>
        <w:autoSpaceDE/>
        <w:autoSpaceDN/>
        <w:adjustRightInd/>
        <w:spacing w:after="0" w:line="276" w:lineRule="auto"/>
        <w:ind w:firstLine="397"/>
        <w:jc w:val="both"/>
        <w:rPr>
          <w:color w:val="auto"/>
          <w:cs w:val="0"/>
        </w:rPr>
      </w:pPr>
      <w:r>
        <w:rPr>
          <w:rFonts w:hint="cs"/>
          <w:cs w:val="0"/>
        </w:rPr>
        <w:t>استاوروا</w:t>
      </w:r>
      <w:r>
        <w:rPr>
          <w:rStyle w:val="FootnoteReference"/>
        </w:rPr>
        <w:footnoteReference w:id="193"/>
      </w:r>
      <w:r>
        <w:rPr>
          <w:rFonts w:hint="cs"/>
          <w:cs w:val="0"/>
        </w:rPr>
        <w:t xml:space="preserve"> و همکاران (۲۰۱۲) در پژوهش خود به بررسی این سوال پرداخت که چرا افراد مذهبی خوشحالند؟ و به این نتیجه رسید که افراد دارای معنویت باال و دیندار به طور متوسط از افراد غیرمذهبی خوشحالترند و از زندگی خود رضایت بیشتری دارند.</w:t>
      </w:r>
    </w:p>
    <w:p w:rsidR="008908D0" w:rsidRDefault="002D5E38">
      <w:pPr>
        <w:autoSpaceDE/>
        <w:autoSpaceDN/>
        <w:adjustRightInd/>
        <w:spacing w:after="0" w:line="276" w:lineRule="auto"/>
        <w:ind w:firstLine="397"/>
        <w:jc w:val="both"/>
        <w:rPr>
          <w:color w:val="auto"/>
          <w:cs w:val="0"/>
        </w:rPr>
      </w:pPr>
      <w:r>
        <w:rPr>
          <w:rFonts w:hint="cs"/>
          <w:cs w:val="0"/>
        </w:rPr>
        <w:lastRenderedPageBreak/>
        <w:t>یانکر</w:t>
      </w:r>
      <w:r>
        <w:rPr>
          <w:rStyle w:val="FootnoteReference"/>
        </w:rPr>
        <w:footnoteReference w:id="194"/>
      </w:r>
      <w:r>
        <w:rPr>
          <w:rFonts w:hint="cs"/>
          <w:cs w:val="0"/>
        </w:rPr>
        <w:t>، اسنابلروچ</w:t>
      </w:r>
      <w:r>
        <w:rPr>
          <w:rStyle w:val="FootnoteReference"/>
        </w:rPr>
        <w:footnoteReference w:id="195"/>
      </w:r>
      <w:r>
        <w:rPr>
          <w:rFonts w:hint="cs"/>
          <w:cs w:val="0"/>
        </w:rPr>
        <w:t>و دهان</w:t>
      </w:r>
      <w:r>
        <w:rPr>
          <w:rStyle w:val="FootnoteReference"/>
        </w:rPr>
        <w:footnoteReference w:id="196"/>
      </w:r>
      <w:r>
        <w:rPr>
          <w:rFonts w:hint="cs"/>
          <w:cs w:val="0"/>
        </w:rPr>
        <w:t>(۲۰۱۲) در پژوهشی با عنوان رابطه مذهبی بودن و نتایج آن بر پیامدهای روانشناسی در سالمندان به این نتیجه رسیدند که مذهبی و معنوی بودن بر بروز افسردگی، سلامت روان، عزت نفس و خوش‌بینی تاثیر می گذارد.</w:t>
      </w:r>
    </w:p>
    <w:p w:rsidR="008908D0" w:rsidRDefault="002D5E38">
      <w:pPr>
        <w:autoSpaceDE/>
        <w:autoSpaceDN/>
        <w:adjustRightInd/>
        <w:spacing w:after="0" w:line="276" w:lineRule="auto"/>
        <w:ind w:firstLine="397"/>
        <w:jc w:val="both"/>
        <w:rPr>
          <w:color w:val="auto"/>
          <w:cs w:val="0"/>
        </w:rPr>
      </w:pPr>
      <w:r>
        <w:rPr>
          <w:rFonts w:hint="cs"/>
          <w:cs w:val="0"/>
        </w:rPr>
        <w:t>زنگ</w:t>
      </w:r>
      <w:r>
        <w:rPr>
          <w:rStyle w:val="FootnoteReference"/>
        </w:rPr>
        <w:footnoteReference w:id="197"/>
      </w:r>
      <w:r>
        <w:rPr>
          <w:rFonts w:hint="cs"/>
          <w:cs w:val="0"/>
        </w:rPr>
        <w:t>، گو</w:t>
      </w:r>
      <w:r>
        <w:rPr>
          <w:rStyle w:val="FootnoteReference"/>
        </w:rPr>
        <w:footnoteReference w:id="198"/>
      </w:r>
      <w:r>
        <w:rPr>
          <w:rFonts w:hint="cs"/>
          <w:cs w:val="0"/>
        </w:rPr>
        <w:t>و جورج</w:t>
      </w:r>
      <w:r>
        <w:rPr>
          <w:rStyle w:val="FootnoteReference"/>
        </w:rPr>
        <w:footnoteReference w:id="199"/>
      </w:r>
      <w:r>
        <w:rPr>
          <w:rFonts w:hint="cs"/>
          <w:cs w:val="0"/>
        </w:rPr>
        <w:t>(۲۰۱۱) در پژوهشی طولی بر روی ۹۰۱۷ سالمند ۸۵ سال به بالا و ۶۹۵۶ سالمند ۶۵ تا ۸۴ سال در چین گزارش کردند که مشارکت منظم در فعالیت‌های مذهبی با کاهش ۲۴ درصدی خطر مرگ همراه است و این رابطه پس از تعدیل وضعیت سلامت پایه نیز با کاهش ۲۱ درصدی خطر مرگ برقرار می‌ماند.</w:t>
      </w:r>
    </w:p>
    <w:p w:rsidR="008908D0" w:rsidRDefault="002D5E38" w:rsidP="000E3BC2">
      <w:pPr>
        <w:autoSpaceDE/>
        <w:autoSpaceDN/>
        <w:adjustRightInd/>
        <w:spacing w:after="0" w:line="276" w:lineRule="auto"/>
        <w:ind w:firstLine="397"/>
        <w:jc w:val="both"/>
        <w:rPr>
          <w:color w:val="auto"/>
          <w:cs w:val="0"/>
        </w:rPr>
      </w:pPr>
      <w:r w:rsidRPr="000E3BC2">
        <w:rPr>
          <w:cs w:val="0"/>
        </w:rPr>
        <w:t>لوین</w:t>
      </w:r>
      <w:r>
        <w:rPr>
          <w:rStyle w:val="FootnoteReference"/>
        </w:rPr>
        <w:footnoteReference w:id="200"/>
      </w:r>
      <w:r>
        <w:rPr>
          <w:cs w:val="0"/>
        </w:rPr>
        <w:t>و همکاران (۲۰۱۱) گزارش کردند که</w:t>
      </w:r>
      <w:r>
        <w:rPr>
          <w:i/>
          <w:color w:val="666666"/>
          <w:sz w:val="20"/>
          <w:cs w:val="0"/>
        </w:rPr>
        <w:t xml:space="preserve"> </w:t>
      </w:r>
      <w:r>
        <w:rPr>
          <w:cs w:val="0"/>
        </w:rPr>
        <w:t>باورهای معنوی و هوش معنوی تأثیر بسزایی بر کاهش اضطراب مرگ سالمندان ایفا می‌کند. معنویت به افراد کمک می‌کند تا زندگی و مرگ را معنادارتر ببینند.</w:t>
      </w:r>
    </w:p>
    <w:p w:rsidR="008908D0" w:rsidRDefault="002D5E38">
      <w:pPr>
        <w:autoSpaceDE/>
        <w:autoSpaceDN/>
        <w:adjustRightInd/>
        <w:spacing w:after="0" w:line="276" w:lineRule="auto"/>
        <w:ind w:firstLine="397"/>
        <w:jc w:val="both"/>
        <w:rPr>
          <w:color w:val="auto"/>
          <w:cs w:val="0"/>
        </w:rPr>
      </w:pPr>
      <w:r>
        <w:rPr>
          <w:rFonts w:hint="cs"/>
          <w:cs w:val="0"/>
        </w:rPr>
        <w:t>سعاد</w:t>
      </w:r>
      <w:r>
        <w:rPr>
          <w:rStyle w:val="FootnoteReference"/>
        </w:rPr>
        <w:footnoteReference w:id="201"/>
      </w:r>
      <w:r>
        <w:rPr>
          <w:rFonts w:hint="cs"/>
          <w:cs w:val="0"/>
        </w:rPr>
        <w:t>، زارینا مت، زولکرنین آ. حتا</w:t>
      </w:r>
      <w:r>
        <w:rPr>
          <w:rStyle w:val="FootnoteReference"/>
        </w:rPr>
        <w:footnoteReference w:id="202"/>
      </w:r>
      <w:r>
        <w:rPr>
          <w:rFonts w:hint="cs"/>
          <w:cs w:val="0"/>
        </w:rPr>
        <w:t>و نوریا محمد</w:t>
      </w:r>
      <w:r>
        <w:rPr>
          <w:rStyle w:val="FootnoteReference"/>
        </w:rPr>
        <w:footnoteReference w:id="203"/>
      </w:r>
      <w:r>
        <w:rPr>
          <w:rFonts w:hint="cs"/>
          <w:cs w:val="0"/>
        </w:rPr>
        <w:t>(۲۰۱۰) در مطالعه‌ای اثر هوش معنوی را روی سلامت افراد مسن بررسی کرده اند. در این مطالعه ۳۷۸ فرد مسن مورد مطالعه قرار گرفتند. ابتدا سطوح هوش معنوی و سلامت عمومی این افراد مورد شناسایی و در ادامه رابطه بین هوش معنوی و سلامت این افراد و تفاوت‌های سطوح هوش معنوی و سلامت مبتنی بر عوامل جمعیت شناختی انتخاب شده مورد بررسی قرار گرفت و غالب ترین بعد هوش معنوی که سلامت را تحت تأثیر قرار می‌داد شناسایی شد. یافته‌ها حاکی از آن بود که اکثریت آزمودنی‌ها از سلامت خوب و هوش معنوی عالی ای برخوردار بودند یافته ها حاکی از این بودند که هوش معنوی به طور مثبتی با سلامت عمومی رابطه دارد. نشان داده شد که آن دسته از آزمودنی هایی که هوش معنوی بالاتری دارند گرایش به داشتن سلامت عمومی بالاتری دارند. توانایی اداره‌ی زندگی با احساسی از تقدس مبتنی بر باور معنوی فرد اصلی ترین عامل پیش‌بینی کننده سلامت بود.</w:t>
      </w:r>
    </w:p>
    <w:p w:rsidR="008908D0" w:rsidRDefault="002D5E38">
      <w:pPr>
        <w:autoSpaceDE/>
        <w:autoSpaceDN/>
        <w:adjustRightInd/>
        <w:spacing w:after="0" w:line="276" w:lineRule="auto"/>
        <w:ind w:firstLine="397"/>
        <w:jc w:val="both"/>
        <w:rPr>
          <w:color w:val="auto"/>
          <w:cs w:val="0"/>
        </w:rPr>
      </w:pPr>
      <w:r>
        <w:rPr>
          <w:rFonts w:hint="cs"/>
          <w:cs w:val="0"/>
        </w:rPr>
        <w:lastRenderedPageBreak/>
        <w:t>چالن</w:t>
      </w:r>
      <w:r>
        <w:rPr>
          <w:rStyle w:val="FootnoteReference"/>
        </w:rPr>
        <w:footnoteReference w:id="204"/>
      </w:r>
      <w:r>
        <w:rPr>
          <w:rFonts w:hint="cs"/>
          <w:cs w:val="0"/>
        </w:rPr>
        <w:t>، زبراکی</w:t>
      </w:r>
      <w:r>
        <w:rPr>
          <w:rStyle w:val="FootnoteReference"/>
        </w:rPr>
        <w:footnoteReference w:id="205"/>
      </w:r>
      <w:r>
        <w:rPr>
          <w:rFonts w:hint="cs"/>
          <w:cs w:val="0"/>
        </w:rPr>
        <w:t>و وگل</w:t>
      </w:r>
      <w:r>
        <w:rPr>
          <w:rStyle w:val="FootnoteReference"/>
        </w:rPr>
        <w:footnoteReference w:id="206"/>
      </w:r>
      <w:r>
        <w:rPr>
          <w:rFonts w:hint="cs"/>
          <w:cs w:val="0"/>
        </w:rPr>
        <w:t>(۲۰۱۰) در پژوهش خود به بررسی رابطه هوش معنوی با رضایت از زندگی پرداختند و به این نتیجه رسیدند که هوش معنوی رابطه معناداری با رضایت از زندگی دارد.</w:t>
      </w:r>
    </w:p>
    <w:p w:rsidR="008908D0" w:rsidRDefault="002D5E38">
      <w:pPr>
        <w:autoSpaceDE/>
        <w:autoSpaceDN/>
        <w:adjustRightInd/>
        <w:spacing w:after="0" w:line="276" w:lineRule="auto"/>
        <w:ind w:firstLine="397"/>
        <w:jc w:val="both"/>
        <w:rPr>
          <w:color w:val="auto"/>
          <w:cs w:val="0"/>
        </w:rPr>
      </w:pPr>
      <w:r>
        <w:rPr>
          <w:rFonts w:hint="cs"/>
          <w:cs w:val="0"/>
        </w:rPr>
        <w:t>کینگ</w:t>
      </w:r>
      <w:r>
        <w:rPr>
          <w:rStyle w:val="FootnoteReference"/>
        </w:rPr>
        <w:footnoteReference w:id="207"/>
      </w:r>
      <w:r>
        <w:rPr>
          <w:rFonts w:hint="cs"/>
          <w:cs w:val="0"/>
        </w:rPr>
        <w:t>و دی‌سیکو</w:t>
      </w:r>
      <w:r>
        <w:rPr>
          <w:rStyle w:val="FootnoteReference"/>
        </w:rPr>
        <w:footnoteReference w:id="208"/>
      </w:r>
      <w:r>
        <w:rPr>
          <w:rFonts w:hint="cs"/>
          <w:cs w:val="0"/>
        </w:rPr>
        <w:t>(۲۰۰۹) گزارش کردند که هوش معنوی با سلامت روانی و کاهش اضطراب وجودی ارتباط مثبت دارد. در افراد مسن، هوش معنوی با پذیرش مرگ و کاهش ترس از آن مرتبط است.</w:t>
      </w:r>
    </w:p>
    <w:p w:rsidR="008908D0" w:rsidRDefault="002D5E38">
      <w:pPr>
        <w:autoSpaceDE/>
        <w:autoSpaceDN/>
        <w:adjustRightInd/>
        <w:spacing w:after="0" w:line="276" w:lineRule="auto"/>
        <w:ind w:firstLine="397"/>
        <w:jc w:val="both"/>
        <w:rPr>
          <w:color w:val="auto"/>
          <w:cs w:val="0"/>
        </w:rPr>
      </w:pPr>
      <w:r>
        <w:rPr>
          <w:rFonts w:hint="cs"/>
          <w:cs w:val="0"/>
        </w:rPr>
        <w:t>جین</w:t>
      </w:r>
      <w:r>
        <w:rPr>
          <w:rStyle w:val="FootnoteReference"/>
        </w:rPr>
        <w:footnoteReference w:id="209"/>
      </w:r>
      <w:r>
        <w:rPr>
          <w:rFonts w:hint="cs"/>
          <w:cs w:val="0"/>
        </w:rPr>
        <w:t xml:space="preserve"> و پوروحیت</w:t>
      </w:r>
      <w:r>
        <w:rPr>
          <w:rStyle w:val="FootnoteReference"/>
        </w:rPr>
        <w:footnoteReference w:id="210"/>
      </w:r>
      <w:r>
        <w:rPr>
          <w:rFonts w:hint="cs"/>
          <w:cs w:val="0"/>
        </w:rPr>
        <w:t xml:space="preserve"> (۲۰۰۶) پژوهشی با عنوان مطالعه هوش معنوی افراد مسن انجام دادند. در این پژوهش ۲۰۰ نفر شهروند بزرگسال با وضعیت زندگی متفاوت شامل ۱۰۰ نفر از افرادی که با خانواده خود زندگی می کردند و ۱۰۰ نفر دیگر که در خانه سالمندان زندگی می کردند انتخاب شدند. تحلیل داده‌ها آشکار ساخت که هیچ تفاوت زیادی بین این دو گروه نسبت به هوش معنوی آنان وجود نداشت، در حالی که بیانگر تفاوت های قابل توجهی درمیان بعدهای مختلف روانی و روحی خدا، دین مداری، روح، خودشناسی، روابط درونی، معنویت، روحیه کمک رسانی، توانایی استفاده و غلبه بر مشکلات، توانایی فراموش کردن درد و آگاهی معنوی در مورد قضیه مرگ بود.</w:t>
      </w:r>
    </w:p>
    <w:p w:rsidR="008908D0" w:rsidRDefault="002D5E38">
      <w:pPr>
        <w:autoSpaceDE/>
        <w:autoSpaceDN/>
        <w:adjustRightInd/>
        <w:spacing w:after="0" w:line="276" w:lineRule="auto"/>
        <w:ind w:firstLine="397"/>
        <w:jc w:val="both"/>
        <w:rPr>
          <w:color w:val="auto"/>
          <w:cs w:val="0"/>
        </w:rPr>
      </w:pPr>
      <w:r>
        <w:rPr>
          <w:rFonts w:hint="cs"/>
          <w:cs w:val="0"/>
        </w:rPr>
        <w:t>هاردینگ</w:t>
      </w:r>
      <w:r>
        <w:rPr>
          <w:rStyle w:val="FootnoteReference"/>
        </w:rPr>
        <w:footnoteReference w:id="211"/>
      </w:r>
      <w:r>
        <w:rPr>
          <w:rFonts w:hint="cs"/>
          <w:cs w:val="0"/>
        </w:rPr>
        <w:t xml:space="preserve"> و همکاران (۲۰۰۵) در مطالعه‌ای درباره اضطراب مرگ در بیماران سالمند، مشخص شد که سطح بالای اضطراب سلامتی می‌تواند اضطراب مرگ را افزایش دهد. آن دسته از سالمندان که نگران تشخیص‌های نهایی یا بیماری‌های مزمن بودند، اضطراب مرگ بیشتری داشتند.</w:t>
      </w:r>
    </w:p>
    <w:p w:rsidR="008908D0" w:rsidRDefault="002D5E38">
      <w:pPr>
        <w:autoSpaceDE/>
        <w:autoSpaceDN/>
        <w:adjustRightInd/>
        <w:spacing w:after="0" w:line="276" w:lineRule="auto"/>
        <w:ind w:firstLine="397"/>
        <w:jc w:val="both"/>
        <w:rPr>
          <w:color w:val="auto"/>
          <w:cs w:val="0"/>
        </w:rPr>
      </w:pPr>
      <w:r>
        <w:rPr>
          <w:rFonts w:hint="cs"/>
          <w:cs w:val="0"/>
        </w:rPr>
        <w:t>دورسون</w:t>
      </w:r>
      <w:r>
        <w:rPr>
          <w:rStyle w:val="FootnoteReference"/>
        </w:rPr>
        <w:footnoteReference w:id="212"/>
      </w:r>
      <w:r>
        <w:rPr>
          <w:rFonts w:hint="cs"/>
          <w:cs w:val="0"/>
        </w:rPr>
        <w:t xml:space="preserve"> و پاوول</w:t>
      </w:r>
      <w:r>
        <w:rPr>
          <w:rStyle w:val="FootnoteReference"/>
        </w:rPr>
        <w:footnoteReference w:id="213"/>
      </w:r>
      <w:r>
        <w:rPr>
          <w:rFonts w:hint="cs"/>
          <w:cs w:val="0"/>
        </w:rPr>
        <w:t xml:space="preserve"> (۱۹۹۸) در پژوهشی با عنوان «عناصر اضطراب مرگ ومعانی مرگ» به بررسی دیدگاه افراد نسبت به مرگ و میزان اضطراب ناشی از آن پرداختند. در این مطالعه که با مشارکت ۵۹۹ نفر ازگروه های سنی مختلف انجام شد، ابعاد گوناگون اضطراب مرگ شامل ترس از ناشناخته، نگرانی درباره خود، نگرانی برای عزیزان، و نگرانی درباره معنا وهدف زندگی شناسایی گردید. یکی از یافته های مهم این پژوهش تفاوت معنادار بین زنان و مردان در میزان اضطراب مرگ بود، به طوری که زنان نسبت به مردان سطوح بالاتری از اضطراب مرگ را گزارش کردند. این تفاوت ممکن است به عوامل روان شناختی، اجتماعی و فرهنگی مرتبط با نقش های جنسیتی و حساسیت های هیجانی بیشتر در زنان نسبت داده شود. یافته ها نشان داد که </w:t>
      </w:r>
      <w:r>
        <w:rPr>
          <w:rFonts w:hint="cs"/>
          <w:cs w:val="0"/>
        </w:rPr>
        <w:lastRenderedPageBreak/>
        <w:t>افراد جوان تر اضطراب مرگ بیشتری نسبت به سالمندان تجربه می کنند، که می تواند ناشی از درک کمتر آنان از پدیده مرگ و تجربه کمتر با فقدان باشد. پژوهش دورسون و پاوول نه تنها به تبیین ساختارهای روانی موثر بر نگرش نسبت به مرگ کمک کرد، بلکه زمینه ساز مطالعات گسترده تری در حوزه تفاوت های فردی، جنسیتی و سنی در اضطراب مرگ شد.</w:t>
      </w:r>
    </w:p>
    <w:p w:rsidR="008908D0" w:rsidRDefault="002D5E38">
      <w:pPr>
        <w:autoSpaceDE/>
        <w:autoSpaceDN/>
        <w:adjustRightInd/>
        <w:spacing w:after="0" w:line="276" w:lineRule="auto"/>
        <w:ind w:firstLine="397"/>
        <w:jc w:val="both"/>
        <w:rPr>
          <w:color w:val="auto"/>
          <w:cs w:val="0"/>
        </w:rPr>
      </w:pPr>
      <w:r>
        <w:rPr>
          <w:rFonts w:hint="cs"/>
          <w:cs w:val="0"/>
        </w:rPr>
        <w:t>موریرا</w:t>
      </w:r>
      <w:r>
        <w:rPr>
          <w:rStyle w:val="FootnoteReference"/>
        </w:rPr>
        <w:footnoteReference w:id="214"/>
      </w:r>
      <w:r>
        <w:rPr>
          <w:rFonts w:hint="cs"/>
          <w:cs w:val="0"/>
        </w:rPr>
        <w:t xml:space="preserve"> آلمیدا و کونیگ</w:t>
      </w:r>
      <w:r>
        <w:rPr>
          <w:rStyle w:val="FootnoteReference"/>
        </w:rPr>
        <w:footnoteReference w:id="215"/>
      </w:r>
      <w:r>
        <w:rPr>
          <w:rFonts w:hint="cs"/>
          <w:cs w:val="0"/>
        </w:rPr>
        <w:t>(۲۰۰۶) اعلام نمودند که بین معنویت و بهزیستی ذهنی رابطه وجود دارد. آنان با تجزیه و تحلیل بیش از ۲۰۰۰ پژوهش قرن بیستم میلادی مرتبط با مذهب و شادمانی متوجه شدند که بین مفاهیم بهزیستی ذهنی، رضایت از زندگی، شادی، خلق مثبت و پایبندی اخلاقی و کاهش افسردگی، رفتار خود کشی، سوء مصرف الکل و مواد مخدر رابطه دارد شرایط کلی نشان داده است که سلامت روانی بهتر با مذهب رابطه دارد.</w:t>
      </w:r>
    </w:p>
    <w:p w:rsidR="008908D0" w:rsidRDefault="002D5E38">
      <w:pPr>
        <w:autoSpaceDE/>
        <w:autoSpaceDN/>
        <w:adjustRightInd/>
        <w:spacing w:after="0" w:line="276" w:lineRule="auto"/>
        <w:ind w:firstLine="397"/>
        <w:jc w:val="both"/>
        <w:rPr>
          <w:color w:val="auto"/>
          <w:cs w:val="0"/>
        </w:rPr>
      </w:pPr>
      <w:r>
        <w:rPr>
          <w:rFonts w:hint="cs"/>
          <w:cs w:val="0"/>
        </w:rPr>
        <w:t>جین و پوروحیت (۲۰۰۶) به مقایسه هوش معنوی افراد سالخورده مقیم سرای سالمندان با سالمندان ساکن خانه پرداختند. داده‌های جمع‌آوری‌شده نشان دادند که این ۲ گروه از نظر هوش معنوی تفاوت معناداری ندارند. ولی در بسیاری از حوزه های هوش معنوی مثل: خدا، مذهب، ارتباطات درون فردی، توانایی غلبه بر رنج و توانایی داشتن هوش معنوی نسبت به مرگ تفاوت معنادار است.</w:t>
      </w:r>
    </w:p>
    <w:p w:rsidR="008908D0" w:rsidRDefault="002D5E38">
      <w:pPr>
        <w:autoSpaceDE/>
        <w:autoSpaceDN/>
        <w:adjustRightInd/>
        <w:spacing w:after="0" w:line="276" w:lineRule="auto"/>
        <w:ind w:firstLine="397"/>
        <w:jc w:val="both"/>
        <w:rPr>
          <w:color w:val="auto"/>
          <w:cs w:val="0"/>
        </w:rPr>
      </w:pPr>
      <w:r>
        <w:rPr>
          <w:rFonts w:hint="cs"/>
          <w:cs w:val="0"/>
        </w:rPr>
        <w:t>نویز</w:t>
      </w:r>
      <w:r>
        <w:rPr>
          <w:rStyle w:val="FootnoteReference"/>
        </w:rPr>
        <w:footnoteReference w:id="216"/>
      </w:r>
      <w:r>
        <w:rPr>
          <w:rFonts w:hint="cs"/>
          <w:cs w:val="0"/>
        </w:rPr>
        <w:t xml:space="preserve"> و همکاران (۲۰۰۲) در مطالعه‌ای بر روی ۱۶۲ بیمار سرپایی گزارش کردند که ترس از مرگ همبستگی بالایی با نشانه‌های خودبیمارانگاری و اضطراب سلامتی دارد. تحلیل عاملی سه بُعد را آشکار کرد: ترس از مردن، از دست دادن معنا، و ترس از جدایی؛ آنان نتیجه گرفتند که ترس از مرگ جزئی جدایی‌ناپذیر از خودبیمارانگاری است.</w:t>
      </w:r>
    </w:p>
    <w:p w:rsidR="008908D0" w:rsidRDefault="002D5E38">
      <w:pPr>
        <w:autoSpaceDE/>
        <w:autoSpaceDN/>
        <w:adjustRightInd/>
        <w:spacing w:after="0" w:line="276" w:lineRule="auto"/>
        <w:ind w:firstLine="397"/>
        <w:jc w:val="both"/>
        <w:rPr>
          <w:color w:val="auto"/>
          <w:cs w:val="0"/>
        </w:rPr>
      </w:pPr>
      <w:r>
        <w:rPr>
          <w:rFonts w:hint="cs"/>
          <w:cs w:val="0"/>
        </w:rPr>
        <w:t>تامر</w:t>
      </w:r>
      <w:r>
        <w:rPr>
          <w:rStyle w:val="FootnoteReference"/>
        </w:rPr>
        <w:footnoteReference w:id="217"/>
      </w:r>
      <w:r>
        <w:rPr>
          <w:rFonts w:hint="cs"/>
          <w:cs w:val="0"/>
        </w:rPr>
        <w:t xml:space="preserve"> و الیسون</w:t>
      </w:r>
      <w:r>
        <w:rPr>
          <w:rStyle w:val="FootnoteReference"/>
        </w:rPr>
        <w:footnoteReference w:id="218"/>
      </w:r>
      <w:r>
        <w:rPr>
          <w:rFonts w:hint="cs"/>
          <w:cs w:val="0"/>
        </w:rPr>
        <w:t>(۲۰۰۰) نیز تأکید کردند که دیدگاه فرد نسبت به مرگ به‌شدت تحت‌تأثیر نگرانی‌های سلامت و عدم اطمینان از وضعیت جسمی آینده است.</w:t>
      </w:r>
    </w:p>
    <w:p w:rsidR="008908D0" w:rsidRDefault="002D5E38">
      <w:pPr>
        <w:autoSpaceDE/>
        <w:autoSpaceDN/>
        <w:adjustRightInd/>
        <w:spacing w:after="0" w:line="276" w:lineRule="auto"/>
        <w:ind w:firstLine="397"/>
        <w:jc w:val="both"/>
        <w:rPr>
          <w:color w:val="auto"/>
          <w:cs w:val="0"/>
        </w:rPr>
      </w:pPr>
      <w:r>
        <w:rPr>
          <w:rFonts w:hint="cs"/>
          <w:cs w:val="0"/>
        </w:rPr>
        <w:t xml:space="preserve">یالوم </w:t>
      </w:r>
      <w:r>
        <w:rPr>
          <w:rStyle w:val="FootnoteReference"/>
        </w:rPr>
        <w:footnoteReference w:id="219"/>
      </w:r>
      <w:r>
        <w:rPr>
          <w:rFonts w:hint="cs"/>
          <w:cs w:val="0"/>
        </w:rPr>
        <w:t>(۱۹۸۰) در نظریه‌ «درمان اگزیستانسیال» مطرح می‌کند که اضطراب مرگ بخش جدایی‌ناپذیر زندگی بشر است و رشد معنویت می‌تواند راهی برای پذیرش بهتر مرگ و کاهش ترس از نیستی باشد.</w:t>
      </w:r>
    </w:p>
    <w:p w:rsidR="00351D88" w:rsidRDefault="002D5E38" w:rsidP="000E3BC2">
      <w:pPr>
        <w:spacing w:after="0" w:line="276" w:lineRule="auto"/>
        <w:ind w:firstLine="397"/>
        <w:jc w:val="both"/>
        <w:rPr>
          <w:cs w:val="0"/>
        </w:rPr>
      </w:pPr>
      <w:r>
        <w:rPr>
          <w:cs w:val="0"/>
        </w:rPr>
        <w:lastRenderedPageBreak/>
        <w:t xml:space="preserve">در مجموع، پیشینه داخلی و خارجی از رابطه منفی هوش معنوی با اضطراب مرگ و از پیوند اضطراب سلامت با اضطراب مرگ حمایت می‌کند. </w:t>
      </w:r>
      <w:r w:rsidRPr="000E3BC2">
        <w:rPr>
          <w:cs w:val="0"/>
        </w:rPr>
        <w:t xml:space="preserve">شکاف پژوهشی، بررسی همزمان این سه متغیر در سالمندان مقیم مراکز نگهداری و تبیین آن در پرتو نظریه‌هایی مانند انتخاب اجتماعی-هیجانی، مدیریت وحشت و مدل چهارعاملی کینگ است. با وجود این شواهد، بررسی هم‌زمان هوش معنوی و اضطراب سلامتی در ارتباط با اضطراب مرگ سالمندان ساکن مراکز نگهداری، با توجه به مؤلفه‌های هوش معنوی، همچنان به شواهد بیشتری نیاز دارد. </w:t>
      </w:r>
    </w:p>
    <w:p w:rsidR="00351D88" w:rsidRDefault="00351D88">
      <w:pPr>
        <w:autoSpaceDE/>
        <w:autoSpaceDN/>
        <w:adjustRightInd/>
        <w:spacing w:after="0" w:line="240" w:lineRule="auto"/>
        <w:jc w:val="right"/>
        <w:rPr>
          <w:cs w:val="0"/>
        </w:rPr>
        <w:sectPr w:rsidR="00351D88">
          <w:footerReference w:type="default" r:id="rId15"/>
          <w:footnotePr>
            <w:numRestart w:val="eachPage"/>
          </w:footnotePr>
          <w:pgSz w:w="11906" w:h="16838" w:code="9"/>
          <w:pgMar w:top="1417" w:right="1561" w:bottom="1417" w:left="1277" w:header="709" w:footer="567" w:gutter="0"/>
          <w:cols w:space="708"/>
          <w:bidi/>
          <w:rtlGutter/>
          <w:docGrid w:linePitch="360"/>
        </w:sectPr>
      </w:pPr>
    </w:p>
    <w:p w:rsidR="00351D88" w:rsidRPr="00351D88" w:rsidRDefault="00351D88" w:rsidP="00351D88">
      <w:pPr>
        <w:spacing w:after="0" w:line="276" w:lineRule="auto"/>
        <w:ind w:firstLine="397"/>
        <w:jc w:val="center"/>
        <w:rPr>
          <w:rFonts w:cs="B Titr"/>
          <w:sz w:val="72"/>
          <w:szCs w:val="72"/>
          <w:rtl w:val="0"/>
          <w:cs w:val="0"/>
        </w:rPr>
      </w:pPr>
      <w:r w:rsidRPr="00351D88">
        <w:rPr>
          <w:rFonts w:cs="B Titr"/>
          <w:sz w:val="72"/>
          <w:szCs w:val="72"/>
          <w:cs w:val="0"/>
        </w:rPr>
        <w:lastRenderedPageBreak/>
        <w:t>فصل سوم:</w:t>
      </w:r>
    </w:p>
    <w:p w:rsidR="008908D0" w:rsidRPr="00351D88" w:rsidRDefault="00351D88" w:rsidP="00351D88">
      <w:pPr>
        <w:spacing w:after="0" w:line="276" w:lineRule="auto"/>
        <w:ind w:firstLine="397"/>
        <w:jc w:val="center"/>
        <w:rPr>
          <w:rFonts w:cs="B Titr"/>
          <w:sz w:val="72"/>
          <w:szCs w:val="72"/>
          <w:cs w:val="0"/>
        </w:rPr>
        <w:sectPr w:rsidR="008908D0" w:rsidRPr="00351D88">
          <w:footerReference w:type="default" r:id="rId16"/>
          <w:footnotePr>
            <w:numRestart w:val="eachPage"/>
          </w:footnotePr>
          <w:pgSz w:w="11906" w:h="16838" w:code="9"/>
          <w:pgMar w:top="1417" w:right="1561" w:bottom="1417" w:left="1277" w:header="709" w:footer="567" w:gutter="0"/>
          <w:cols w:space="708"/>
          <w:vAlign w:val="center"/>
          <w:bidi/>
          <w:rtlGutter/>
          <w:docGrid w:linePitch="360"/>
        </w:sectPr>
      </w:pPr>
      <w:r w:rsidRPr="00351D88">
        <w:rPr>
          <w:rFonts w:cs="B Titr"/>
          <w:sz w:val="72"/>
          <w:szCs w:val="72"/>
          <w:cs w:val="0"/>
        </w:rPr>
        <w:t>روش پژوهش</w:t>
      </w:r>
    </w:p>
    <w:p w:rsidR="008908D0" w:rsidRPr="00B7369E" w:rsidRDefault="002D5E38" w:rsidP="00B7369E">
      <w:pPr>
        <w:pStyle w:val="Heading2"/>
        <w:rPr>
          <w:cs w:val="0"/>
        </w:rPr>
      </w:pPr>
      <w:bookmarkStart w:id="105" w:name="_Toc239015152"/>
      <w:bookmarkStart w:id="106" w:name="_Toc239432008"/>
      <w:r w:rsidRPr="00B7369E">
        <w:rPr>
          <w:cs w:val="0"/>
        </w:rPr>
        <w:lastRenderedPageBreak/>
        <w:t>۳-۱- طرح پژوهش</w:t>
      </w:r>
      <w:bookmarkEnd w:id="105"/>
      <w:bookmarkEnd w:id="106"/>
    </w:p>
    <w:p w:rsidR="008908D0" w:rsidRDefault="002D5E38" w:rsidP="000E3BC2">
      <w:pPr>
        <w:spacing w:after="0" w:line="276" w:lineRule="auto"/>
        <w:ind w:firstLine="397"/>
        <w:jc w:val="both"/>
        <w:rPr>
          <w:color w:val="auto"/>
          <w:cs w:val="0"/>
        </w:rPr>
      </w:pPr>
      <w:r>
        <w:rPr>
          <w:cs w:val="0"/>
        </w:rPr>
        <w:t>پژوهش حاضر نظر به موضوع و اهداف پژوهش، از لحاظ ماهیت و روش بکار رفته از نوع توصیفی – همبستگی و از نظر هدف از نوع کاربردی است.</w:t>
      </w:r>
      <w:r>
        <w:rPr>
          <w:color w:val="008000"/>
          <w:cs w:val="0"/>
        </w:rPr>
        <w:t xml:space="preserve"> </w:t>
      </w:r>
      <w:r w:rsidRPr="000E3BC2">
        <w:rPr>
          <w:cs w:val="0"/>
        </w:rPr>
        <w:t>این طرح، به دلیل مقطعی و همبستگی بودن، برای بررسی رابطه آماری متغیرها مناسب است؛ بااین‌حال، امکان استنباط رابطه علّی را فراهم نمی‌کند</w:t>
      </w:r>
      <w:r>
        <w:rPr>
          <w:color w:val="008000"/>
          <w:cs w:val="0"/>
        </w:rPr>
        <w:t>.</w:t>
      </w:r>
    </w:p>
    <w:p w:rsidR="008908D0" w:rsidRPr="00B7369E" w:rsidRDefault="002D5E38" w:rsidP="00B7369E">
      <w:pPr>
        <w:pStyle w:val="Heading2"/>
        <w:rPr>
          <w:cs w:val="0"/>
        </w:rPr>
      </w:pPr>
      <w:bookmarkStart w:id="107" w:name="_Toc239015153"/>
      <w:bookmarkStart w:id="108" w:name="_Toc239432009"/>
      <w:r w:rsidRPr="00B7369E">
        <w:rPr>
          <w:cs w:val="0"/>
        </w:rPr>
        <w:t>۳-۲- جامعه، نمونه و روش نمونه‌گیری</w:t>
      </w:r>
      <w:bookmarkEnd w:id="107"/>
      <w:bookmarkEnd w:id="108"/>
    </w:p>
    <w:p w:rsidR="008908D0" w:rsidRDefault="002D5E38">
      <w:pPr>
        <w:spacing w:after="0" w:line="276" w:lineRule="auto"/>
        <w:ind w:firstLine="397"/>
        <w:jc w:val="both"/>
        <w:rPr>
          <w:color w:val="auto"/>
          <w:cs w:val="0"/>
        </w:rPr>
      </w:pPr>
      <w:r>
        <w:rPr>
          <w:rFonts w:hint="cs"/>
          <w:cs w:val="0"/>
        </w:rPr>
        <w:t xml:space="preserve">جامعه آماری این پژوهش شامل کلیه سالمندان بالای ۶۰ سال ساکن خانه سالمندان فرشتگان شهر </w:t>
      </w:r>
      <w:r w:rsidR="00041273">
        <w:rPr>
          <w:rFonts w:hint="cs"/>
          <w:cs w:val="0"/>
        </w:rPr>
        <w:t>اسلامشهر(تهران)</w:t>
      </w:r>
      <w:r>
        <w:rPr>
          <w:rFonts w:hint="cs"/>
          <w:cs w:val="0"/>
        </w:rPr>
        <w:t xml:space="preserve"> در سال ۱۴۰۴ می باشد، به منظور تعیین حجم نمونه، از جدول کرجسی</w:t>
      </w:r>
      <w:r>
        <w:rPr>
          <w:rStyle w:val="FootnoteReference"/>
        </w:rPr>
        <w:footnoteReference w:id="220"/>
      </w:r>
      <w:r>
        <w:rPr>
          <w:rFonts w:hint="cs"/>
          <w:cs w:val="0"/>
        </w:rPr>
        <w:t xml:space="preserve"> و مورگان</w:t>
      </w:r>
      <w:r>
        <w:rPr>
          <w:rStyle w:val="FootnoteReference"/>
        </w:rPr>
        <w:footnoteReference w:id="221"/>
      </w:r>
      <w:r>
        <w:rPr>
          <w:rFonts w:hint="cs"/>
          <w:cs w:val="0"/>
        </w:rPr>
        <w:t xml:space="preserve"> ۱۹۷۰ استفاده شد. بر اساس این جدول و نظر به حجم جامعه آماری ۱۰۰ نفر، حجم نمونه ۸۰ نفر به روش نمونه گیری در دسترس در نظر گرفته شد.</w:t>
      </w:r>
    </w:p>
    <w:p w:rsidR="008908D0" w:rsidRPr="00B7369E" w:rsidRDefault="002D5E38" w:rsidP="00B7369E">
      <w:pPr>
        <w:pStyle w:val="Heading2"/>
        <w:rPr>
          <w:cs w:val="0"/>
        </w:rPr>
      </w:pPr>
      <w:bookmarkStart w:id="109" w:name="_Toc239015154"/>
      <w:bookmarkStart w:id="110" w:name="_Toc239432010"/>
      <w:r w:rsidRPr="00B7369E">
        <w:rPr>
          <w:cs w:val="0"/>
        </w:rPr>
        <w:t>۳-۳- ابزار پژوهش</w:t>
      </w:r>
      <w:bookmarkEnd w:id="109"/>
      <w:bookmarkEnd w:id="110"/>
    </w:p>
    <w:p w:rsidR="008908D0" w:rsidRDefault="002D5E38">
      <w:pPr>
        <w:spacing w:after="0" w:line="276" w:lineRule="auto"/>
        <w:ind w:firstLine="397"/>
        <w:jc w:val="both"/>
        <w:rPr>
          <w:color w:val="auto"/>
          <w:sz w:val="26"/>
          <w:szCs w:val="26"/>
          <w:cs w:val="0"/>
        </w:rPr>
      </w:pPr>
      <w:r>
        <w:rPr>
          <w:rFonts w:hint="cs"/>
          <w:cs w:val="0"/>
        </w:rPr>
        <w:t>ابزار گردآوری اطلاعات در این پژوهش، پرسشنامه می باشد. جهت پاسخگویی به سؤالات پژوهش، از پرسشنامه های استفاده شده است که عبارتند از:</w:t>
      </w:r>
    </w:p>
    <w:p w:rsidR="008908D0" w:rsidRPr="00B7369E" w:rsidRDefault="002D5E38" w:rsidP="00B7369E">
      <w:pPr>
        <w:pStyle w:val="Heading3"/>
        <w:rPr>
          <w:cs w:val="0"/>
        </w:rPr>
      </w:pPr>
      <w:bookmarkStart w:id="111" w:name="_Toc239015155"/>
      <w:bookmarkStart w:id="112" w:name="_Toc239432011"/>
      <w:r w:rsidRPr="00B7369E">
        <w:rPr>
          <w:cs w:val="0"/>
        </w:rPr>
        <w:t>۳-۳-۱- پرسشنامه هوش معنوی کینگ:</w:t>
      </w:r>
      <w:bookmarkEnd w:id="111"/>
      <w:bookmarkEnd w:id="112"/>
    </w:p>
    <w:p w:rsidR="008908D0" w:rsidRDefault="002D5E38">
      <w:pPr>
        <w:spacing w:after="0" w:line="276" w:lineRule="auto"/>
        <w:ind w:firstLine="397"/>
        <w:jc w:val="both"/>
        <w:rPr>
          <w:rFonts w:ascii="B Lotus"/>
          <w:color w:val="auto"/>
          <w:cs w:val="0"/>
        </w:rPr>
      </w:pPr>
      <w:r>
        <w:rPr>
          <w:rFonts w:hint="cs"/>
          <w:cs w:val="0"/>
        </w:rPr>
        <w:t>این پرسشنامه که توسط کینگ</w:t>
      </w:r>
      <w:r>
        <w:rPr>
          <w:rStyle w:val="FootnoteReference"/>
        </w:rPr>
        <w:footnoteReference w:id="222"/>
      </w:r>
      <w:r>
        <w:rPr>
          <w:rFonts w:hint="cs"/>
          <w:cs w:val="0"/>
        </w:rPr>
        <w:t xml:space="preserve"> (۲۰۰۰) ساخته شده است و دارای ۲۴ آیتم می‌باشد و بر اساس مقیاس ۵ گزینه‌ای لیکرت پر می‌شود. دارای ۴ زیرمقیاس است که شامل تفکر وجودی انتقادی، ایجاد معنای شخصی، آگاهی متعالی و گسترش حالت هوشیاری می‌باشد. نمره گذاری پرسشنامه هوش هیجانی کینگ بر اساس لیکرت پنج گزینه‌ای (کاملاً نادرست: ۰، نادرست: ۱، تا حدودی: ۲، بسیار درست: ۳ و کاملاً درست: ۴) می‌باشد. حداقل و حداکثر امتیاز کسب شده در این مقیاس ۰ و ۹۶ می‌باشد، نمرات بالا نشان دهنده‌ هوش معنوی بالا و یا وجود چنین ظرفیتی در شخص می‌باشد. با استفاده از تحلیل عاملی اکتشافی در یک نمونه‌ی ۶۱۹ نفری از دانشجویان دانشگاه ترنت کانادا در سال ۲۰۰۷ آلفای کرونباخ ۹۵/۰ به دست آمد و پایایی از طریق تنصیف ۰/۸۴گزارش شد. آلفای کرونباخ خرده مقیاسها به قرار زیر است: عامل اول۸۸/۰، عامل دوم ۸۷/۰، عامل سوم ۸۸/۰ و عامل چهارم ۹۴/۰ به دست آمد. (زوهار و مارشال</w:t>
      </w:r>
      <w:r>
        <w:rPr>
          <w:rStyle w:val="FootnoteReference"/>
        </w:rPr>
        <w:footnoteReference w:id="223"/>
      </w:r>
      <w:r>
        <w:rPr>
          <w:rFonts w:hint="cs"/>
          <w:cs w:val="0"/>
        </w:rPr>
        <w:t xml:space="preserve">، ۲۰۰۰). در مطالعه‌ای در جمعیت </w:t>
      </w:r>
      <w:r>
        <w:rPr>
          <w:rFonts w:hint="cs"/>
          <w:cs w:val="0"/>
        </w:rPr>
        <w:lastRenderedPageBreak/>
        <w:t>ایرانی (معلمی، بخشانی، و رقیبی، ۱۳۸۹) ضریب پایایی پرسشنامه در یک نمونه‌ی ۶۰ نفری به شیوه بازآزمایی ۶۷/۰ محاسبه شد.</w:t>
      </w:r>
    </w:p>
    <w:p w:rsidR="008908D0" w:rsidRPr="00B7369E" w:rsidRDefault="002D5E38" w:rsidP="00B7369E">
      <w:pPr>
        <w:pStyle w:val="Heading3"/>
        <w:rPr>
          <w:cs w:val="0"/>
        </w:rPr>
      </w:pPr>
      <w:bookmarkStart w:id="113" w:name="_Toc239015156"/>
      <w:bookmarkStart w:id="114" w:name="_Toc239432012"/>
      <w:r w:rsidRPr="00B7369E">
        <w:rPr>
          <w:cs w:val="0"/>
        </w:rPr>
        <w:t>۳-۳-۲- پرسشنامه اضطراب مرگ (DAS)</w:t>
      </w:r>
      <w:bookmarkEnd w:id="113"/>
      <w:bookmarkEnd w:id="114"/>
    </w:p>
    <w:p w:rsidR="008908D0" w:rsidRDefault="002D5E38">
      <w:pPr>
        <w:spacing w:after="0" w:line="276" w:lineRule="auto"/>
        <w:ind w:firstLine="397"/>
        <w:jc w:val="both"/>
        <w:rPr>
          <w:color w:val="auto"/>
          <w:cs w:val="0"/>
        </w:rPr>
      </w:pPr>
      <w:r>
        <w:rPr>
          <w:rFonts w:hint="cs"/>
          <w:cs w:val="0"/>
        </w:rPr>
        <w:t>این پرسشنامه در سال ۱۹۷۰ توسط تمپلر</w:t>
      </w:r>
      <w:r>
        <w:rPr>
          <w:rStyle w:val="FootnoteReference"/>
        </w:rPr>
        <w:footnoteReference w:id="224"/>
      </w:r>
      <w:r>
        <w:rPr>
          <w:rFonts w:hint="cs"/>
          <w:cs w:val="0"/>
        </w:rPr>
        <w:t xml:space="preserve"> ساخته شده است و شامل ۱۵ ماده است که نگرش آزمودنی ها را به مرگ می سنجد. آزمودنی ها پاسخ های خود را به هر سوال با گزینه های بلی یا خیر مشخص می کنند و به گزینه بله (نمره ۱) و گزینه خیر (نمره ۰) داده می شود. پاسخ بلی نشانگر وجود اضطراب در فرد است. بدین ترتیب، نمره ی این مقیاس می تواند بین صفرتا ۱۵ متغیر باشد که نمره بالا نماینگر اضطراب زیاد افراد در مورد مرگ است. بررسی های به عمل آمده در مورد روایی و پایایی مقیاس اضطراب مرگ نشان می دهد که این مقیاس از اعتبار قابل قبولی برخوردار است. در فرهنگ اصلی، ضریب پایایی باز آزمایی مقیاس ۸۳/۰ و روایی همزمان آن براساس همبستگی با مقیاس اضطراب آشکار۲۷/۰ و با مقیاس افسردگی ۴۰/۰ گزارش شده است (به نقل از رجبی و بحرانی۱۳۸۰) پایایی و روایی این پرسشنامه را در ایران رجبی و بحرانی (۱۳۸۰) مورد بررسی قرار دادند و بر این اساس ضریب پایایی تنصیفی را ۶۰/۰ و ضریب همسانی درونی را ۷۳/۰ گزارش کردند. در پژوهش حاضر نیز پایایی این ابزار ۸۶/۰ برآورد شد.</w:t>
      </w:r>
    </w:p>
    <w:p w:rsidR="008908D0" w:rsidRPr="00B7369E" w:rsidRDefault="002D5E38" w:rsidP="00B7369E">
      <w:pPr>
        <w:pStyle w:val="Heading3"/>
        <w:rPr>
          <w:cs w:val="0"/>
        </w:rPr>
      </w:pPr>
      <w:bookmarkStart w:id="115" w:name="_Toc239015157"/>
      <w:bookmarkStart w:id="116" w:name="_Toc239432013"/>
      <w:r w:rsidRPr="00B7369E">
        <w:rPr>
          <w:cs w:val="0"/>
        </w:rPr>
        <w:t>۳-۳-۳- پرسشنامه اضطراب سلامتی (HAI)</w:t>
      </w:r>
      <w:bookmarkEnd w:id="115"/>
      <w:bookmarkEnd w:id="116"/>
    </w:p>
    <w:p w:rsidR="008908D0" w:rsidRDefault="002D5E38">
      <w:pPr>
        <w:spacing w:after="0" w:line="276" w:lineRule="auto"/>
        <w:ind w:firstLine="397"/>
        <w:jc w:val="both"/>
        <w:rPr>
          <w:rFonts w:ascii="B Lotus"/>
          <w:color w:val="auto"/>
          <w:cs w:val="0"/>
        </w:rPr>
      </w:pPr>
      <w:r>
        <w:rPr>
          <w:rFonts w:hint="cs"/>
          <w:cs w:val="0"/>
        </w:rPr>
        <w:t>پرسشنامه اضطراب سلامتی</w:t>
      </w:r>
      <w:r>
        <w:rPr>
          <w:rStyle w:val="FootnoteReference"/>
        </w:rPr>
        <w:footnoteReference w:id="225"/>
      </w:r>
      <w:r>
        <w:rPr>
          <w:rFonts w:hint="cs"/>
          <w:cs w:val="0"/>
        </w:rPr>
        <w:t xml:space="preserve"> توسط سالکوفسکیس</w:t>
      </w:r>
      <w:r>
        <w:rPr>
          <w:rStyle w:val="FootnoteReference"/>
        </w:rPr>
        <w:footnoteReference w:id="226"/>
      </w:r>
      <w:r>
        <w:rPr>
          <w:rFonts w:hint="cs"/>
          <w:cs w:val="0"/>
        </w:rPr>
        <w:t xml:space="preserve"> و همکاران (۲۰۰۲) تدوین شده و نسخه کوتاه آن شامل۱۸ سوال است. این ابزار بررسی نگرانی افراد نسبت به ابتلا به بیماری، تاثیر منفی از علائم بدنی و ترس از بیمار بودن می پردازد. نمره گذاری به صورت چهار درجه ای (از ۰ تا ۳) انجام می شود. در پژوهش های داخلی، ضریب آلفای کرونباخ آن بین ۸۰/۰ تا ۸۸/۰ گزارش شده است که نشان دهنده پایای مطلوب آن است.</w:t>
      </w:r>
    </w:p>
    <w:p w:rsidR="008908D0" w:rsidRPr="00B7369E" w:rsidRDefault="002D5E38" w:rsidP="00B7369E">
      <w:pPr>
        <w:pStyle w:val="Heading2"/>
        <w:rPr>
          <w:cs w:val="0"/>
        </w:rPr>
      </w:pPr>
      <w:bookmarkStart w:id="117" w:name="_Toc107794912"/>
      <w:bookmarkStart w:id="118" w:name="_Toc239015158"/>
      <w:bookmarkStart w:id="119" w:name="_Toc239432014"/>
      <w:r w:rsidRPr="00B7369E">
        <w:rPr>
          <w:cs w:val="0"/>
        </w:rPr>
        <w:t>۳-۴- روش اجرای پژوهش</w:t>
      </w:r>
      <w:bookmarkEnd w:id="117"/>
      <w:bookmarkEnd w:id="118"/>
      <w:bookmarkEnd w:id="119"/>
    </w:p>
    <w:p w:rsidR="008908D0" w:rsidRDefault="002D5E38">
      <w:pPr>
        <w:spacing w:after="0" w:line="276" w:lineRule="auto"/>
        <w:ind w:firstLine="397"/>
        <w:jc w:val="both"/>
        <w:rPr>
          <w:color w:val="auto"/>
          <w:cs w:val="0"/>
        </w:rPr>
      </w:pPr>
      <w:r>
        <w:rPr>
          <w:rFonts w:hint="cs"/>
          <w:cs w:val="0"/>
        </w:rPr>
        <w:t xml:space="preserve">روش اجرای پژوهش حاضر بدین صورت بود که پس از دریافت معرفی نامه از واحد پـژوهش دانـشگاه پیام نور واحد ساری، و دریافت اطلاعات از تعـداد سالمندان خانه سالمندان فرشتگان شهر </w:t>
      </w:r>
      <w:r w:rsidR="00041273">
        <w:rPr>
          <w:rFonts w:hint="cs"/>
          <w:cs w:val="0"/>
        </w:rPr>
        <w:t>اسلامشهر(تهران)</w:t>
      </w:r>
      <w:r>
        <w:rPr>
          <w:rFonts w:hint="cs"/>
          <w:cs w:val="0"/>
        </w:rPr>
        <w:t xml:space="preserve"> و شناسایی جامعه و نمونه آماری که جامعه آماری پژوهش شامل سالمندان بالای ۶۰ سال ساکن خانه سالمندان فرشتگان </w:t>
      </w:r>
      <w:r w:rsidR="00041273">
        <w:rPr>
          <w:rFonts w:hint="cs"/>
          <w:cs w:val="0"/>
        </w:rPr>
        <w:t>اسلامشهر(تهران)</w:t>
      </w:r>
      <w:r>
        <w:rPr>
          <w:rFonts w:hint="cs"/>
          <w:cs w:val="0"/>
        </w:rPr>
        <w:t xml:space="preserve"> بود. نمونه گیری به روش در دسترس انجام شد و افرادی که شرایط ورود به </w:t>
      </w:r>
      <w:r>
        <w:rPr>
          <w:rFonts w:hint="cs"/>
          <w:cs w:val="0"/>
        </w:rPr>
        <w:lastRenderedPageBreak/>
        <w:t>مطالعه را داشتند (رضایت برای شرکت در پژوهش، سلامت نسبی روانی و توانایی پاسخگویی به پرسشنامه ها) ۸۰ نفر نظر به جدول کرجسی</w:t>
      </w:r>
      <w:r>
        <w:rPr>
          <w:rStyle w:val="FootnoteReference"/>
        </w:rPr>
        <w:footnoteReference w:id="227"/>
      </w:r>
      <w:r>
        <w:rPr>
          <w:rFonts w:hint="cs"/>
          <w:cs w:val="0"/>
        </w:rPr>
        <w:t xml:space="preserve"> و مورگان</w:t>
      </w:r>
      <w:r>
        <w:rPr>
          <w:rStyle w:val="FootnoteReference"/>
        </w:rPr>
        <w:footnoteReference w:id="228"/>
      </w:r>
      <w:r>
        <w:rPr>
          <w:rFonts w:hint="cs"/>
          <w:cs w:val="0"/>
        </w:rPr>
        <w:t xml:space="preserve"> به عنوان نمونه انتخاب شدند.</w:t>
      </w:r>
    </w:p>
    <w:p w:rsidR="008908D0" w:rsidRPr="00B7369E" w:rsidRDefault="002D5E38" w:rsidP="00B7369E">
      <w:pPr>
        <w:pStyle w:val="Heading2"/>
        <w:rPr>
          <w:cs w:val="0"/>
        </w:rPr>
      </w:pPr>
      <w:bookmarkStart w:id="120" w:name="_Toc239015159"/>
      <w:bookmarkStart w:id="121" w:name="_Toc239432015"/>
      <w:r w:rsidRPr="00B7369E">
        <w:rPr>
          <w:cs w:val="0"/>
        </w:rPr>
        <w:t>۳-۵- روش تجزیه و تحلیل داده‌ها</w:t>
      </w:r>
      <w:bookmarkEnd w:id="120"/>
      <w:bookmarkEnd w:id="121"/>
    </w:p>
    <w:p w:rsidR="00351D88" w:rsidRDefault="002D5E38" w:rsidP="000E3BC2">
      <w:pPr>
        <w:autoSpaceDE/>
        <w:autoSpaceDN/>
        <w:adjustRightInd/>
        <w:spacing w:after="0" w:line="276" w:lineRule="auto"/>
        <w:ind w:firstLine="397"/>
        <w:jc w:val="both"/>
        <w:rPr>
          <w:cs w:val="0"/>
        </w:rPr>
      </w:pPr>
      <w:r>
        <w:rPr>
          <w:cs w:val="0"/>
        </w:rPr>
        <w:t xml:space="preserve">پس از جمع آوری داده ها با استفاده از پرسشنامه ها، جهت تجزیه و تحلیل داده های اولیه از شاخص ها و روش های آمار توصیفی نظیر میانگین، انحراف معیار، فراوانی و درصد استفاده شد و برای آزمون های همبستگی بررسی رابطه بین متغیر ها از ضریب همبستگی پیرسون (با در نظر گرفتن نرمال بودن داده ها) و تحلیل رگرسیون خطی چندگانه برای بررسی نقش پیش بینی کننده هوش معنوی و اضطراب سلامتی و اضطراب مرگ </w:t>
      </w:r>
      <w:r w:rsidRPr="000E3BC2">
        <w:rPr>
          <w:cs w:val="0"/>
        </w:rPr>
        <w:t>و از آزمون های مقایسه ای (در صورت نیاز) مانند آزمون t مستقل یا آنالیز واریانس برای بررسی تفاوت ها گروهی (جنسیت یا وضعیت تاهل)</w:t>
      </w:r>
      <w:r w:rsidR="000E3BC2" w:rsidRPr="000E3BC2">
        <w:rPr>
          <w:rtl w:val="0"/>
          <w:cs w:val="0"/>
        </w:rPr>
        <w:t xml:space="preserve"> </w:t>
      </w:r>
      <w:r w:rsidR="000E3BC2" w:rsidRPr="000E3BC2">
        <w:rPr>
          <w:rFonts w:hint="cs"/>
          <w:cs w:val="0"/>
        </w:rPr>
        <w:t xml:space="preserve"> باید</w:t>
      </w:r>
      <w:r w:rsidRPr="000E3BC2">
        <w:rPr>
          <w:cs w:val="0"/>
        </w:rPr>
        <w:t xml:space="preserve"> استفاده ش</w:t>
      </w:r>
      <w:r w:rsidR="000E3BC2" w:rsidRPr="000E3BC2">
        <w:rPr>
          <w:rFonts w:hint="cs"/>
          <w:cs w:val="0"/>
        </w:rPr>
        <w:t>و</w:t>
      </w:r>
      <w:r w:rsidRPr="000E3BC2">
        <w:rPr>
          <w:cs w:val="0"/>
        </w:rPr>
        <w:t>د. در گزارش روش، خطی بودن روابط، همسانی واریانس خطاها و داده‌های پرت نیز باید بررسی و در صورت انجام گزارش شود. رضایت آگاهانه شرکت‌کنندگان، محرمانگی اطلاعات و امکان انصراف از پژوهش رعایت شد</w:t>
      </w:r>
    </w:p>
    <w:p w:rsidR="00351D88" w:rsidRDefault="00351D88">
      <w:pPr>
        <w:autoSpaceDE/>
        <w:autoSpaceDN/>
        <w:adjustRightInd/>
        <w:spacing w:after="0" w:line="240" w:lineRule="auto"/>
        <w:jc w:val="right"/>
        <w:rPr>
          <w:cs w:val="0"/>
        </w:rPr>
        <w:sectPr w:rsidR="00351D88">
          <w:footerReference w:type="default" r:id="rId17"/>
          <w:footnotePr>
            <w:numRestart w:val="eachPage"/>
          </w:footnotePr>
          <w:pgSz w:w="11906" w:h="16838" w:code="9"/>
          <w:pgMar w:top="1417" w:right="1561" w:bottom="1417" w:left="1277" w:header="709" w:footer="567" w:gutter="0"/>
          <w:cols w:space="708"/>
          <w:bidi/>
          <w:rtlGutter/>
          <w:docGrid w:linePitch="360"/>
        </w:sectPr>
      </w:pPr>
    </w:p>
    <w:p w:rsidR="000B73CB" w:rsidRDefault="00351D88" w:rsidP="00351D88">
      <w:pPr>
        <w:autoSpaceDE/>
        <w:autoSpaceDN/>
        <w:adjustRightInd/>
        <w:spacing w:after="0" w:line="276" w:lineRule="auto"/>
        <w:ind w:firstLine="397"/>
        <w:jc w:val="center"/>
        <w:rPr>
          <w:rFonts w:cs="B Titr"/>
          <w:color w:val="auto"/>
          <w:sz w:val="72"/>
          <w:szCs w:val="72"/>
          <w:rtl w:val="0"/>
          <w:cs w:val="0"/>
        </w:rPr>
      </w:pPr>
      <w:r w:rsidRPr="000B73CB">
        <w:rPr>
          <w:rFonts w:cs="B Titr"/>
          <w:color w:val="auto"/>
          <w:sz w:val="72"/>
          <w:szCs w:val="72"/>
          <w:cs w:val="0"/>
        </w:rPr>
        <w:lastRenderedPageBreak/>
        <w:t xml:space="preserve">فصل چهارم: </w:t>
      </w:r>
    </w:p>
    <w:p w:rsidR="008908D0" w:rsidRPr="000B73CB" w:rsidRDefault="00351D88" w:rsidP="00351D88">
      <w:pPr>
        <w:autoSpaceDE/>
        <w:autoSpaceDN/>
        <w:adjustRightInd/>
        <w:spacing w:after="0" w:line="276" w:lineRule="auto"/>
        <w:ind w:firstLine="397"/>
        <w:jc w:val="center"/>
        <w:rPr>
          <w:rFonts w:cs="B Titr"/>
          <w:color w:val="auto"/>
          <w:sz w:val="72"/>
          <w:szCs w:val="72"/>
          <w:cs w:val="0"/>
        </w:rPr>
        <w:sectPr w:rsidR="008908D0" w:rsidRPr="000B73CB">
          <w:footerReference w:type="default" r:id="rId18"/>
          <w:footnotePr>
            <w:numRestart w:val="eachPage"/>
          </w:footnotePr>
          <w:pgSz w:w="11906" w:h="16838" w:code="9"/>
          <w:pgMar w:top="1417" w:right="1561" w:bottom="1417" w:left="1277" w:header="709" w:footer="567" w:gutter="0"/>
          <w:cols w:space="708"/>
          <w:vAlign w:val="center"/>
          <w:bidi/>
          <w:rtlGutter/>
          <w:docGrid w:linePitch="360"/>
        </w:sectPr>
      </w:pPr>
      <w:r w:rsidRPr="000B73CB">
        <w:rPr>
          <w:rFonts w:cs="B Titr"/>
          <w:color w:val="auto"/>
          <w:sz w:val="72"/>
          <w:szCs w:val="72"/>
          <w:cs w:val="0"/>
        </w:rPr>
        <w:t>تجز</w:t>
      </w:r>
      <w:r w:rsidRPr="000B73CB">
        <w:rPr>
          <w:rFonts w:cs="B Titr" w:hint="cs"/>
          <w:color w:val="auto"/>
          <w:sz w:val="72"/>
          <w:szCs w:val="72"/>
          <w:cs w:val="0"/>
        </w:rPr>
        <w:t>ی</w:t>
      </w:r>
      <w:r w:rsidRPr="000B73CB">
        <w:rPr>
          <w:rFonts w:cs="B Titr" w:hint="eastAsia"/>
          <w:color w:val="auto"/>
          <w:sz w:val="72"/>
          <w:szCs w:val="72"/>
          <w:cs w:val="0"/>
        </w:rPr>
        <w:t>ه</w:t>
      </w:r>
      <w:r w:rsidRPr="000B73CB">
        <w:rPr>
          <w:rFonts w:cs="B Titr"/>
          <w:color w:val="auto"/>
          <w:sz w:val="72"/>
          <w:szCs w:val="72"/>
          <w:cs w:val="0"/>
        </w:rPr>
        <w:t xml:space="preserve"> و تحل</w:t>
      </w:r>
      <w:r w:rsidRPr="000B73CB">
        <w:rPr>
          <w:rFonts w:cs="B Titr" w:hint="cs"/>
          <w:color w:val="auto"/>
          <w:sz w:val="72"/>
          <w:szCs w:val="72"/>
          <w:cs w:val="0"/>
        </w:rPr>
        <w:t>ی</w:t>
      </w:r>
      <w:r w:rsidRPr="000B73CB">
        <w:rPr>
          <w:rFonts w:cs="B Titr" w:hint="eastAsia"/>
          <w:color w:val="auto"/>
          <w:sz w:val="72"/>
          <w:szCs w:val="72"/>
          <w:cs w:val="0"/>
        </w:rPr>
        <w:t>ل</w:t>
      </w:r>
      <w:r w:rsidRPr="000B73CB">
        <w:rPr>
          <w:rFonts w:cs="B Titr"/>
          <w:color w:val="auto"/>
          <w:sz w:val="72"/>
          <w:szCs w:val="72"/>
          <w:cs w:val="0"/>
        </w:rPr>
        <w:t xml:space="preserve"> داده ها</w:t>
      </w:r>
    </w:p>
    <w:p w:rsidR="008908D0" w:rsidRPr="00351D88" w:rsidRDefault="002D5E38" w:rsidP="00351D88">
      <w:pPr>
        <w:spacing w:after="0" w:line="276" w:lineRule="auto"/>
        <w:ind w:firstLine="397"/>
        <w:jc w:val="both"/>
        <w:rPr>
          <w:cs w:val="0"/>
        </w:rPr>
      </w:pPr>
      <w:r>
        <w:rPr>
          <w:rFonts w:hint="cs"/>
          <w:cs w:val="0"/>
        </w:rPr>
        <w:lastRenderedPageBreak/>
        <w:t>در این فصل در ابتدا ویژگی‌های جمعیت‌شناختی آزمودنی‌ها و سپس آماره‌های توصیفی (میانگین و انحراف استاندارد) متغیرهای پژوهش ارائه می‌شود. سپس، نتایج تحلیل آماری مربوط به فرضیه‌های پژوهش ارائه می‌شود و معنی‌داری آن‌ها از لحاظ آماری بررسی می گردد.</w:t>
      </w:r>
    </w:p>
    <w:p w:rsidR="008908D0" w:rsidRPr="00B7369E" w:rsidRDefault="002D5E38" w:rsidP="00B7369E">
      <w:pPr>
        <w:pStyle w:val="Heading2"/>
        <w:rPr>
          <w:cs w:val="0"/>
        </w:rPr>
      </w:pPr>
      <w:bookmarkStart w:id="122" w:name="_Toc239015161"/>
      <w:bookmarkStart w:id="123" w:name="_Toc239432017"/>
      <w:r w:rsidRPr="00B7369E">
        <w:rPr>
          <w:cs w:val="0"/>
        </w:rPr>
        <w:t>۴-۱- یافته‌های توصیفی</w:t>
      </w:r>
      <w:bookmarkEnd w:id="122"/>
      <w:bookmarkEnd w:id="123"/>
    </w:p>
    <w:p w:rsidR="008908D0" w:rsidRDefault="002D5E38">
      <w:pPr>
        <w:spacing w:after="0" w:line="276" w:lineRule="auto"/>
        <w:ind w:firstLine="397"/>
        <w:jc w:val="both"/>
        <w:rPr>
          <w:color w:val="auto"/>
          <w:cs w:val="0"/>
        </w:rPr>
      </w:pPr>
      <w:r>
        <w:rPr>
          <w:rFonts w:hint="cs"/>
          <w:cs w:val="0"/>
        </w:rPr>
        <w:t>به منظور ارایه تصویر روشن‌تر از یافته‌های پژوهش، ویژگی‌های جمعیت‌شناختی هر یک از افراد نمونه درجداول ۴-۱ الی ۴-۴ و یافته‌های توصیفی متغیرهای پژوهش در جداول ۴-۵ ارائه شده است.</w:t>
      </w:r>
    </w:p>
    <w:p w:rsidR="008908D0" w:rsidRDefault="002D5E38">
      <w:pPr>
        <w:pStyle w:val="Caption"/>
        <w:keepNext/>
        <w:autoSpaceDE/>
        <w:autoSpaceDN/>
        <w:adjustRightInd/>
        <w:spacing w:line="276" w:lineRule="auto"/>
        <w:rPr>
          <w:cs w:val="0"/>
        </w:rPr>
      </w:pPr>
      <w:bookmarkStart w:id="124" w:name="_Toc106471882"/>
      <w:bookmarkStart w:id="125" w:name="_Toc239451794"/>
      <w:r>
        <w:rPr>
          <w:cs w:val="0"/>
        </w:rPr>
        <w:t>جدول ۴-</w:t>
      </w:r>
      <w:r>
        <w:fldChar w:fldCharType="begin"/>
      </w:r>
      <w:r>
        <w:rPr>
          <w:cs w:val="0"/>
        </w:rPr>
        <w:instrText xml:space="preserve"> SEQ جدول \* ARABIC </w:instrText>
      </w:r>
      <w:r>
        <w:fldChar w:fldCharType="separate"/>
      </w:r>
      <w:r w:rsidR="00D419F3">
        <w:rPr>
          <w:noProof/>
          <w:cs w:val="0"/>
        </w:rPr>
        <w:t>1</w:t>
      </w:r>
      <w:r>
        <w:fldChar w:fldCharType="end"/>
      </w:r>
      <w:r>
        <w:rPr>
          <w:cs w:val="0"/>
        </w:rPr>
        <w:t>- شاخص‌های توصیفی مربوط به جنسیت</w:t>
      </w:r>
      <w:bookmarkEnd w:id="124"/>
      <w:bookmarkEnd w:id="125"/>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07"/>
        <w:gridCol w:w="3087"/>
        <w:gridCol w:w="2754"/>
      </w:tblGrid>
      <w:tr w:rsidR="008908D0">
        <w:trPr>
          <w:cantSplit/>
          <w:tblHeader/>
          <w:jc w:val="center"/>
        </w:trPr>
        <w:tc>
          <w:tcPr>
            <w:tcW w:w="177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جنسیت</w:t>
            </w:r>
          </w:p>
        </w:tc>
        <w:tc>
          <w:tcPr>
            <w:tcW w:w="1706"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فراوانی</w:t>
            </w:r>
          </w:p>
        </w:tc>
        <w:tc>
          <w:tcPr>
            <w:tcW w:w="1522" w:type="pct"/>
            <w:shd w:val="clear" w:color="auto" w:fill="E2EFD9"/>
            <w:vAlign w:val="center"/>
            <w:hideMark/>
          </w:tcPr>
          <w:p w:rsidR="008908D0" w:rsidRDefault="002D5E38">
            <w:pPr>
              <w:autoSpaceDE/>
              <w:autoSpaceDN/>
              <w:adjustRightInd/>
              <w:spacing w:after="0" w:line="240" w:lineRule="auto"/>
              <w:rPr>
                <w:b/>
                <w:bCs/>
                <w:color w:val="auto"/>
                <w:cs w:val="0"/>
              </w:rPr>
            </w:pPr>
            <w:r>
              <w:rPr>
                <w:rFonts w:hint="cs"/>
                <w:b/>
                <w:bCs/>
                <w:sz w:val="24"/>
                <w:szCs w:val="24"/>
                <w:cs w:val="0"/>
              </w:rPr>
              <w:t>درصد</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زن</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۴۷</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۸/۵۸</w:t>
            </w:r>
          </w:p>
        </w:tc>
      </w:tr>
      <w:tr w:rsidR="008908D0">
        <w:trPr>
          <w:cantSplit/>
          <w:jc w:val="center"/>
        </w:trPr>
        <w:tc>
          <w:tcPr>
            <w:tcW w:w="1772" w:type="pct"/>
            <w:vAlign w:val="center"/>
            <w:hideMark/>
          </w:tcPr>
          <w:p w:rsidR="008908D0" w:rsidRDefault="002D5E38">
            <w:pPr>
              <w:autoSpaceDE/>
              <w:autoSpaceDN/>
              <w:adjustRightInd/>
              <w:spacing w:after="0" w:line="240" w:lineRule="auto"/>
              <w:rPr>
                <w:b/>
                <w:bCs/>
                <w:color w:val="auto"/>
                <w:cs w:val="0"/>
              </w:rPr>
            </w:pPr>
            <w:r>
              <w:rPr>
                <w:rFonts w:hint="cs"/>
                <w:sz w:val="24"/>
                <w:szCs w:val="24"/>
                <w:cs w:val="0"/>
              </w:rPr>
              <w:t>مرد</w:t>
            </w:r>
          </w:p>
        </w:tc>
        <w:tc>
          <w:tcPr>
            <w:tcW w:w="1706"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۳۳</w:t>
            </w:r>
          </w:p>
        </w:tc>
        <w:tc>
          <w:tcPr>
            <w:tcW w:w="1522"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۲/۴۱</w:t>
            </w:r>
          </w:p>
        </w:tc>
      </w:tr>
      <w:tr w:rsidR="008908D0">
        <w:trPr>
          <w:cantSplit/>
          <w:jc w:val="center"/>
        </w:trPr>
        <w:tc>
          <w:tcPr>
            <w:tcW w:w="1772" w:type="pct"/>
            <w:shd w:val="clear" w:color="auto" w:fill="E6EED5"/>
            <w:vAlign w:val="center"/>
            <w:hideMark/>
          </w:tcPr>
          <w:p w:rsidR="008908D0" w:rsidRDefault="002D5E38">
            <w:pPr>
              <w:autoSpaceDE/>
              <w:autoSpaceDN/>
              <w:adjustRightInd/>
              <w:spacing w:after="0" w:line="240" w:lineRule="auto"/>
              <w:rPr>
                <w:b/>
                <w:bCs/>
                <w:color w:val="auto"/>
                <w:cs w:val="0"/>
              </w:rPr>
            </w:pPr>
            <w:r>
              <w:rPr>
                <w:rFonts w:hint="cs"/>
                <w:sz w:val="24"/>
                <w:szCs w:val="24"/>
                <w:cs w:val="0"/>
              </w:rPr>
              <w:t>کل</w:t>
            </w:r>
          </w:p>
        </w:tc>
        <w:tc>
          <w:tcPr>
            <w:tcW w:w="1706"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1522"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autoSpaceDE/>
        <w:autoSpaceDN/>
        <w:adjustRightInd/>
        <w:spacing w:after="0" w:line="276" w:lineRule="auto"/>
        <w:ind w:firstLine="397"/>
        <w:jc w:val="both"/>
        <w:rPr>
          <w:color w:val="auto"/>
          <w:cs w:val="0"/>
        </w:rPr>
      </w:pPr>
      <w:r>
        <w:rPr>
          <w:rFonts w:hint="cs"/>
          <w:cs w:val="0"/>
        </w:rPr>
        <w:t>جدول ۴-۱ شاخص‌های توصیفی مربوط به جنسیت شرکت کنندگان پژوهش را نشان می‌دهد. بر این اساس در مطالعه حاضر ۸/۵۸ درصد شرکت کنندگان را زن و ۲/۴۱ درصد را مرد تشکیل می دهند.</w:t>
      </w:r>
    </w:p>
    <w:p w:rsidR="008908D0" w:rsidRDefault="002D5E38">
      <w:pPr>
        <w:pStyle w:val="Caption"/>
        <w:keepNext/>
        <w:autoSpaceDE/>
        <w:autoSpaceDN/>
        <w:adjustRightInd/>
        <w:spacing w:line="276" w:lineRule="auto"/>
        <w:rPr>
          <w:cs w:val="0"/>
        </w:rPr>
      </w:pPr>
      <w:bookmarkStart w:id="126" w:name="_Toc106471883"/>
      <w:bookmarkStart w:id="127" w:name="_Toc239451795"/>
      <w:bookmarkEnd w:id="126"/>
      <w:r>
        <w:rPr>
          <w:cs w:val="0"/>
        </w:rPr>
        <w:t>جدول ۴-</w:t>
      </w:r>
      <w:r>
        <w:fldChar w:fldCharType="begin"/>
      </w:r>
      <w:r>
        <w:rPr>
          <w:cs w:val="0"/>
        </w:rPr>
        <w:instrText xml:space="preserve"> SEQ جدول \* ARABIC </w:instrText>
      </w:r>
      <w:r>
        <w:fldChar w:fldCharType="separate"/>
      </w:r>
      <w:r w:rsidR="00D419F3">
        <w:rPr>
          <w:noProof/>
          <w:cs w:val="0"/>
        </w:rPr>
        <w:t>2</w:t>
      </w:r>
      <w:r>
        <w:fldChar w:fldCharType="end"/>
      </w:r>
      <w:r>
        <w:rPr>
          <w:cs w:val="0"/>
        </w:rPr>
        <w:t>- شاخص‌های توصیفی مربوط به وضعیت تأهل</w:t>
      </w:r>
      <w:bookmarkEnd w:id="127"/>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252"/>
        <w:gridCol w:w="2828"/>
        <w:gridCol w:w="2968"/>
      </w:tblGrid>
      <w:tr w:rsidR="008908D0">
        <w:trPr>
          <w:cantSplit/>
          <w:tblHeader/>
          <w:jc w:val="center"/>
        </w:trPr>
        <w:tc>
          <w:tcPr>
            <w:tcW w:w="1797"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وضعیت تأهل</w:t>
            </w:r>
          </w:p>
        </w:tc>
        <w:tc>
          <w:tcPr>
            <w:tcW w:w="1563"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1641" w:type="pct"/>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مجرد</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۰/۱۰</w:t>
            </w:r>
          </w:p>
        </w:tc>
      </w:tr>
      <w:tr w:rsidR="008908D0">
        <w:trPr>
          <w:cantSplit/>
          <w:jc w:val="center"/>
        </w:trPr>
        <w:tc>
          <w:tcPr>
            <w:tcW w:w="1797" w:type="pct"/>
            <w:vAlign w:val="center"/>
            <w:hideMark/>
          </w:tcPr>
          <w:p w:rsidR="008908D0" w:rsidRDefault="002D5E38">
            <w:pPr>
              <w:autoSpaceDE/>
              <w:autoSpaceDN/>
              <w:adjustRightInd/>
              <w:spacing w:after="0" w:line="240" w:lineRule="auto"/>
              <w:rPr>
                <w:color w:val="auto"/>
                <w:cs w:val="0"/>
              </w:rPr>
            </w:pPr>
            <w:r>
              <w:rPr>
                <w:rFonts w:hint="cs"/>
                <w:sz w:val="24"/>
                <w:szCs w:val="24"/>
                <w:cs w:val="0"/>
              </w:rPr>
              <w:t>متأهل</w:t>
            </w:r>
          </w:p>
        </w:tc>
        <w:tc>
          <w:tcPr>
            <w:tcW w:w="1563"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۴۶</w:t>
            </w:r>
          </w:p>
        </w:tc>
        <w:tc>
          <w:tcPr>
            <w:tcW w:w="1641" w:type="pct"/>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۵/۵۷</w:t>
            </w:r>
          </w:p>
        </w:tc>
      </w:tr>
      <w:tr w:rsidR="008908D0">
        <w:trPr>
          <w:cantSplit/>
          <w:jc w:val="center"/>
        </w:trPr>
        <w:tc>
          <w:tcPr>
            <w:tcW w:w="1797" w:type="pct"/>
            <w:shd w:val="clear" w:color="auto" w:fill="E6EED5"/>
            <w:vAlign w:val="center"/>
            <w:hideMark/>
          </w:tcPr>
          <w:p w:rsidR="008908D0" w:rsidRDefault="002D5E38">
            <w:pPr>
              <w:autoSpaceDE/>
              <w:autoSpaceDN/>
              <w:adjustRightInd/>
              <w:spacing w:after="0" w:line="240" w:lineRule="auto"/>
              <w:rPr>
                <w:color w:val="auto"/>
                <w:cs w:val="0"/>
              </w:rPr>
            </w:pPr>
            <w:r>
              <w:rPr>
                <w:rFonts w:hint="cs"/>
                <w:sz w:val="24"/>
                <w:szCs w:val="24"/>
                <w:cs w:val="0"/>
              </w:rPr>
              <w:t>جدا شده</w:t>
            </w:r>
          </w:p>
        </w:tc>
        <w:tc>
          <w:tcPr>
            <w:tcW w:w="1563"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۲۶</w:t>
            </w:r>
          </w:p>
        </w:tc>
        <w:tc>
          <w:tcPr>
            <w:tcW w:w="1641" w:type="pct"/>
            <w:shd w:val="clear" w:color="auto" w:fill="E6EED5"/>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۵/۳۲</w:t>
            </w:r>
          </w:p>
        </w:tc>
      </w:tr>
      <w:tr w:rsidR="008908D0">
        <w:trPr>
          <w:cantSplit/>
          <w:jc w:val="center"/>
        </w:trPr>
        <w:tc>
          <w:tcPr>
            <w:tcW w:w="1797" w:type="pct"/>
            <w:vAlign w:val="center"/>
          </w:tcPr>
          <w:p w:rsidR="008908D0" w:rsidRDefault="002D5E38">
            <w:pPr>
              <w:spacing w:after="0" w:line="240" w:lineRule="auto"/>
              <w:rPr>
                <w:color w:val="auto"/>
                <w:cs w:val="0"/>
              </w:rPr>
            </w:pPr>
            <w:r>
              <w:rPr>
                <w:rFonts w:hint="cs"/>
                <w:sz w:val="24"/>
                <w:szCs w:val="24"/>
                <w:cs w:val="0"/>
              </w:rPr>
              <w:t>کل</w:t>
            </w:r>
          </w:p>
        </w:tc>
        <w:tc>
          <w:tcPr>
            <w:tcW w:w="1563" w:type="pct"/>
            <w:vAlign w:val="center"/>
          </w:tcPr>
          <w:p w:rsidR="008908D0" w:rsidRDefault="002D5E38">
            <w:pPr>
              <w:spacing w:after="0" w:line="240" w:lineRule="auto"/>
              <w:jc w:val="center"/>
              <w:rPr>
                <w:color w:val="auto"/>
                <w:cs w:val="0"/>
              </w:rPr>
            </w:pPr>
            <w:r>
              <w:rPr>
                <w:rFonts w:hint="cs"/>
                <w:sz w:val="24"/>
                <w:szCs w:val="24"/>
                <w:cs w:val="0"/>
              </w:rPr>
              <w:t>۸۰</w:t>
            </w:r>
          </w:p>
        </w:tc>
        <w:tc>
          <w:tcPr>
            <w:tcW w:w="1641" w:type="pct"/>
            <w:vAlign w:val="center"/>
          </w:tcPr>
          <w:p w:rsidR="008908D0" w:rsidRDefault="002D5E38">
            <w:pPr>
              <w:spacing w:after="0" w:line="240" w:lineRule="auto"/>
              <w:jc w:val="center"/>
              <w:rPr>
                <w:color w:val="auto"/>
                <w:cs w:val="0"/>
              </w:rPr>
            </w:pPr>
            <w:r>
              <w:rPr>
                <w:rFonts w:hint="cs"/>
                <w:sz w:val="24"/>
                <w:szCs w:val="24"/>
                <w:cs w:val="0"/>
              </w:rPr>
              <w:t>۱۰۰</w:t>
            </w:r>
          </w:p>
        </w:tc>
      </w:tr>
    </w:tbl>
    <w:p w:rsidR="008908D0" w:rsidRDefault="002D5E38">
      <w:pPr>
        <w:pStyle w:val="Caption"/>
        <w:keepNext/>
        <w:autoSpaceDE/>
        <w:autoSpaceDN/>
        <w:adjustRightInd/>
        <w:spacing w:line="276" w:lineRule="auto"/>
        <w:rPr>
          <w:cs w:val="0"/>
        </w:rPr>
      </w:pPr>
      <w:bookmarkStart w:id="128" w:name="_Toc239451796"/>
      <w:r>
        <w:rPr>
          <w:cs w:val="0"/>
        </w:rPr>
        <w:t>جدول ۴-</w:t>
      </w:r>
      <w:r>
        <w:fldChar w:fldCharType="begin"/>
      </w:r>
      <w:r>
        <w:rPr>
          <w:cs w:val="0"/>
        </w:rPr>
        <w:instrText xml:space="preserve"> SEQ جدول \* ARABIC </w:instrText>
      </w:r>
      <w:r>
        <w:fldChar w:fldCharType="separate"/>
      </w:r>
      <w:r w:rsidR="00D419F3">
        <w:rPr>
          <w:noProof/>
          <w:cs w:val="0"/>
        </w:rPr>
        <w:t>3</w:t>
      </w:r>
      <w:r>
        <w:fldChar w:fldCharType="end"/>
      </w:r>
      <w:r>
        <w:rPr>
          <w:cs w:val="0"/>
        </w:rPr>
        <w:t>- فراوانی و درصد شرکت کنندگان براساس میزان تحصیلات</w:t>
      </w:r>
      <w:bookmarkEnd w:id="12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173"/>
        <w:gridCol w:w="2820"/>
        <w:gridCol w:w="3055"/>
      </w:tblGrid>
      <w:tr w:rsidR="008908D0">
        <w:trPr>
          <w:cantSplit/>
          <w:tblHeader/>
          <w:jc w:val="center"/>
        </w:trPr>
        <w:tc>
          <w:tcPr>
            <w:tcW w:w="243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تحصیلات</w:t>
            </w:r>
          </w:p>
        </w:tc>
        <w:tc>
          <w:tcPr>
            <w:tcW w:w="216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فراوانی</w:t>
            </w:r>
          </w:p>
        </w:tc>
        <w:tc>
          <w:tcPr>
            <w:tcW w:w="2340" w:type="dxa"/>
            <w:shd w:val="clear" w:color="auto" w:fill="E2EFD9"/>
            <w:vAlign w:val="center"/>
            <w:hideMark/>
          </w:tcPr>
          <w:p w:rsidR="008908D0" w:rsidRDefault="002D5E38">
            <w:pPr>
              <w:autoSpaceDE/>
              <w:autoSpaceDN/>
              <w:adjustRightInd/>
              <w:spacing w:after="0" w:line="240" w:lineRule="auto"/>
              <w:rPr>
                <w:color w:val="auto"/>
                <w:cs w:val="0"/>
              </w:rPr>
            </w:pPr>
            <w:r>
              <w:rPr>
                <w:rFonts w:hint="cs"/>
                <w:b/>
                <w:bCs/>
                <w:sz w:val="24"/>
                <w:szCs w:val="24"/>
                <w:cs w:val="0"/>
              </w:rPr>
              <w:t>درصد</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زیر 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۱۸</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۵/۲۲</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دیپلم</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۲۱</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۲/۲۶</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کاردانی</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۲۴</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۰/۳۰</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کارشناسی و بالاتر</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۱۷</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۳/۲۱</w:t>
            </w:r>
          </w:p>
        </w:tc>
      </w:tr>
      <w:tr w:rsidR="008908D0">
        <w:trPr>
          <w:cantSplit/>
          <w:jc w:val="center"/>
        </w:trPr>
        <w:tc>
          <w:tcPr>
            <w:tcW w:w="2430" w:type="dxa"/>
            <w:vAlign w:val="center"/>
            <w:hideMark/>
          </w:tcPr>
          <w:p w:rsidR="008908D0" w:rsidRDefault="002D5E38">
            <w:pPr>
              <w:autoSpaceDE/>
              <w:autoSpaceDN/>
              <w:adjustRightInd/>
              <w:spacing w:after="0" w:line="240" w:lineRule="auto"/>
              <w:rPr>
                <w:color w:val="auto"/>
                <w:cs w:val="0"/>
              </w:rPr>
            </w:pPr>
            <w:r>
              <w:rPr>
                <w:rFonts w:hint="cs"/>
                <w:sz w:val="24"/>
                <w:szCs w:val="24"/>
                <w:cs w:val="0"/>
              </w:rPr>
              <w:t>کل</w:t>
            </w:r>
          </w:p>
        </w:tc>
        <w:tc>
          <w:tcPr>
            <w:tcW w:w="216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۸۰</w:t>
            </w:r>
          </w:p>
        </w:tc>
        <w:tc>
          <w:tcPr>
            <w:tcW w:w="2340" w:type="dxa"/>
            <w:vAlign w:val="center"/>
            <w:hideMark/>
          </w:tcPr>
          <w:p w:rsidR="008908D0" w:rsidRDefault="002D5E38">
            <w:pPr>
              <w:autoSpaceDE/>
              <w:autoSpaceDN/>
              <w:adjustRightInd/>
              <w:spacing w:after="0" w:line="240" w:lineRule="auto"/>
              <w:jc w:val="center"/>
              <w:rPr>
                <w:color w:val="auto"/>
                <w:cs w:val="0"/>
              </w:rPr>
            </w:pPr>
            <w:r>
              <w:rPr>
                <w:rFonts w:hint="cs"/>
                <w:sz w:val="24"/>
                <w:szCs w:val="24"/>
                <w:cs w:val="0"/>
              </w:rPr>
              <w:t>۱۰۰</w:t>
            </w:r>
          </w:p>
        </w:tc>
      </w:tr>
    </w:tbl>
    <w:p w:rsidR="008908D0" w:rsidRDefault="002D5E38">
      <w:pPr>
        <w:keepNext/>
        <w:autoSpaceDE/>
        <w:autoSpaceDN/>
        <w:adjustRightInd/>
        <w:spacing w:after="0" w:line="276" w:lineRule="auto"/>
        <w:ind w:firstLine="397"/>
        <w:jc w:val="both"/>
        <w:rPr>
          <w:color w:val="auto"/>
          <w:sz w:val="26"/>
          <w:szCs w:val="26"/>
          <w:cs w:val="0"/>
        </w:rPr>
      </w:pPr>
      <w:bookmarkStart w:id="129" w:name="_Toc106471884"/>
      <w:r>
        <w:rPr>
          <w:rFonts w:hint="cs"/>
          <w:cs w:val="0"/>
        </w:rPr>
        <w:lastRenderedPageBreak/>
        <w:t>جدول ۴-۳، فراوانی و درصد شرکت کنندگان را براساس میزان تحصیلات نشان می‌دهد. بر این اساس، در این مطالعه ۵/۲۲ درصد شرکت کنندگان دارای مدرک زیردیپلم، ۲/۲۶ درصد دارای مدرک دیپلم، ۰/۳۰ درصد دارای مدرک کاردانی و ۳/۲۱ درصد دارای مدرک کارشناسی و بالاتر می باشند.</w:t>
      </w:r>
      <w:bookmarkEnd w:id="129"/>
    </w:p>
    <w:p w:rsidR="008908D0" w:rsidRDefault="002D5E38">
      <w:pPr>
        <w:pStyle w:val="Caption"/>
        <w:keepNext/>
        <w:autoSpaceDE/>
        <w:autoSpaceDN/>
        <w:adjustRightInd/>
        <w:spacing w:line="276" w:lineRule="auto"/>
        <w:rPr>
          <w:cs w:val="0"/>
        </w:rPr>
      </w:pPr>
      <w:bookmarkStart w:id="130" w:name="_Toc239451797"/>
      <w:r>
        <w:rPr>
          <w:cs w:val="0"/>
        </w:rPr>
        <w:t>جدول ۴-</w:t>
      </w:r>
      <w:r>
        <w:fldChar w:fldCharType="begin"/>
      </w:r>
      <w:r>
        <w:rPr>
          <w:cs w:val="0"/>
        </w:rPr>
        <w:instrText xml:space="preserve"> SEQ جدول \* ARABIC </w:instrText>
      </w:r>
      <w:r>
        <w:fldChar w:fldCharType="separate"/>
      </w:r>
      <w:r w:rsidR="00D419F3">
        <w:rPr>
          <w:noProof/>
          <w:cs w:val="0"/>
        </w:rPr>
        <w:t>4</w:t>
      </w:r>
      <w:r>
        <w:fldChar w:fldCharType="end"/>
      </w:r>
      <w:r>
        <w:rPr>
          <w:cs w:val="0"/>
        </w:rPr>
        <w:t>- شاخص‌های توصیفی مربوط به سن شرکت کنندگان پژوهش</w:t>
      </w:r>
      <w:bookmarkEnd w:id="130"/>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128"/>
        <w:gridCol w:w="2270"/>
        <w:gridCol w:w="2270"/>
        <w:gridCol w:w="1977"/>
        <w:gridCol w:w="1403"/>
      </w:tblGrid>
      <w:tr w:rsidR="008908D0">
        <w:trPr>
          <w:cantSplit/>
          <w:tblHeader/>
          <w:jc w:val="center"/>
        </w:trPr>
        <w:tc>
          <w:tcPr>
            <w:tcW w:w="919"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متغیر</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میانگین</w:t>
            </w:r>
          </w:p>
        </w:tc>
        <w:tc>
          <w:tcPr>
            <w:tcW w:w="1848"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انحراف معیار</w:t>
            </w:r>
          </w:p>
        </w:tc>
        <w:tc>
          <w:tcPr>
            <w:tcW w:w="1610"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کمینه</w:t>
            </w:r>
          </w:p>
        </w:tc>
        <w:tc>
          <w:tcPr>
            <w:tcW w:w="1142" w:type="dxa"/>
            <w:shd w:val="clear" w:color="auto" w:fill="E2EFD9"/>
            <w:vAlign w:val="center"/>
          </w:tcPr>
          <w:p w:rsidR="008908D0" w:rsidRDefault="002D5E38" w:rsidP="000E3BC2">
            <w:pPr>
              <w:spacing w:after="0" w:line="240" w:lineRule="auto"/>
              <w:jc w:val="center"/>
              <w:rPr>
                <w:color w:val="auto"/>
                <w:cs w:val="0"/>
              </w:rPr>
            </w:pPr>
            <w:r>
              <w:rPr>
                <w:rFonts w:hint="cs"/>
                <w:b/>
                <w:bCs/>
                <w:sz w:val="24"/>
                <w:szCs w:val="24"/>
                <w:cs w:val="0"/>
              </w:rPr>
              <w:t>بیشینه</w:t>
            </w:r>
          </w:p>
        </w:tc>
      </w:tr>
      <w:tr w:rsidR="008908D0">
        <w:trPr>
          <w:cantSplit/>
          <w:jc w:val="center"/>
        </w:trPr>
        <w:tc>
          <w:tcPr>
            <w:tcW w:w="919" w:type="dxa"/>
            <w:shd w:val="clear" w:color="auto" w:fill="E6EED5"/>
            <w:vAlign w:val="center"/>
          </w:tcPr>
          <w:p w:rsidR="008908D0" w:rsidRDefault="002D5E38">
            <w:pPr>
              <w:spacing w:after="0" w:line="240" w:lineRule="auto"/>
              <w:rPr>
                <w:color w:val="auto"/>
                <w:cs w:val="0"/>
              </w:rPr>
            </w:pPr>
            <w:r>
              <w:rPr>
                <w:rFonts w:hint="cs"/>
                <w:sz w:val="24"/>
                <w:szCs w:val="24"/>
                <w:cs w:val="0"/>
              </w:rPr>
              <w:t>سن</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۴۸/۷۱</w:t>
            </w:r>
          </w:p>
        </w:tc>
        <w:tc>
          <w:tcPr>
            <w:tcW w:w="1848"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۷۲/۶</w:t>
            </w:r>
          </w:p>
        </w:tc>
        <w:tc>
          <w:tcPr>
            <w:tcW w:w="1610"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۶۱</w:t>
            </w:r>
          </w:p>
        </w:tc>
        <w:tc>
          <w:tcPr>
            <w:tcW w:w="1142" w:type="dxa"/>
            <w:shd w:val="clear" w:color="auto" w:fill="E6EED5"/>
            <w:vAlign w:val="center"/>
          </w:tcPr>
          <w:p w:rsidR="008908D0" w:rsidRDefault="002D5E38">
            <w:pPr>
              <w:spacing w:after="0" w:line="240" w:lineRule="auto"/>
              <w:jc w:val="center"/>
              <w:rPr>
                <w:color w:val="auto"/>
                <w:cs w:val="0"/>
              </w:rPr>
            </w:pPr>
            <w:r>
              <w:rPr>
                <w:rFonts w:hint="cs"/>
                <w:sz w:val="24"/>
                <w:szCs w:val="24"/>
                <w:cs w:val="0"/>
              </w:rPr>
              <w:t>۸۵</w:t>
            </w:r>
          </w:p>
        </w:tc>
      </w:tr>
    </w:tbl>
    <w:p w:rsidR="008908D0" w:rsidRDefault="002D5E38">
      <w:pPr>
        <w:spacing w:after="0" w:line="276" w:lineRule="auto"/>
        <w:ind w:firstLine="397"/>
        <w:jc w:val="both"/>
        <w:rPr>
          <w:color w:val="auto"/>
          <w:sz w:val="26"/>
          <w:szCs w:val="26"/>
          <w:cs w:val="0"/>
        </w:rPr>
      </w:pPr>
      <w:bookmarkStart w:id="131" w:name="_Toc9804379"/>
      <w:bookmarkStart w:id="132" w:name="_Toc9805746"/>
      <w:bookmarkStart w:id="133" w:name="_Toc9805979"/>
      <w:bookmarkStart w:id="134" w:name="_Toc9806491"/>
      <w:bookmarkStart w:id="135" w:name="_Toc9806728"/>
      <w:bookmarkStart w:id="136" w:name="_Toc10031677"/>
      <w:bookmarkStart w:id="137" w:name="_Toc10032674"/>
      <w:bookmarkStart w:id="138" w:name="_Toc10034454"/>
      <w:bookmarkStart w:id="139" w:name="_Toc10309306"/>
      <w:bookmarkStart w:id="140" w:name="_Toc10309752"/>
      <w:bookmarkStart w:id="141" w:name="_Toc10310348"/>
      <w:bookmarkStart w:id="142" w:name="_Toc10310641"/>
      <w:bookmarkStart w:id="143" w:name="_Toc10311386"/>
      <w:bookmarkStart w:id="144" w:name="_Toc12098838"/>
      <w:bookmarkStart w:id="145" w:name="_Toc12099382"/>
      <w:r>
        <w:rPr>
          <w:rFonts w:hint="cs"/>
          <w:cs w:val="0"/>
        </w:rPr>
        <w:t>جدول ۴-۴، شاخص‌های توصیفی مربوط به سن آزمودنی‌های پژوهش را نشان می‌دهد. بر اساس جدول فوق، میانگین سن شرکت کنندگان ۴۸/۷۱ سال (۷۲/۶= انحراف معیار، دامنه = ۸۵-۶۱) می‌باشد.</w:t>
      </w:r>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rsidR="008908D0" w:rsidRDefault="002D5E38">
      <w:pPr>
        <w:pStyle w:val="Caption"/>
        <w:keepNext/>
        <w:spacing w:line="276" w:lineRule="auto"/>
        <w:rPr>
          <w:cs w:val="0"/>
        </w:rPr>
      </w:pPr>
      <w:bookmarkStart w:id="146" w:name="_Toc239451798"/>
      <w:r>
        <w:rPr>
          <w:cs w:val="0"/>
        </w:rPr>
        <w:t>جدول ۴-</w:t>
      </w:r>
      <w:r>
        <w:fldChar w:fldCharType="begin"/>
      </w:r>
      <w:r>
        <w:rPr>
          <w:cs w:val="0"/>
        </w:rPr>
        <w:instrText xml:space="preserve"> SEQ جدول \* ARABIC </w:instrText>
      </w:r>
      <w:r>
        <w:fldChar w:fldCharType="separate"/>
      </w:r>
      <w:r w:rsidR="00D419F3">
        <w:rPr>
          <w:noProof/>
          <w:cs w:val="0"/>
        </w:rPr>
        <w:t>5</w:t>
      </w:r>
      <w:r>
        <w:fldChar w:fldCharType="end"/>
      </w:r>
      <w:r>
        <w:rPr>
          <w:cs w:val="0"/>
        </w:rPr>
        <w:t>- شاخص‌های توصیفی متغیرهای پژوهش</w:t>
      </w:r>
      <w:bookmarkEnd w:id="146"/>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810"/>
        <w:gridCol w:w="1810"/>
        <w:gridCol w:w="1809"/>
        <w:gridCol w:w="1809"/>
        <w:gridCol w:w="1810"/>
      </w:tblGrid>
      <w:tr w:rsidR="008908D0">
        <w:trPr>
          <w:cantSplit/>
          <w:tblHeader/>
          <w:jc w:val="center"/>
        </w:trPr>
        <w:tc>
          <w:tcPr>
            <w:tcW w:w="1733" w:type="dxa"/>
            <w:shd w:val="clear" w:color="auto" w:fill="E2EFD9"/>
            <w:vAlign w:val="center"/>
          </w:tcPr>
          <w:p w:rsidR="008908D0" w:rsidRDefault="002D5E38" w:rsidP="000E3BC2">
            <w:pPr>
              <w:spacing w:after="0" w:line="240" w:lineRule="auto"/>
              <w:jc w:val="center"/>
              <w:rPr>
                <w:b/>
                <w:bCs/>
                <w:color w:val="auto"/>
                <w:cs w:val="0"/>
              </w:rPr>
            </w:pPr>
            <w:bookmarkStart w:id="147" w:name="_Toc238572070"/>
            <w:r>
              <w:rPr>
                <w:rFonts w:hint="cs"/>
                <w:b/>
                <w:bCs/>
                <w:sz w:val="24"/>
                <w:szCs w:val="24"/>
                <w:cs w:val="0"/>
              </w:rPr>
              <w:t>متغیر</w:t>
            </w:r>
            <w:bookmarkEnd w:id="147"/>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48" w:name="_Toc238572071"/>
            <w:r>
              <w:rPr>
                <w:rFonts w:hint="cs"/>
                <w:b/>
                <w:bCs/>
                <w:sz w:val="24"/>
                <w:szCs w:val="24"/>
                <w:cs w:val="0"/>
              </w:rPr>
              <w:t>میانگین</w:t>
            </w:r>
            <w:bookmarkEnd w:id="148"/>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49" w:name="_Toc238572072"/>
            <w:r>
              <w:rPr>
                <w:rFonts w:hint="cs"/>
                <w:b/>
                <w:bCs/>
                <w:sz w:val="24"/>
                <w:szCs w:val="24"/>
                <w:cs w:val="0"/>
              </w:rPr>
              <w:t>انحراف معیار</w:t>
            </w:r>
            <w:bookmarkEnd w:id="149"/>
          </w:p>
        </w:tc>
        <w:tc>
          <w:tcPr>
            <w:tcW w:w="1733" w:type="dxa"/>
            <w:shd w:val="clear" w:color="auto" w:fill="E2EFD9"/>
            <w:vAlign w:val="center"/>
          </w:tcPr>
          <w:p w:rsidR="008908D0" w:rsidRDefault="002D5E38" w:rsidP="000E3BC2">
            <w:pPr>
              <w:spacing w:after="0" w:line="240" w:lineRule="auto"/>
              <w:jc w:val="center"/>
              <w:rPr>
                <w:b/>
                <w:bCs/>
                <w:color w:val="auto"/>
                <w:cs w:val="0"/>
              </w:rPr>
            </w:pPr>
            <w:bookmarkStart w:id="150" w:name="_Toc238572073"/>
            <w:r>
              <w:rPr>
                <w:rFonts w:hint="cs"/>
                <w:b/>
                <w:bCs/>
                <w:sz w:val="24"/>
                <w:szCs w:val="24"/>
                <w:cs w:val="0"/>
              </w:rPr>
              <w:t>کمینه</w:t>
            </w:r>
            <w:bookmarkEnd w:id="150"/>
          </w:p>
        </w:tc>
        <w:tc>
          <w:tcPr>
            <w:tcW w:w="1734" w:type="dxa"/>
            <w:shd w:val="clear" w:color="auto" w:fill="E2EFD9"/>
            <w:vAlign w:val="center"/>
          </w:tcPr>
          <w:p w:rsidR="008908D0" w:rsidRDefault="002D5E38" w:rsidP="000E3BC2">
            <w:pPr>
              <w:spacing w:after="0" w:line="240" w:lineRule="auto"/>
              <w:jc w:val="center"/>
              <w:rPr>
                <w:b/>
                <w:bCs/>
                <w:color w:val="auto"/>
                <w:cs w:val="0"/>
              </w:rPr>
            </w:pPr>
            <w:bookmarkStart w:id="151" w:name="_Toc238572074"/>
            <w:r>
              <w:rPr>
                <w:rFonts w:hint="cs"/>
                <w:b/>
                <w:bCs/>
                <w:sz w:val="24"/>
                <w:szCs w:val="24"/>
                <w:cs w:val="0"/>
              </w:rPr>
              <w:t>بیشینه</w:t>
            </w:r>
            <w:bookmarkEnd w:id="151"/>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52" w:name="_Toc238572075"/>
            <w:r>
              <w:rPr>
                <w:rFonts w:hint="cs"/>
                <w:sz w:val="24"/>
                <w:szCs w:val="24"/>
                <w:cs w:val="0"/>
              </w:rPr>
              <w:t>هوش معنوی</w:t>
            </w:r>
            <w:bookmarkEnd w:id="152"/>
          </w:p>
        </w:tc>
        <w:tc>
          <w:tcPr>
            <w:tcW w:w="1733" w:type="dxa"/>
            <w:shd w:val="clear" w:color="auto" w:fill="E6EED5"/>
            <w:vAlign w:val="center"/>
          </w:tcPr>
          <w:p w:rsidR="008908D0" w:rsidRDefault="002D5E38">
            <w:pPr>
              <w:spacing w:after="0" w:line="240" w:lineRule="auto"/>
              <w:jc w:val="center"/>
              <w:rPr>
                <w:b/>
                <w:bCs/>
                <w:color w:val="auto"/>
                <w:cs w:val="0"/>
              </w:rPr>
            </w:pPr>
            <w:bookmarkStart w:id="153" w:name="_Toc238572076"/>
            <w:r>
              <w:rPr>
                <w:rFonts w:hint="cs"/>
                <w:sz w:val="24"/>
                <w:szCs w:val="24"/>
                <w:cs w:val="0"/>
              </w:rPr>
              <w:t>۸۲/۶۳</w:t>
            </w:r>
            <w:bookmarkEnd w:id="153"/>
          </w:p>
        </w:tc>
        <w:tc>
          <w:tcPr>
            <w:tcW w:w="1733" w:type="dxa"/>
            <w:shd w:val="clear" w:color="auto" w:fill="E6EED5"/>
            <w:vAlign w:val="center"/>
          </w:tcPr>
          <w:p w:rsidR="008908D0" w:rsidRDefault="002D5E38">
            <w:pPr>
              <w:spacing w:after="0" w:line="240" w:lineRule="auto"/>
              <w:jc w:val="center"/>
              <w:rPr>
                <w:b/>
                <w:bCs/>
                <w:color w:val="auto"/>
                <w:cs w:val="0"/>
              </w:rPr>
            </w:pPr>
            <w:bookmarkStart w:id="154" w:name="_Toc238572077"/>
            <w:r>
              <w:rPr>
                <w:rFonts w:hint="cs"/>
                <w:sz w:val="24"/>
                <w:szCs w:val="24"/>
                <w:cs w:val="0"/>
              </w:rPr>
              <w:t>۵۷/۸</w:t>
            </w:r>
            <w:bookmarkEnd w:id="154"/>
          </w:p>
        </w:tc>
        <w:tc>
          <w:tcPr>
            <w:tcW w:w="1733" w:type="dxa"/>
            <w:shd w:val="clear" w:color="auto" w:fill="E6EED5"/>
            <w:vAlign w:val="center"/>
          </w:tcPr>
          <w:p w:rsidR="008908D0" w:rsidRDefault="002D5E38">
            <w:pPr>
              <w:spacing w:after="0" w:line="240" w:lineRule="auto"/>
              <w:jc w:val="center"/>
              <w:rPr>
                <w:b/>
                <w:bCs/>
                <w:color w:val="auto"/>
                <w:cs w:val="0"/>
              </w:rPr>
            </w:pPr>
            <w:bookmarkStart w:id="155" w:name="_Toc238572078"/>
            <w:r>
              <w:rPr>
                <w:rFonts w:hint="cs"/>
                <w:sz w:val="24"/>
                <w:szCs w:val="24"/>
                <w:cs w:val="0"/>
              </w:rPr>
              <w:t>۴۵</w:t>
            </w:r>
            <w:bookmarkEnd w:id="155"/>
          </w:p>
        </w:tc>
        <w:tc>
          <w:tcPr>
            <w:tcW w:w="1734" w:type="dxa"/>
            <w:shd w:val="clear" w:color="auto" w:fill="E6EED5"/>
            <w:vAlign w:val="center"/>
          </w:tcPr>
          <w:p w:rsidR="008908D0" w:rsidRDefault="002D5E38">
            <w:pPr>
              <w:spacing w:after="0" w:line="240" w:lineRule="auto"/>
              <w:jc w:val="center"/>
              <w:rPr>
                <w:b/>
                <w:bCs/>
                <w:color w:val="auto"/>
                <w:cs w:val="0"/>
              </w:rPr>
            </w:pPr>
            <w:bookmarkStart w:id="156" w:name="_Toc238572079"/>
            <w:r>
              <w:rPr>
                <w:rFonts w:hint="cs"/>
                <w:sz w:val="24"/>
                <w:szCs w:val="24"/>
                <w:cs w:val="0"/>
              </w:rPr>
              <w:t>۸۰</w:t>
            </w:r>
            <w:bookmarkEnd w:id="156"/>
          </w:p>
        </w:tc>
      </w:tr>
      <w:tr w:rsidR="008908D0">
        <w:trPr>
          <w:cantSplit/>
          <w:jc w:val="center"/>
        </w:trPr>
        <w:tc>
          <w:tcPr>
            <w:tcW w:w="1733" w:type="dxa"/>
            <w:vAlign w:val="center"/>
          </w:tcPr>
          <w:p w:rsidR="008908D0" w:rsidRDefault="002D5E38">
            <w:pPr>
              <w:spacing w:after="0" w:line="240" w:lineRule="auto"/>
              <w:rPr>
                <w:b/>
                <w:bCs/>
                <w:color w:val="auto"/>
                <w:cs w:val="0"/>
              </w:rPr>
            </w:pPr>
            <w:bookmarkStart w:id="157" w:name="_Toc238572080"/>
            <w:r>
              <w:rPr>
                <w:rFonts w:hint="cs"/>
                <w:sz w:val="24"/>
                <w:szCs w:val="24"/>
                <w:cs w:val="0"/>
              </w:rPr>
              <w:t>اضطراب سلامتی</w:t>
            </w:r>
            <w:bookmarkEnd w:id="157"/>
          </w:p>
        </w:tc>
        <w:tc>
          <w:tcPr>
            <w:tcW w:w="1733" w:type="dxa"/>
            <w:vAlign w:val="center"/>
          </w:tcPr>
          <w:p w:rsidR="008908D0" w:rsidRDefault="002D5E38">
            <w:pPr>
              <w:spacing w:after="0" w:line="240" w:lineRule="auto"/>
              <w:jc w:val="center"/>
              <w:rPr>
                <w:b/>
                <w:bCs/>
                <w:color w:val="auto"/>
                <w:cs w:val="0"/>
              </w:rPr>
            </w:pPr>
            <w:bookmarkStart w:id="158" w:name="_Toc238572081"/>
            <w:r>
              <w:rPr>
                <w:rFonts w:hint="cs"/>
                <w:sz w:val="24"/>
                <w:szCs w:val="24"/>
                <w:cs w:val="0"/>
              </w:rPr>
              <w:t>۴۱/۵۲</w:t>
            </w:r>
            <w:bookmarkEnd w:id="158"/>
          </w:p>
        </w:tc>
        <w:tc>
          <w:tcPr>
            <w:tcW w:w="1733" w:type="dxa"/>
            <w:vAlign w:val="center"/>
          </w:tcPr>
          <w:p w:rsidR="008908D0" w:rsidRDefault="002D5E38">
            <w:pPr>
              <w:spacing w:after="0" w:line="240" w:lineRule="auto"/>
              <w:jc w:val="center"/>
              <w:rPr>
                <w:b/>
                <w:bCs/>
                <w:color w:val="auto"/>
                <w:cs w:val="0"/>
              </w:rPr>
            </w:pPr>
            <w:bookmarkStart w:id="159" w:name="_Toc238572082"/>
            <w:r>
              <w:rPr>
                <w:rFonts w:hint="cs"/>
                <w:sz w:val="24"/>
                <w:szCs w:val="24"/>
                <w:cs w:val="0"/>
              </w:rPr>
              <w:t>۹۲/۷</w:t>
            </w:r>
            <w:bookmarkEnd w:id="159"/>
          </w:p>
        </w:tc>
        <w:tc>
          <w:tcPr>
            <w:tcW w:w="1733" w:type="dxa"/>
            <w:vAlign w:val="center"/>
          </w:tcPr>
          <w:p w:rsidR="008908D0" w:rsidRDefault="002D5E38">
            <w:pPr>
              <w:spacing w:after="0" w:line="240" w:lineRule="auto"/>
              <w:jc w:val="center"/>
              <w:rPr>
                <w:b/>
                <w:bCs/>
                <w:color w:val="auto"/>
                <w:cs w:val="0"/>
              </w:rPr>
            </w:pPr>
            <w:bookmarkStart w:id="160" w:name="_Toc238572083"/>
            <w:r>
              <w:rPr>
                <w:rFonts w:hint="cs"/>
                <w:sz w:val="24"/>
                <w:szCs w:val="24"/>
                <w:cs w:val="0"/>
              </w:rPr>
              <w:t>۳۴</w:t>
            </w:r>
            <w:bookmarkEnd w:id="160"/>
          </w:p>
        </w:tc>
        <w:tc>
          <w:tcPr>
            <w:tcW w:w="1734" w:type="dxa"/>
            <w:vAlign w:val="center"/>
          </w:tcPr>
          <w:p w:rsidR="008908D0" w:rsidRDefault="002D5E38">
            <w:pPr>
              <w:spacing w:after="0" w:line="240" w:lineRule="auto"/>
              <w:jc w:val="center"/>
              <w:rPr>
                <w:b/>
                <w:bCs/>
                <w:color w:val="auto"/>
                <w:cs w:val="0"/>
              </w:rPr>
            </w:pPr>
            <w:bookmarkStart w:id="161" w:name="_Toc238572084"/>
            <w:r>
              <w:rPr>
                <w:rFonts w:hint="cs"/>
                <w:sz w:val="24"/>
                <w:szCs w:val="24"/>
                <w:cs w:val="0"/>
              </w:rPr>
              <w:t>۶۸</w:t>
            </w:r>
            <w:bookmarkEnd w:id="161"/>
          </w:p>
        </w:tc>
      </w:tr>
      <w:tr w:rsidR="008908D0">
        <w:trPr>
          <w:cantSplit/>
          <w:jc w:val="center"/>
        </w:trPr>
        <w:tc>
          <w:tcPr>
            <w:tcW w:w="1733" w:type="dxa"/>
            <w:shd w:val="clear" w:color="auto" w:fill="E6EED5"/>
            <w:vAlign w:val="center"/>
          </w:tcPr>
          <w:p w:rsidR="008908D0" w:rsidRDefault="002D5E38">
            <w:pPr>
              <w:spacing w:after="0" w:line="240" w:lineRule="auto"/>
              <w:rPr>
                <w:b/>
                <w:bCs/>
                <w:color w:val="auto"/>
                <w:cs w:val="0"/>
              </w:rPr>
            </w:pPr>
            <w:bookmarkStart w:id="162" w:name="_Toc238572085"/>
            <w:r>
              <w:rPr>
                <w:rFonts w:hint="cs"/>
                <w:sz w:val="24"/>
                <w:szCs w:val="24"/>
                <w:cs w:val="0"/>
              </w:rPr>
              <w:t>اضطراب مرگ</w:t>
            </w:r>
            <w:bookmarkEnd w:id="162"/>
          </w:p>
        </w:tc>
        <w:tc>
          <w:tcPr>
            <w:tcW w:w="1733" w:type="dxa"/>
            <w:shd w:val="clear" w:color="auto" w:fill="E6EED5"/>
            <w:vAlign w:val="center"/>
          </w:tcPr>
          <w:p w:rsidR="008908D0" w:rsidRDefault="002D5E38">
            <w:pPr>
              <w:spacing w:after="0" w:line="240" w:lineRule="auto"/>
              <w:jc w:val="center"/>
              <w:rPr>
                <w:b/>
                <w:bCs/>
                <w:color w:val="auto"/>
                <w:cs w:val="0"/>
              </w:rPr>
            </w:pPr>
            <w:bookmarkStart w:id="163" w:name="_Toc238572086"/>
            <w:r>
              <w:rPr>
                <w:rFonts w:hint="cs"/>
                <w:sz w:val="24"/>
                <w:szCs w:val="24"/>
                <w:cs w:val="0"/>
              </w:rPr>
              <w:t>۲۳/۴۸</w:t>
            </w:r>
            <w:bookmarkEnd w:id="163"/>
          </w:p>
        </w:tc>
        <w:tc>
          <w:tcPr>
            <w:tcW w:w="1733" w:type="dxa"/>
            <w:shd w:val="clear" w:color="auto" w:fill="E6EED5"/>
            <w:vAlign w:val="center"/>
          </w:tcPr>
          <w:p w:rsidR="008908D0" w:rsidRDefault="002D5E38">
            <w:pPr>
              <w:spacing w:after="0" w:line="240" w:lineRule="auto"/>
              <w:jc w:val="center"/>
              <w:rPr>
                <w:b/>
                <w:bCs/>
                <w:color w:val="auto"/>
                <w:cs w:val="0"/>
              </w:rPr>
            </w:pPr>
            <w:bookmarkStart w:id="164" w:name="_Toc238572087"/>
            <w:r>
              <w:rPr>
                <w:rFonts w:hint="cs"/>
                <w:sz w:val="24"/>
                <w:szCs w:val="24"/>
                <w:cs w:val="0"/>
              </w:rPr>
              <w:t>۱۱/۹</w:t>
            </w:r>
            <w:bookmarkEnd w:id="164"/>
          </w:p>
        </w:tc>
        <w:tc>
          <w:tcPr>
            <w:tcW w:w="1733" w:type="dxa"/>
            <w:shd w:val="clear" w:color="auto" w:fill="E6EED5"/>
            <w:vAlign w:val="center"/>
          </w:tcPr>
          <w:p w:rsidR="008908D0" w:rsidRDefault="002D5E38">
            <w:pPr>
              <w:spacing w:after="0" w:line="240" w:lineRule="auto"/>
              <w:jc w:val="center"/>
              <w:rPr>
                <w:b/>
                <w:bCs/>
                <w:color w:val="auto"/>
                <w:cs w:val="0"/>
              </w:rPr>
            </w:pPr>
            <w:bookmarkStart w:id="165" w:name="_Toc238572088"/>
            <w:r>
              <w:rPr>
                <w:rFonts w:hint="cs"/>
                <w:sz w:val="24"/>
                <w:szCs w:val="24"/>
                <w:cs w:val="0"/>
              </w:rPr>
              <w:t>۲۹</w:t>
            </w:r>
            <w:bookmarkEnd w:id="165"/>
          </w:p>
        </w:tc>
        <w:tc>
          <w:tcPr>
            <w:tcW w:w="1734" w:type="dxa"/>
            <w:shd w:val="clear" w:color="auto" w:fill="E6EED5"/>
            <w:vAlign w:val="center"/>
          </w:tcPr>
          <w:p w:rsidR="008908D0" w:rsidRDefault="002D5E38">
            <w:pPr>
              <w:spacing w:after="0" w:line="240" w:lineRule="auto"/>
              <w:jc w:val="center"/>
              <w:rPr>
                <w:b/>
                <w:bCs/>
                <w:color w:val="auto"/>
                <w:cs w:val="0"/>
              </w:rPr>
            </w:pPr>
            <w:bookmarkStart w:id="166" w:name="_Toc238572089"/>
            <w:r>
              <w:rPr>
                <w:rFonts w:hint="cs"/>
                <w:sz w:val="24"/>
                <w:szCs w:val="24"/>
                <w:cs w:val="0"/>
              </w:rPr>
              <w:t>۷۰</w:t>
            </w:r>
            <w:bookmarkEnd w:id="166"/>
          </w:p>
        </w:tc>
      </w:tr>
    </w:tbl>
    <w:p w:rsidR="008908D0" w:rsidRDefault="002D5E38">
      <w:pPr>
        <w:spacing w:after="0" w:line="276" w:lineRule="auto"/>
        <w:ind w:firstLine="397"/>
        <w:jc w:val="both"/>
        <w:rPr>
          <w:color w:val="auto"/>
          <w:sz w:val="26"/>
          <w:szCs w:val="26"/>
          <w:cs w:val="0"/>
        </w:rPr>
      </w:pPr>
      <w:bookmarkStart w:id="167" w:name="_Toc238572090"/>
      <w:r>
        <w:rPr>
          <w:rFonts w:hint="cs"/>
          <w:cs w:val="0"/>
        </w:rPr>
        <w:t>همان گونه که مشاهده می‌شود، میانگین هوش معنوی آزمودنی‌ها (۸۲/۶۳ از حداکثر ۹۶، معادل ۶۶ درصد سقف مقیاس) در سطح متوسط رو به بالا قرار دارد.</w:t>
      </w:r>
      <w:bookmarkEnd w:id="167"/>
    </w:p>
    <w:p w:rsidR="00F113F3" w:rsidRDefault="00F113F3">
      <w:pPr>
        <w:autoSpaceDE/>
        <w:autoSpaceDN/>
        <w:adjustRightInd/>
        <w:spacing w:after="0" w:line="240" w:lineRule="auto"/>
        <w:jc w:val="right"/>
        <w:rPr>
          <w:rFonts w:cs="B Titr"/>
          <w:b/>
          <w:bCs/>
          <w:sz w:val="30"/>
          <w:szCs w:val="30"/>
          <w:cs w:val="0"/>
        </w:rPr>
      </w:pPr>
      <w:r>
        <w:rPr>
          <w:cs w:val="0"/>
        </w:rPr>
        <w:br w:type="page"/>
      </w:r>
    </w:p>
    <w:p w:rsidR="008908D0" w:rsidRPr="00B7369E" w:rsidRDefault="002D5E38" w:rsidP="00B7369E">
      <w:pPr>
        <w:pStyle w:val="Heading2"/>
        <w:rPr>
          <w:cs w:val="0"/>
        </w:rPr>
      </w:pPr>
      <w:bookmarkStart w:id="168" w:name="_Toc239015162"/>
      <w:bookmarkStart w:id="169" w:name="_Toc239432018"/>
      <w:r w:rsidRPr="00B7369E">
        <w:rPr>
          <w:cs w:val="0"/>
        </w:rPr>
        <w:lastRenderedPageBreak/>
        <w:t>۴-۲- یافته‌های استنباطی</w:t>
      </w:r>
      <w:bookmarkEnd w:id="168"/>
      <w:bookmarkEnd w:id="169"/>
    </w:p>
    <w:p w:rsidR="008908D0" w:rsidRPr="00B7369E" w:rsidRDefault="002D5E38" w:rsidP="00B7369E">
      <w:pPr>
        <w:pStyle w:val="Heading3"/>
        <w:rPr>
          <w:cs w:val="0"/>
        </w:rPr>
      </w:pPr>
      <w:bookmarkStart w:id="170" w:name="_Toc239015163"/>
      <w:bookmarkStart w:id="171" w:name="_Toc239432019"/>
      <w:r w:rsidRPr="00B7369E">
        <w:rPr>
          <w:cs w:val="0"/>
        </w:rPr>
        <w:t>۴-۲-۱- بررسی فرضیه فرعی اول پژوهش: بین هوش معنوی و اضطراب مرگ در سالمندان رابطه وجود دارد.</w:t>
      </w:r>
      <w:bookmarkEnd w:id="170"/>
      <w:bookmarkEnd w:id="171"/>
    </w:p>
    <w:p w:rsidR="008908D0" w:rsidRDefault="002D5E38">
      <w:pPr>
        <w:spacing w:after="0" w:line="276" w:lineRule="auto"/>
        <w:ind w:firstLine="397"/>
        <w:jc w:val="both"/>
        <w:rPr>
          <w:cs w:val="0"/>
        </w:rPr>
      </w:pPr>
      <w:r>
        <w:rPr>
          <w:rFonts w:hint="cs"/>
          <w:cs w:val="0"/>
        </w:rPr>
        <w:t>در راستای تحلیل داده های مربوط به این فرضیه از آزمون ضریب همبستگی پیرسون استفاده شد که نتایج آن در جدول ۴-۶ ارائه گردیده است.</w:t>
      </w:r>
    </w:p>
    <w:p w:rsidR="008908D0" w:rsidRDefault="002D5E38">
      <w:pPr>
        <w:pStyle w:val="Caption"/>
        <w:keepNext/>
        <w:spacing w:line="276" w:lineRule="auto"/>
        <w:rPr>
          <w:cs w:val="0"/>
        </w:rPr>
      </w:pPr>
      <w:bookmarkStart w:id="172" w:name="_Toc239451799"/>
      <w:r>
        <w:rPr>
          <w:cs w:val="0"/>
        </w:rPr>
        <w:t>جدول ۴-</w:t>
      </w:r>
      <w:r>
        <w:fldChar w:fldCharType="begin"/>
      </w:r>
      <w:r>
        <w:rPr>
          <w:cs w:val="0"/>
        </w:rPr>
        <w:instrText xml:space="preserve"> SEQ جدول \* ARABIC </w:instrText>
      </w:r>
      <w:r>
        <w:fldChar w:fldCharType="separate"/>
      </w:r>
      <w:r w:rsidR="00D419F3">
        <w:rPr>
          <w:noProof/>
          <w:cs w:val="0"/>
        </w:rPr>
        <w:t>6</w:t>
      </w:r>
      <w:r>
        <w:fldChar w:fldCharType="end"/>
      </w:r>
      <w:r>
        <w:rPr>
          <w:cs w:val="0"/>
        </w:rPr>
        <w:t>- ضرایب همبستگی پیرسون بین هوش معنوی و اضطراب مرگ سالمندان</w:t>
      </w:r>
      <w:bookmarkEnd w:id="172"/>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308"/>
        <w:gridCol w:w="1200"/>
        <w:gridCol w:w="1200"/>
        <w:gridCol w:w="1200"/>
        <w:gridCol w:w="1200"/>
        <w:gridCol w:w="1200"/>
        <w:gridCol w:w="740"/>
      </w:tblGrid>
      <w:tr w:rsidR="008908D0">
        <w:trPr>
          <w:cantSplit/>
          <w:tblHeader/>
          <w:jc w:val="center"/>
        </w:trPr>
        <w:tc>
          <w:tcPr>
            <w:tcW w:w="1276" w:type="pct"/>
            <w:shd w:val="clear" w:color="auto" w:fill="E2EFD9"/>
            <w:vAlign w:val="center"/>
          </w:tcPr>
          <w:p w:rsidR="008908D0" w:rsidRDefault="002D5E38">
            <w:pPr>
              <w:spacing w:after="0" w:line="240" w:lineRule="auto"/>
              <w:rPr>
                <w:color w:val="auto"/>
                <w:cs w:val="0"/>
              </w:rPr>
            </w:pPr>
            <w:r>
              <w:rPr>
                <w:rFonts w:hint="cs"/>
                <w:b/>
                <w:bCs/>
                <w:sz w:val="24"/>
                <w:szCs w:val="24"/>
                <w:cs w:val="0"/>
              </w:rPr>
              <w:t>متغیر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۱</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۲</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۳</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۴</w:t>
            </w:r>
          </w:p>
        </w:tc>
        <w:tc>
          <w:tcPr>
            <w:tcW w:w="663"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۵</w:t>
            </w:r>
          </w:p>
        </w:tc>
        <w:tc>
          <w:tcPr>
            <w:tcW w:w="410" w:type="pct"/>
            <w:shd w:val="clear" w:color="auto" w:fill="E2EFD9"/>
            <w:vAlign w:val="center"/>
          </w:tcPr>
          <w:p w:rsidR="008908D0" w:rsidRDefault="002D5E38">
            <w:pPr>
              <w:spacing w:after="0" w:line="240" w:lineRule="auto"/>
              <w:jc w:val="center"/>
              <w:rPr>
                <w:color w:val="auto"/>
                <w:cs w:val="0"/>
              </w:rPr>
            </w:pPr>
            <w:r>
              <w:rPr>
                <w:rFonts w:hint="cs"/>
                <w:b/>
                <w:bCs/>
                <w:sz w:val="24"/>
                <w:szCs w:val="24"/>
                <w:cs w:val="0"/>
              </w:rPr>
              <w:t>۶</w:t>
            </w:r>
          </w:p>
        </w:tc>
      </w:tr>
      <w:tr w:rsidR="008908D0">
        <w:trPr>
          <w:cantSplit/>
          <w:jc w:val="center"/>
        </w:trPr>
        <w:tc>
          <w:tcPr>
            <w:tcW w:w="1276" w:type="pct"/>
            <w:shd w:val="clear" w:color="auto" w:fill="E6EED5"/>
            <w:vAlign w:val="center"/>
          </w:tcPr>
          <w:p w:rsidR="008908D0" w:rsidRDefault="002D5E38">
            <w:pPr>
              <w:spacing w:after="0" w:line="240" w:lineRule="auto"/>
              <w:rPr>
                <w:rFonts w:ascii="B Lotus"/>
                <w:color w:val="auto"/>
                <w:cs w:val="0"/>
              </w:rPr>
            </w:pPr>
            <w:r>
              <w:rPr>
                <w:rFonts w:hint="cs"/>
                <w:sz w:val="24"/>
                <w:szCs w:val="24"/>
                <w:cs w:val="0"/>
              </w:rPr>
              <w:t>۱. تفکر وجودی انتقادی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۲. ایجاد معنای شخصی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۳. آگاهی متعالی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۵۶/۰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663" w:type="pct"/>
            <w:shd w:val="clear" w:color="auto" w:fill="E6EED5"/>
            <w:vAlign w:val="center"/>
          </w:tcPr>
          <w:p w:rsidR="008908D0" w:rsidRDefault="008908D0">
            <w:pPr>
              <w:spacing w:after="0" w:line="240" w:lineRule="auto"/>
              <w:jc w:val="center"/>
              <w:rPr>
                <w:color w:val="auto"/>
                <w:cs w:val="0"/>
              </w:rPr>
            </w:pPr>
          </w:p>
        </w:tc>
        <w:tc>
          <w:tcPr>
            <w:tcW w:w="663" w:type="pct"/>
            <w:shd w:val="clear" w:color="auto" w:fill="E6EED5"/>
            <w:vAlign w:val="center"/>
          </w:tcPr>
          <w:p w:rsidR="008908D0" w:rsidRDefault="008908D0">
            <w:pPr>
              <w:spacing w:after="0" w:line="240" w:lineRule="auto"/>
              <w:jc w:val="center"/>
              <w:rPr>
                <w:color w:val="auto"/>
                <w:cs w:val="0"/>
              </w:rPr>
            </w:pP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۴. گسترش حالت هوشیاری</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cs w:val="0"/>
              </w:rPr>
              <w:t>۱</w:t>
            </w:r>
          </w:p>
        </w:tc>
        <w:tc>
          <w:tcPr>
            <w:tcW w:w="663" w:type="pct"/>
            <w:vAlign w:val="center"/>
          </w:tcPr>
          <w:p w:rsidR="008908D0" w:rsidRDefault="008908D0">
            <w:pPr>
              <w:spacing w:after="0" w:line="240" w:lineRule="auto"/>
              <w:jc w:val="center"/>
              <w:rPr>
                <w:color w:val="auto"/>
                <w:cs w:val="0"/>
              </w:rPr>
            </w:pPr>
          </w:p>
        </w:tc>
        <w:tc>
          <w:tcPr>
            <w:tcW w:w="410" w:type="pct"/>
            <w:vAlign w:val="center"/>
          </w:tcPr>
          <w:p w:rsidR="008908D0" w:rsidRDefault="008908D0">
            <w:pPr>
              <w:spacing w:after="0" w:line="240" w:lineRule="auto"/>
              <w:jc w:val="center"/>
              <w:rPr>
                <w:color w:val="auto"/>
                <w:cs w:val="0"/>
              </w:rPr>
            </w:pPr>
          </w:p>
        </w:tc>
      </w:tr>
      <w:tr w:rsidR="008908D0">
        <w:trPr>
          <w:cantSplit/>
          <w:jc w:val="center"/>
        </w:trPr>
        <w:tc>
          <w:tcPr>
            <w:tcW w:w="1276" w:type="pct"/>
            <w:shd w:val="clear" w:color="auto" w:fill="E6EED5"/>
            <w:vAlign w:val="center"/>
          </w:tcPr>
          <w:p w:rsidR="008908D0" w:rsidRDefault="002D5E38">
            <w:pPr>
              <w:spacing w:after="0" w:line="240" w:lineRule="auto"/>
              <w:rPr>
                <w:color w:val="auto"/>
                <w:cs w:val="0"/>
              </w:rPr>
            </w:pPr>
            <w:r>
              <w:rPr>
                <w:rFonts w:hint="cs"/>
                <w:sz w:val="24"/>
                <w:szCs w:val="24"/>
                <w:cs w:val="0"/>
              </w:rPr>
              <w:t>۵. هوش معنوی</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۷۷/۰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۸۶/۰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۸۰/۰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۸۳/۰</w:t>
            </w:r>
          </w:p>
        </w:tc>
        <w:tc>
          <w:tcPr>
            <w:tcW w:w="663" w:type="pct"/>
            <w:shd w:val="clear" w:color="auto" w:fill="E6EED5"/>
            <w:vAlign w:val="center"/>
          </w:tcPr>
          <w:p w:rsidR="008908D0" w:rsidRDefault="002D5E38">
            <w:pPr>
              <w:spacing w:after="0" w:line="240" w:lineRule="auto"/>
              <w:jc w:val="center"/>
              <w:rPr>
                <w:color w:val="auto"/>
                <w:cs w:val="0"/>
              </w:rPr>
            </w:pPr>
            <w:r>
              <w:rPr>
                <w:rFonts w:hint="cs"/>
                <w:sz w:val="24"/>
                <w:szCs w:val="24"/>
                <w:cs w:val="0"/>
              </w:rPr>
              <w:t>۱</w:t>
            </w:r>
          </w:p>
        </w:tc>
        <w:tc>
          <w:tcPr>
            <w:tcW w:w="410" w:type="pct"/>
            <w:shd w:val="clear" w:color="auto" w:fill="E6EED5"/>
            <w:vAlign w:val="center"/>
          </w:tcPr>
          <w:p w:rsidR="008908D0" w:rsidRDefault="008908D0">
            <w:pPr>
              <w:spacing w:after="0" w:line="240" w:lineRule="auto"/>
              <w:jc w:val="center"/>
              <w:rPr>
                <w:color w:val="auto"/>
                <w:cs w:val="0"/>
              </w:rPr>
            </w:pPr>
          </w:p>
        </w:tc>
      </w:tr>
      <w:tr w:rsidR="008908D0">
        <w:trPr>
          <w:cantSplit/>
          <w:jc w:val="center"/>
        </w:trPr>
        <w:tc>
          <w:tcPr>
            <w:tcW w:w="1276" w:type="pct"/>
            <w:vAlign w:val="center"/>
          </w:tcPr>
          <w:p w:rsidR="008908D0" w:rsidRDefault="002D5E38">
            <w:pPr>
              <w:spacing w:after="0" w:line="240" w:lineRule="auto"/>
              <w:rPr>
                <w:color w:val="auto"/>
                <w:cs w:val="0"/>
              </w:rPr>
            </w:pPr>
            <w:r>
              <w:rPr>
                <w:rFonts w:hint="cs"/>
                <w:sz w:val="24"/>
                <w:szCs w:val="24"/>
                <w:cs w:val="0"/>
              </w:rPr>
              <w:t>۶. اضطراب مرگ</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۳۴/۰-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۴۵/۰-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۳۱/۰-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۲۹/۰-</w:t>
            </w:r>
          </w:p>
        </w:tc>
        <w:tc>
          <w:tcPr>
            <w:tcW w:w="663" w:type="pct"/>
            <w:vAlign w:val="center"/>
          </w:tcPr>
          <w:p w:rsidR="008908D0" w:rsidRDefault="002D5E38">
            <w:pPr>
              <w:spacing w:after="0" w:line="240" w:lineRule="auto"/>
              <w:jc w:val="center"/>
              <w:rPr>
                <w:color w:val="auto"/>
                <w:cs w:val="0"/>
              </w:rPr>
            </w:pPr>
            <w:r>
              <w:rPr>
                <w:rFonts w:hint="cs"/>
                <w:sz w:val="24"/>
                <w:szCs w:val="24"/>
                <w:vertAlign w:val="superscript"/>
                <w:cs w:val="0"/>
              </w:rPr>
              <w:t>**</w:t>
            </w:r>
            <w:r>
              <w:rPr>
                <w:rFonts w:hint="cs"/>
                <w:sz w:val="24"/>
                <w:szCs w:val="24"/>
                <w:cs w:val="0"/>
              </w:rPr>
              <w:t>۴۶/۰-</w:t>
            </w:r>
          </w:p>
        </w:tc>
        <w:tc>
          <w:tcPr>
            <w:tcW w:w="410" w:type="pct"/>
            <w:vAlign w:val="center"/>
          </w:tcPr>
          <w:p w:rsidR="008908D0" w:rsidRDefault="002D5E38">
            <w:pPr>
              <w:spacing w:after="0" w:line="240" w:lineRule="auto"/>
              <w:jc w:val="center"/>
              <w:rPr>
                <w:color w:val="auto"/>
                <w:vertAlign w:val="superscript"/>
                <w:cs w:val="0"/>
              </w:rPr>
            </w:pPr>
            <w:r>
              <w:rPr>
                <w:rFonts w:hint="cs"/>
                <w:sz w:val="24"/>
                <w:szCs w:val="24"/>
                <w:cs w:val="0"/>
              </w:rPr>
              <w:t>۱</w:t>
            </w:r>
          </w:p>
        </w:tc>
      </w:tr>
    </w:tbl>
    <w:p w:rsidR="008908D0" w:rsidRDefault="002D5E38">
      <w:pPr>
        <w:spacing w:after="0" w:line="276" w:lineRule="auto"/>
        <w:ind w:firstLine="397"/>
        <w:jc w:val="both"/>
        <w:rPr>
          <w:color w:val="auto"/>
          <w:sz w:val="26"/>
          <w:szCs w:val="26"/>
          <w:cs w:val="0"/>
        </w:rPr>
      </w:pPr>
      <w:r>
        <w:rPr>
          <w:rFonts w:hint="cs"/>
          <w:cs w:val="0"/>
        </w:rPr>
        <w:t xml:space="preserve">** معناداری در سطح ۰۱/۰ (دو‌دامنه)؛ * معناداری در سطح ۰۵/۰ (دو‌دامنه)؛ </w:t>
      </w:r>
      <w:r>
        <w:rPr>
          <w:rFonts w:hint="cs"/>
          <w:rtl w:val="0"/>
          <w:cs w:val="0"/>
        </w:rPr>
        <w:t xml:space="preserve">n = </w:t>
      </w:r>
      <w:r>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فوق، بین اضطراب مرگ با تفکر وجودی انتقادی </w:t>
      </w:r>
      <w:r>
        <w:rPr>
          <w:rFonts w:hint="cs"/>
          <w:rtl w:val="0"/>
          <w:cs w:val="0"/>
        </w:rPr>
        <w:t>(</w:t>
      </w:r>
      <w:r>
        <w:rPr>
          <w:rFonts w:cs="Times New Roman" w:hint="cs"/>
          <w:rtl w:val="0"/>
          <w:cs w:val="0"/>
        </w:rPr>
        <w:t>۳۴</w:t>
      </w:r>
      <w:r>
        <w:rPr>
          <w:rFonts w:hint="cs"/>
          <w:rtl w:val="0"/>
          <w:cs w:val="0"/>
        </w:rPr>
        <w:t>/</w:t>
      </w:r>
      <w:r>
        <w:rPr>
          <w:rFonts w:cs="Times New Roman" w:hint="cs"/>
          <w:rtl w:val="0"/>
          <w:cs w:val="0"/>
        </w:rPr>
        <w:t>۰</w:t>
      </w:r>
      <w:r>
        <w:rPr>
          <w:rFonts w:hint="cs"/>
          <w:rtl w:val="0"/>
          <w:cs w:val="0"/>
        </w:rPr>
        <w:t>-=r)</w:t>
      </w:r>
      <w:r>
        <w:rPr>
          <w:rFonts w:hint="cs"/>
          <w:cs w:val="0"/>
        </w:rPr>
        <w:t xml:space="preserve">، ایجاد معنای شخصی </w:t>
      </w:r>
      <w:r>
        <w:rPr>
          <w:rFonts w:hint="cs"/>
          <w:rtl w:val="0"/>
          <w:cs w:val="0"/>
        </w:rPr>
        <w:t>(</w:t>
      </w:r>
      <w:r>
        <w:rPr>
          <w:rFonts w:cs="Times New Roman" w:hint="cs"/>
          <w:rtl w:val="0"/>
          <w:cs w:val="0"/>
        </w:rPr>
        <w:t>۴۵</w:t>
      </w:r>
      <w:r>
        <w:rPr>
          <w:rFonts w:hint="cs"/>
          <w:rtl w:val="0"/>
          <w:cs w:val="0"/>
        </w:rPr>
        <w:t>/</w:t>
      </w:r>
      <w:r>
        <w:rPr>
          <w:rFonts w:cs="Times New Roman" w:hint="cs"/>
          <w:rtl w:val="0"/>
          <w:cs w:val="0"/>
        </w:rPr>
        <w:t>۰</w:t>
      </w:r>
      <w:r>
        <w:rPr>
          <w:rFonts w:hint="cs"/>
          <w:rtl w:val="0"/>
          <w:cs w:val="0"/>
        </w:rPr>
        <w:t>-=r)</w:t>
      </w:r>
      <w:r>
        <w:rPr>
          <w:rFonts w:hint="cs"/>
          <w:cs w:val="0"/>
        </w:rPr>
        <w:t xml:space="preserve">، آگاهی متعالی </w:t>
      </w:r>
      <w:r>
        <w:rPr>
          <w:rFonts w:hint="cs"/>
          <w:rtl w:val="0"/>
          <w:cs w:val="0"/>
        </w:rPr>
        <w:t>(</w:t>
      </w:r>
      <w:r>
        <w:rPr>
          <w:rFonts w:cs="Times New Roman" w:hint="cs"/>
          <w:rtl w:val="0"/>
          <w:cs w:val="0"/>
        </w:rPr>
        <w:t>۳۱</w:t>
      </w:r>
      <w:r>
        <w:rPr>
          <w:rFonts w:hint="cs"/>
          <w:rtl w:val="0"/>
          <w:cs w:val="0"/>
        </w:rPr>
        <w:t>/</w:t>
      </w:r>
      <w:r>
        <w:rPr>
          <w:rFonts w:cs="Times New Roman" w:hint="cs"/>
          <w:rtl w:val="0"/>
          <w:cs w:val="0"/>
        </w:rPr>
        <w:t>۰</w:t>
      </w:r>
      <w:r>
        <w:rPr>
          <w:rFonts w:hint="cs"/>
          <w:rtl w:val="0"/>
          <w:cs w:val="0"/>
        </w:rPr>
        <w:t>-=r)</w:t>
      </w:r>
      <w:r>
        <w:rPr>
          <w:rFonts w:hint="cs"/>
          <w:cs w:val="0"/>
        </w:rPr>
        <w:t xml:space="preserve">، و گسترش حالت هوشیاری </w:t>
      </w:r>
      <w:r>
        <w:rPr>
          <w:rFonts w:hint="cs"/>
          <w:rtl w:val="0"/>
          <w:cs w:val="0"/>
        </w:rPr>
        <w:t>(</w:t>
      </w:r>
      <w:r>
        <w:rPr>
          <w:rFonts w:cs="Times New Roman" w:hint="cs"/>
          <w:rtl w:val="0"/>
          <w:cs w:val="0"/>
        </w:rPr>
        <w:t>۲۹</w:t>
      </w:r>
      <w:r>
        <w:rPr>
          <w:rFonts w:hint="cs"/>
          <w:rtl w:val="0"/>
          <w:cs w:val="0"/>
        </w:rPr>
        <w:t>/</w:t>
      </w:r>
      <w:r>
        <w:rPr>
          <w:rFonts w:cs="Times New Roman" w:hint="cs"/>
          <w:rtl w:val="0"/>
          <w:cs w:val="0"/>
        </w:rPr>
        <w:t>۰</w:t>
      </w:r>
      <w:r>
        <w:rPr>
          <w:rFonts w:hint="cs"/>
          <w:rtl w:val="0"/>
          <w:cs w:val="0"/>
        </w:rPr>
        <w:t>-=r)</w:t>
      </w:r>
      <w:r>
        <w:rPr>
          <w:rFonts w:hint="cs"/>
          <w:cs w:val="0"/>
        </w:rPr>
        <w:t xml:space="preserve">، رابطه‌ای منفی و معنادار در سطح ۰۱/۰ وجود دارد. بین هوش معنوی و اضطراب مرگ نیز رابطه‌ای منفی و معنادار مشاهده شد </w:t>
      </w:r>
      <w:r>
        <w:rPr>
          <w:rFonts w:hint="cs"/>
          <w:rtl w:val="0"/>
          <w:cs w:val="0"/>
        </w:rPr>
        <w:t>(</w:t>
      </w:r>
      <w:r>
        <w:rPr>
          <w:rFonts w:cs="Times New Roman" w:hint="cs"/>
          <w:rtl w:val="0"/>
          <w:cs w:val="0"/>
        </w:rPr>
        <w:t>۴۶</w:t>
      </w:r>
      <w:r>
        <w:rPr>
          <w:rFonts w:hint="cs"/>
          <w:rtl w:val="0"/>
          <w:cs w:val="0"/>
        </w:rPr>
        <w:t>/</w:t>
      </w:r>
      <w:r>
        <w:rPr>
          <w:rFonts w:cs="Times New Roman" w:hint="cs"/>
          <w:rtl w:val="0"/>
          <w:cs w:val="0"/>
        </w:rPr>
        <w:t>۰</w:t>
      </w:r>
      <w:r>
        <w:rPr>
          <w:rFonts w:hint="cs"/>
          <w:rtl w:val="0"/>
          <w:cs w:val="0"/>
        </w:rPr>
        <w:t>-=r)</w:t>
      </w:r>
      <w:r>
        <w:rPr>
          <w:rFonts w:hint="cs"/>
          <w:cs w:val="0"/>
        </w:rPr>
        <w:t>، این نتایج نشان می‌دهد که با افزایش هوش معنوی و مؤلفه‌های آن، میزان اضطراب مرگ سالمندان کاهش می‌یابد؛ بدین ترتیب فرضیه فرعی اول پژوهش تأیید می‌شود.</w:t>
      </w:r>
    </w:p>
    <w:p w:rsidR="008908D0" w:rsidRPr="00B7369E" w:rsidRDefault="002D5E38" w:rsidP="00B7369E">
      <w:pPr>
        <w:pStyle w:val="Heading3"/>
        <w:pageBreakBefore/>
        <w:rPr>
          <w:cs w:val="0"/>
        </w:rPr>
      </w:pPr>
      <w:bookmarkStart w:id="173" w:name="_Toc239015164"/>
      <w:bookmarkStart w:id="174" w:name="_Toc239432020"/>
      <w:r w:rsidRPr="00B7369E">
        <w:rPr>
          <w:cs w:val="0"/>
        </w:rPr>
        <w:lastRenderedPageBreak/>
        <w:t>۴-۲-۲- بررسی فرضیه فرعی دوم پژوهش: بین اضطراب سلامتی و اضطراب مرگ در سالمندان رابطه وجود دارد.</w:t>
      </w:r>
      <w:bookmarkEnd w:id="173"/>
      <w:bookmarkEnd w:id="174"/>
    </w:p>
    <w:p w:rsidR="008908D0" w:rsidRDefault="002D5E38">
      <w:pPr>
        <w:spacing w:after="0" w:line="276" w:lineRule="auto"/>
        <w:ind w:firstLine="397"/>
        <w:jc w:val="both"/>
        <w:rPr>
          <w:cs w:val="0"/>
        </w:rPr>
      </w:pPr>
      <w:r>
        <w:rPr>
          <w:rFonts w:hint="cs"/>
          <w:cs w:val="0"/>
        </w:rPr>
        <w:t>به منظور تحلیل داده های مربوط به این فرضیه از آزمون ضریب همبستگی پیرسون استفاده گردید که نتایج آن در جدول ۴-۷ ارائه گردیده است.</w:t>
      </w:r>
    </w:p>
    <w:p w:rsidR="008908D0" w:rsidRDefault="002D5E38">
      <w:pPr>
        <w:pStyle w:val="Caption"/>
        <w:keepNext/>
        <w:shd w:val="clear" w:color="auto" w:fill="FFFFFF"/>
        <w:spacing w:line="276" w:lineRule="auto"/>
        <w:rPr>
          <w:cs w:val="0"/>
        </w:rPr>
      </w:pPr>
      <w:bookmarkStart w:id="175" w:name="_Toc239451800"/>
      <w:r>
        <w:rPr>
          <w:cs w:val="0"/>
        </w:rPr>
        <w:t>جدول ۴-</w:t>
      </w:r>
      <w:r>
        <w:fldChar w:fldCharType="begin"/>
      </w:r>
      <w:r>
        <w:rPr>
          <w:cs w:val="0"/>
        </w:rPr>
        <w:instrText xml:space="preserve"> SEQ جدول \* ARABIC </w:instrText>
      </w:r>
      <w:r>
        <w:fldChar w:fldCharType="separate"/>
      </w:r>
      <w:r w:rsidR="00D419F3">
        <w:rPr>
          <w:noProof/>
          <w:cs w:val="0"/>
        </w:rPr>
        <w:t>7</w:t>
      </w:r>
      <w:r>
        <w:fldChar w:fldCharType="end"/>
      </w:r>
      <w:r>
        <w:rPr>
          <w:cs w:val="0"/>
        </w:rPr>
        <w:t>- ضرایب همبستگی پیرسون بین اضطراب سلامتی و اضطراب مرگ سالمندان</w:t>
      </w:r>
      <w:bookmarkEnd w:id="175"/>
    </w:p>
    <w:tbl>
      <w:tblPr>
        <w:tblpPr w:leftFromText="180" w:rightFromText="180" w:vertAnchor="text" w:tblpXSpec="center" w:tblpY="1"/>
        <w:tblOverlap w:val="never"/>
        <w:bidiVisual/>
        <w:tblW w:w="509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973"/>
        <w:gridCol w:w="1810"/>
        <w:gridCol w:w="1809"/>
        <w:gridCol w:w="1809"/>
        <w:gridCol w:w="1810"/>
      </w:tblGrid>
      <w:tr w:rsidR="008908D0" w:rsidTr="001556D9">
        <w:trPr>
          <w:cantSplit/>
          <w:tblHeader/>
        </w:trPr>
        <w:tc>
          <w:tcPr>
            <w:tcW w:w="1972" w:type="dxa"/>
            <w:shd w:val="clear" w:color="auto" w:fill="E2EFD9"/>
            <w:vAlign w:val="center"/>
          </w:tcPr>
          <w:p w:rsidR="008908D0" w:rsidRDefault="002D5E38" w:rsidP="001556D9">
            <w:pPr>
              <w:spacing w:after="0" w:line="240" w:lineRule="auto"/>
              <w:rPr>
                <w:color w:val="auto"/>
                <w:cs w:val="0"/>
              </w:rPr>
            </w:pPr>
            <w:r>
              <w:rPr>
                <w:rFonts w:hint="cs"/>
                <w:b/>
                <w:bCs/>
                <w:sz w:val="24"/>
                <w:szCs w:val="24"/>
                <w:cs w:val="0"/>
              </w:rPr>
              <w:t>متغیر</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۱</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۲</w:t>
            </w:r>
          </w:p>
        </w:tc>
        <w:tc>
          <w:tcPr>
            <w:tcW w:w="1809"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۳</w:t>
            </w:r>
          </w:p>
        </w:tc>
        <w:tc>
          <w:tcPr>
            <w:tcW w:w="1810" w:type="dxa"/>
            <w:shd w:val="clear" w:color="auto" w:fill="E2EFD9"/>
            <w:vAlign w:val="center"/>
          </w:tcPr>
          <w:p w:rsidR="008908D0" w:rsidRDefault="002D5E38" w:rsidP="001556D9">
            <w:pPr>
              <w:spacing w:after="0" w:line="240" w:lineRule="auto"/>
              <w:jc w:val="center"/>
              <w:rPr>
                <w:color w:val="auto"/>
                <w:cs w:val="0"/>
              </w:rPr>
            </w:pPr>
            <w:r>
              <w:rPr>
                <w:rFonts w:hint="cs"/>
                <w:b/>
                <w:bCs/>
                <w:sz w:val="24"/>
                <w:szCs w:val="24"/>
                <w:cs w:val="0"/>
              </w:rPr>
              <w:t>۴</w:t>
            </w: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احتمال ابتلا به بیماری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09" w:type="dxa"/>
            <w:shd w:val="clear" w:color="auto" w:fill="E6EED5"/>
            <w:vAlign w:val="center"/>
          </w:tcPr>
          <w:p w:rsidR="008908D0" w:rsidRDefault="008908D0" w:rsidP="001556D9">
            <w:pPr>
              <w:spacing w:after="0" w:line="240" w:lineRule="auto"/>
              <w:jc w:val="center"/>
              <w:rPr>
                <w:color w:val="auto"/>
                <w:cs w:val="0"/>
              </w:rPr>
            </w:pP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پیامدهای منفی بیماری</w:t>
            </w:r>
          </w:p>
        </w:tc>
        <w:tc>
          <w:tcPr>
            <w:tcW w:w="1810" w:type="dxa"/>
            <w:vAlign w:val="center"/>
          </w:tcPr>
          <w:p w:rsidR="008908D0" w:rsidRDefault="002D5E38" w:rsidP="001556D9">
            <w:pPr>
              <w:spacing w:after="0" w:line="240" w:lineRule="auto"/>
              <w:jc w:val="center"/>
              <w:rPr>
                <w:color w:val="auto"/>
                <w:vertAlign w:val="superscript"/>
                <w:cs w:val="0"/>
              </w:rPr>
            </w:pPr>
            <w:r>
              <w:rPr>
                <w:rFonts w:hint="cs"/>
                <w:sz w:val="24"/>
                <w:szCs w:val="24"/>
                <w:vertAlign w:val="superscript"/>
                <w:cs w:val="0"/>
              </w:rPr>
              <w:t>**</w:t>
            </w:r>
            <w:r>
              <w:rPr>
                <w:rFonts w:hint="cs"/>
                <w:sz w:val="24"/>
                <w:szCs w:val="24"/>
                <w:cs w:val="0"/>
              </w:rPr>
              <w:t>۶۲/۰</w:t>
            </w:r>
          </w:p>
        </w:tc>
        <w:tc>
          <w:tcPr>
            <w:tcW w:w="1809" w:type="dxa"/>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09" w:type="dxa"/>
            <w:vAlign w:val="center"/>
          </w:tcPr>
          <w:p w:rsidR="008908D0" w:rsidRDefault="008908D0" w:rsidP="001556D9">
            <w:pPr>
              <w:spacing w:after="0" w:line="240" w:lineRule="auto"/>
              <w:jc w:val="center"/>
              <w:rPr>
                <w:color w:val="auto"/>
                <w:cs w:val="0"/>
              </w:rPr>
            </w:pPr>
          </w:p>
        </w:tc>
        <w:tc>
          <w:tcPr>
            <w:tcW w:w="1810" w:type="dxa"/>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shd w:val="clear" w:color="auto" w:fill="E6EED5"/>
            <w:vAlign w:val="center"/>
          </w:tcPr>
          <w:p w:rsidR="008908D0" w:rsidRDefault="002D5E38" w:rsidP="001556D9">
            <w:pPr>
              <w:spacing w:after="0" w:line="240" w:lineRule="auto"/>
              <w:rPr>
                <w:color w:val="auto"/>
                <w:cs w:val="0"/>
              </w:rPr>
            </w:pPr>
            <w:r>
              <w:rPr>
                <w:rFonts w:hint="cs"/>
                <w:sz w:val="24"/>
                <w:szCs w:val="24"/>
                <w:cs w:val="0"/>
              </w:rPr>
              <w:t>اضطراب سلامتی</w:t>
            </w:r>
          </w:p>
        </w:tc>
        <w:tc>
          <w:tcPr>
            <w:tcW w:w="1810"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۸۸/۰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۹۱/۰</w:t>
            </w:r>
          </w:p>
        </w:tc>
        <w:tc>
          <w:tcPr>
            <w:tcW w:w="1809" w:type="dxa"/>
            <w:shd w:val="clear" w:color="auto" w:fill="E6EED5"/>
            <w:vAlign w:val="center"/>
          </w:tcPr>
          <w:p w:rsidR="008908D0" w:rsidRDefault="002D5E38" w:rsidP="001556D9">
            <w:pPr>
              <w:spacing w:after="0" w:line="240" w:lineRule="auto"/>
              <w:jc w:val="center"/>
              <w:rPr>
                <w:color w:val="auto"/>
                <w:cs w:val="0"/>
              </w:rPr>
            </w:pPr>
            <w:r>
              <w:rPr>
                <w:rFonts w:hint="cs"/>
                <w:sz w:val="24"/>
                <w:szCs w:val="24"/>
                <w:cs w:val="0"/>
              </w:rPr>
              <w:t>۱</w:t>
            </w:r>
          </w:p>
        </w:tc>
        <w:tc>
          <w:tcPr>
            <w:tcW w:w="1810" w:type="dxa"/>
            <w:shd w:val="clear" w:color="auto" w:fill="E6EED5"/>
            <w:vAlign w:val="center"/>
          </w:tcPr>
          <w:p w:rsidR="008908D0" w:rsidRDefault="008908D0" w:rsidP="001556D9">
            <w:pPr>
              <w:spacing w:after="0" w:line="240" w:lineRule="auto"/>
              <w:jc w:val="center"/>
              <w:rPr>
                <w:color w:val="auto"/>
                <w:cs w:val="0"/>
              </w:rPr>
            </w:pPr>
          </w:p>
        </w:tc>
      </w:tr>
      <w:tr w:rsidR="008908D0" w:rsidTr="001556D9">
        <w:trPr>
          <w:cantSplit/>
        </w:trPr>
        <w:tc>
          <w:tcPr>
            <w:tcW w:w="1972" w:type="dxa"/>
            <w:vAlign w:val="center"/>
          </w:tcPr>
          <w:p w:rsidR="008908D0" w:rsidRDefault="002D5E38" w:rsidP="001556D9">
            <w:pPr>
              <w:spacing w:after="0" w:line="240" w:lineRule="auto"/>
              <w:rPr>
                <w:color w:val="auto"/>
                <w:cs w:val="0"/>
              </w:rPr>
            </w:pPr>
            <w:r>
              <w:rPr>
                <w:rFonts w:hint="cs"/>
                <w:sz w:val="24"/>
                <w:szCs w:val="24"/>
                <w:cs w:val="0"/>
              </w:rPr>
              <w:t>اضطراب مرگ</w:t>
            </w:r>
          </w:p>
        </w:tc>
        <w:tc>
          <w:tcPr>
            <w:tcW w:w="1810"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۴۹/۰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۵۵/۰</w:t>
            </w:r>
          </w:p>
        </w:tc>
        <w:tc>
          <w:tcPr>
            <w:tcW w:w="1809" w:type="dxa"/>
            <w:vAlign w:val="center"/>
          </w:tcPr>
          <w:p w:rsidR="008908D0" w:rsidRDefault="002D5E38" w:rsidP="001556D9">
            <w:pPr>
              <w:spacing w:after="0" w:line="240" w:lineRule="auto"/>
              <w:jc w:val="center"/>
              <w:rPr>
                <w:color w:val="auto"/>
                <w:cs w:val="0"/>
              </w:rPr>
            </w:pPr>
            <w:r>
              <w:rPr>
                <w:rFonts w:hint="cs"/>
                <w:sz w:val="24"/>
                <w:szCs w:val="24"/>
                <w:vertAlign w:val="superscript"/>
                <w:cs w:val="0"/>
              </w:rPr>
              <w:t>**</w:t>
            </w:r>
            <w:r>
              <w:rPr>
                <w:rFonts w:hint="cs"/>
                <w:sz w:val="24"/>
                <w:szCs w:val="24"/>
                <w:cs w:val="0"/>
              </w:rPr>
              <w:t>۵۸/۰</w:t>
            </w:r>
          </w:p>
        </w:tc>
        <w:tc>
          <w:tcPr>
            <w:tcW w:w="1810" w:type="dxa"/>
            <w:vAlign w:val="center"/>
          </w:tcPr>
          <w:p w:rsidR="008908D0" w:rsidRDefault="002D5E38" w:rsidP="001556D9">
            <w:pPr>
              <w:spacing w:after="0" w:line="240" w:lineRule="auto"/>
              <w:jc w:val="center"/>
              <w:rPr>
                <w:color w:val="auto"/>
                <w:cs w:val="0"/>
              </w:rPr>
            </w:pPr>
            <w:r>
              <w:rPr>
                <w:rFonts w:hint="cs"/>
                <w:sz w:val="24"/>
                <w:szCs w:val="24"/>
                <w:cs w:val="0"/>
              </w:rPr>
              <w:t>۱</w:t>
            </w:r>
          </w:p>
        </w:tc>
      </w:tr>
    </w:tbl>
    <w:p w:rsidR="008908D0" w:rsidRDefault="001556D9">
      <w:pPr>
        <w:spacing w:after="0" w:line="276" w:lineRule="auto"/>
        <w:ind w:firstLine="397"/>
        <w:jc w:val="both"/>
        <w:rPr>
          <w:color w:val="auto"/>
          <w:sz w:val="26"/>
          <w:szCs w:val="26"/>
          <w:cs w:val="0"/>
        </w:rPr>
      </w:pPr>
      <w:r>
        <w:rPr>
          <w:cs w:val="0"/>
        </w:rPr>
        <w:br w:type="textWrapping" w:clear="all"/>
      </w:r>
      <w:r w:rsidR="002D5E38">
        <w:rPr>
          <w:rFonts w:hint="cs"/>
          <w:cs w:val="0"/>
        </w:rPr>
        <w:t xml:space="preserve">** معناداری در سطح ۰۱/۰ (دو‌دامنه)؛ * معناداری در سطح ۰۵/۰ (دو‌دامنه)؛ </w:t>
      </w:r>
      <w:r w:rsidR="002D5E38">
        <w:rPr>
          <w:rFonts w:hint="cs"/>
          <w:rtl w:val="0"/>
          <w:cs w:val="0"/>
        </w:rPr>
        <w:t xml:space="preserve">n = </w:t>
      </w:r>
      <w:r w:rsidR="002D5E38">
        <w:rPr>
          <w:rFonts w:hint="cs"/>
          <w:cs w:val="0"/>
        </w:rPr>
        <w:t>۸۰</w:t>
      </w:r>
    </w:p>
    <w:p w:rsidR="008908D0" w:rsidRDefault="002D5E38">
      <w:pPr>
        <w:spacing w:after="0" w:line="276" w:lineRule="auto"/>
        <w:ind w:firstLine="397"/>
        <w:jc w:val="both"/>
        <w:rPr>
          <w:color w:val="auto"/>
          <w:sz w:val="26"/>
          <w:szCs w:val="26"/>
          <w:cs w:val="0"/>
        </w:rPr>
      </w:pPr>
      <w:r>
        <w:rPr>
          <w:rFonts w:hint="cs"/>
          <w:cs w:val="0"/>
        </w:rPr>
        <w:t xml:space="preserve">بر اساس نتایج جدول ۴-۷ بین اضطراب مرگ سالمندان با احتمال ابتلا به بیماری </w:t>
      </w:r>
      <w:r>
        <w:rPr>
          <w:rFonts w:hint="cs"/>
          <w:rtl w:val="0"/>
          <w:cs w:val="0"/>
        </w:rPr>
        <w:t>(</w:t>
      </w:r>
      <w:r>
        <w:rPr>
          <w:rFonts w:cs="Times New Roman" w:hint="cs"/>
          <w:rtl w:val="0"/>
          <w:cs w:val="0"/>
        </w:rPr>
        <w:t>۴۹</w:t>
      </w:r>
      <w:r>
        <w:rPr>
          <w:rFonts w:hint="cs"/>
          <w:rtl w:val="0"/>
          <w:cs w:val="0"/>
        </w:rPr>
        <w:t>/</w:t>
      </w:r>
      <w:r>
        <w:rPr>
          <w:rFonts w:cs="Times New Roman" w:hint="cs"/>
          <w:rtl w:val="0"/>
          <w:cs w:val="0"/>
        </w:rPr>
        <w:t>۰</w:t>
      </w:r>
      <w:r>
        <w:rPr>
          <w:rFonts w:hint="cs"/>
          <w:rtl w:val="0"/>
          <w:cs w:val="0"/>
        </w:rPr>
        <w:t>=r)</w:t>
      </w:r>
      <w:r>
        <w:rPr>
          <w:rFonts w:hint="cs"/>
          <w:cs w:val="0"/>
        </w:rPr>
        <w:t xml:space="preserve">، پیامدهای منفی بیماری </w:t>
      </w:r>
      <w:r>
        <w:rPr>
          <w:rFonts w:hint="cs"/>
          <w:rtl w:val="0"/>
          <w:cs w:val="0"/>
        </w:rPr>
        <w:t>(</w:t>
      </w:r>
      <w:r>
        <w:rPr>
          <w:rFonts w:cs="Times New Roman" w:hint="cs"/>
          <w:rtl w:val="0"/>
          <w:cs w:val="0"/>
        </w:rPr>
        <w:t>۵۵</w:t>
      </w:r>
      <w:r>
        <w:rPr>
          <w:rFonts w:hint="cs"/>
          <w:rtl w:val="0"/>
          <w:cs w:val="0"/>
        </w:rPr>
        <w:t>/</w:t>
      </w:r>
      <w:r>
        <w:rPr>
          <w:rFonts w:cs="Times New Roman" w:hint="cs"/>
          <w:rtl w:val="0"/>
          <w:cs w:val="0"/>
        </w:rPr>
        <w:t>۰</w:t>
      </w:r>
      <w:r>
        <w:rPr>
          <w:rFonts w:hint="cs"/>
          <w:rtl w:val="0"/>
          <w:cs w:val="0"/>
        </w:rPr>
        <w:t>=r)</w:t>
      </w:r>
      <w:r>
        <w:rPr>
          <w:rFonts w:hint="cs"/>
          <w:cs w:val="0"/>
        </w:rPr>
        <w:t xml:space="preserve"> و اضطراب سلامتی کل </w:t>
      </w:r>
      <w:r>
        <w:rPr>
          <w:rFonts w:hint="cs"/>
          <w:rtl w:val="0"/>
          <w:cs w:val="0"/>
        </w:rPr>
        <w:t>(</w:t>
      </w:r>
      <w:r>
        <w:rPr>
          <w:rFonts w:cs="Times New Roman" w:hint="cs"/>
          <w:rtl w:val="0"/>
          <w:cs w:val="0"/>
        </w:rPr>
        <w:t>۵۸</w:t>
      </w:r>
      <w:r>
        <w:rPr>
          <w:rFonts w:hint="cs"/>
          <w:rtl w:val="0"/>
          <w:cs w:val="0"/>
        </w:rPr>
        <w:t>/</w:t>
      </w:r>
      <w:r>
        <w:rPr>
          <w:rFonts w:cs="Times New Roman" w:hint="cs"/>
          <w:rtl w:val="0"/>
          <w:cs w:val="0"/>
        </w:rPr>
        <w:t>۰</w:t>
      </w:r>
      <w:r>
        <w:rPr>
          <w:rFonts w:hint="cs"/>
          <w:rtl w:val="0"/>
          <w:cs w:val="0"/>
        </w:rPr>
        <w:t>=r)</w:t>
      </w:r>
      <w:r>
        <w:rPr>
          <w:rFonts w:hint="cs"/>
          <w:cs w:val="0"/>
        </w:rPr>
        <w:t xml:space="preserve"> رابطه‌ای مثبت و معنادار در سطح ۰۱/۰ وجود دارد. همبستگی بالایی بین دو بعد اضطراب سلامت و نمره کل آن مشاهده شد. این یافته‌ها از آن حکایت دارد که با افزایش اضطراب سلامت و ابعاد آن، میزان اضطراب مرگ در سالمندان نیز افزایش می‌یابد؛ فرضیه فرعی دوم پژوهش تأیید می‌شود.</w:t>
      </w:r>
    </w:p>
    <w:p w:rsidR="008908D0" w:rsidRPr="00B7369E" w:rsidRDefault="002D5E38" w:rsidP="00B7369E">
      <w:pPr>
        <w:pStyle w:val="Heading3"/>
        <w:rPr>
          <w:cs w:val="0"/>
        </w:rPr>
      </w:pPr>
      <w:bookmarkStart w:id="176" w:name="_Toc239015165"/>
      <w:bookmarkStart w:id="177" w:name="_Toc239432021"/>
      <w:r w:rsidRPr="00B7369E">
        <w:rPr>
          <w:cs w:val="0"/>
        </w:rPr>
        <w:t>۴-۲-۳- بررسی فرضیه اصلی پژوهش: بین هوش معنوی و اضطراب سلامتی با اضطراب مرگ در سالمندان رابطه وجود دارد.</w:t>
      </w:r>
      <w:bookmarkEnd w:id="176"/>
      <w:bookmarkEnd w:id="177"/>
    </w:p>
    <w:p w:rsidR="008908D0" w:rsidRDefault="002D5E38">
      <w:pPr>
        <w:spacing w:after="0" w:line="276" w:lineRule="auto"/>
        <w:ind w:firstLine="397"/>
        <w:jc w:val="both"/>
        <w:rPr>
          <w:cs w:val="0"/>
        </w:rPr>
      </w:pPr>
      <w:r>
        <w:rPr>
          <w:rFonts w:hint="cs"/>
          <w:cs w:val="0"/>
        </w:rPr>
        <w:t xml:space="preserve">برای تعیین سهم متغیرهای اضطراب سلامتی و هوش معنوی (و نیز برخی از زیرمولفه‌های هوش معنوی) در پیش‌بینی اضطراب مرگ سالمندان، از روش آماری رگرسیون چندگانه به شیوه گام‌به‌گام استفاده شد. پیش از اجرای تحلیل رگرسیون، فروض اساسی رگرسیون بررسی گردید. برای سنجش نرمال بودن توزیع متغیرها از آزمون کولموگروف–اسمیرنف استفاده شد که نتایج نشان دادند مقادیر همه متغیرها در سطح معناداری مورد نظر معنادار نیستند، فرض نرمال بودن توزیع داده‌ها برقرار است. برای بررسی استقلال خطاها (تفاوت بین مقادیر واقعی و مقادیر از پیش تعیین شده توسط معادله رگرسیون) از یکدیگر به عنوان پیش فرض رگرسیون از آزمون دوربین واتسون بررسی گردید و مقدار آن برابر با ۰۸/۲ به دست آمد که مطلوب است، چرا که این </w:t>
      </w:r>
      <w:r>
        <w:rPr>
          <w:rFonts w:hint="cs"/>
          <w:cs w:val="0"/>
        </w:rPr>
        <w:lastRenderedPageBreak/>
        <w:t>آماره چنانچه بین ۵/۱ تا ۵/۲ قرار بگیرد، عدم همبستگی بین خطاها پذیرفته می شود. لذا شرایط برای اجرای تحلیل رگرسیون گام به گام مهیا میباشد، بدین منظور هوش معنوی و اضطراب سلامتی به عنوان متغیرهای پیش‌بین به صورت مجزا وارد معادله رگرسیون شدند که نتایج تحلیل رگرسیون در جدول ۴-۸ گزارش شده است. برای بررسی هم‌خطی چندگانه، شاخص عامل تورم واریانس</w:t>
      </w:r>
      <w:r>
        <w:rPr>
          <w:rFonts w:hint="cs"/>
          <w:rtl w:val="0"/>
          <w:cs w:val="0"/>
        </w:rPr>
        <w:t xml:space="preserve"> (VIF) </w:t>
      </w:r>
      <w:r>
        <w:rPr>
          <w:rFonts w:hint="cs"/>
          <w:cs w:val="0"/>
        </w:rPr>
        <w:t xml:space="preserve">و تحمل محاسبه شد که مقادیر </w:t>
      </w:r>
      <w:r>
        <w:rPr>
          <w:rFonts w:hint="cs"/>
          <w:rtl w:val="0"/>
          <w:cs w:val="0"/>
        </w:rPr>
        <w:t xml:space="preserve">VIF </w:t>
      </w:r>
      <w:r>
        <w:rPr>
          <w:rFonts w:hint="cs"/>
          <w:cs w:val="0"/>
        </w:rPr>
        <w:t>همه متغیرهای پیش‌بین کمتر از ۱۰ و مقادیر تحمل بالاتر از ۱/۰ بود و لذا مشکل هم‌خطی چندگانه وجود نداشت.</w:t>
      </w:r>
    </w:p>
    <w:p w:rsidR="008908D0" w:rsidRDefault="002D5E38">
      <w:pPr>
        <w:pStyle w:val="Caption"/>
        <w:keepNext/>
        <w:shd w:val="clear" w:color="auto" w:fill="FFFFFF"/>
        <w:spacing w:line="276" w:lineRule="auto"/>
        <w:rPr>
          <w:cs w:val="0"/>
        </w:rPr>
      </w:pPr>
      <w:bookmarkStart w:id="178" w:name="_Toc239451801"/>
      <w:r>
        <w:rPr>
          <w:cs w:val="0"/>
        </w:rPr>
        <w:t>جدول ۴-</w:t>
      </w:r>
      <w:r>
        <w:fldChar w:fldCharType="begin"/>
      </w:r>
      <w:r>
        <w:rPr>
          <w:cs w:val="0"/>
        </w:rPr>
        <w:instrText xml:space="preserve"> SEQ جدول \* ARABIC </w:instrText>
      </w:r>
      <w:r>
        <w:fldChar w:fldCharType="separate"/>
      </w:r>
      <w:r w:rsidR="00D419F3">
        <w:rPr>
          <w:noProof/>
          <w:cs w:val="0"/>
        </w:rPr>
        <w:t>8</w:t>
      </w:r>
      <w:r>
        <w:fldChar w:fldCharType="end"/>
      </w:r>
      <w:r>
        <w:rPr>
          <w:cs w:val="0"/>
        </w:rPr>
        <w:t>- خلاصه مدل رگرسیون و مشخصه های رگرسیون اضطراب مرگ بر متغیرهای پیش بین</w:t>
      </w:r>
      <w:bookmarkEnd w:id="178"/>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514"/>
        <w:gridCol w:w="1332"/>
        <w:gridCol w:w="1477"/>
        <w:gridCol w:w="831"/>
        <w:gridCol w:w="1293"/>
        <w:gridCol w:w="1016"/>
        <w:gridCol w:w="831"/>
        <w:gridCol w:w="923"/>
        <w:gridCol w:w="831"/>
      </w:tblGrid>
      <w:tr w:rsidR="008908D0">
        <w:trPr>
          <w:cantSplit/>
          <w:tblHeader/>
          <w:jc w:val="center"/>
        </w:trPr>
        <w:tc>
          <w:tcPr>
            <w:tcW w:w="502" w:type="dxa"/>
            <w:shd w:val="clear" w:color="auto" w:fill="E2EFD9"/>
            <w:vAlign w:val="center"/>
          </w:tcPr>
          <w:p w:rsidR="008908D0" w:rsidRDefault="002D5E38">
            <w:pPr>
              <w:spacing w:after="0" w:line="240" w:lineRule="auto"/>
              <w:rPr>
                <w:color w:val="auto"/>
                <w:cs w:val="0"/>
              </w:rPr>
            </w:pPr>
            <w:r>
              <w:rPr>
                <w:rFonts w:hint="cs"/>
                <w:b/>
                <w:bCs/>
                <w:sz w:val="24"/>
                <w:szCs w:val="24"/>
                <w:cs w:val="0"/>
              </w:rPr>
              <w:t>گام</w:t>
            </w:r>
          </w:p>
        </w:tc>
        <w:tc>
          <w:tcPr>
            <w:tcW w:w="1298" w:type="dxa"/>
            <w:shd w:val="clear" w:color="auto" w:fill="E2EFD9"/>
            <w:vAlign w:val="center"/>
          </w:tcPr>
          <w:p w:rsidR="008908D0" w:rsidRDefault="002D5E38">
            <w:pPr>
              <w:spacing w:after="0" w:line="240" w:lineRule="auto"/>
              <w:rPr>
                <w:color w:val="auto"/>
                <w:cs w:val="0"/>
              </w:rPr>
            </w:pPr>
            <w:r>
              <w:rPr>
                <w:rFonts w:hint="cs"/>
                <w:b/>
                <w:bCs/>
                <w:sz w:val="24"/>
                <w:szCs w:val="24"/>
                <w:cs w:val="0"/>
              </w:rPr>
              <w:t>مدل</w:t>
            </w:r>
          </w:p>
        </w:tc>
        <w:tc>
          <w:tcPr>
            <w:tcW w:w="144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SS</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df</w:t>
            </w:r>
          </w:p>
        </w:tc>
        <w:tc>
          <w:tcPr>
            <w:tcW w:w="126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MS</w:t>
            </w:r>
          </w:p>
        </w:tc>
        <w:tc>
          <w:tcPr>
            <w:tcW w:w="99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F</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p</w:t>
            </w:r>
          </w:p>
        </w:tc>
        <w:tc>
          <w:tcPr>
            <w:tcW w:w="90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w:t>
            </w:r>
          </w:p>
        </w:tc>
        <w:tc>
          <w:tcPr>
            <w:tcW w:w="810" w:type="dxa"/>
            <w:shd w:val="clear" w:color="auto" w:fill="E2EFD9"/>
            <w:vAlign w:val="center"/>
          </w:tcPr>
          <w:p w:rsidR="008908D0" w:rsidRDefault="002D5E38">
            <w:pPr>
              <w:bidi w:val="0"/>
              <w:spacing w:after="0" w:line="240" w:lineRule="auto"/>
              <w:jc w:val="center"/>
              <w:rPr>
                <w:color w:val="auto"/>
                <w:cs w:val="0"/>
              </w:rPr>
            </w:pPr>
            <w:r>
              <w:rPr>
                <w:rFonts w:cs="Times New Roman"/>
                <w:b/>
                <w:bCs/>
                <w:sz w:val="24"/>
                <w:szCs w:val="24"/>
                <w:rtl w:val="0"/>
                <w:cs w:val="0"/>
              </w:rPr>
              <w:t>R2</w:t>
            </w: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۱</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1</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63/3065</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18/40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58/0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94/5950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78</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29/76</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۲</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46/4057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2</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73/2028</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50/31</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67/0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45/0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11/4959</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77</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40/64</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۳</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28/4508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3</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76/1502</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33/25</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71/0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50/0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29/4508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76</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32/59</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r w:rsidR="008908D0">
        <w:trPr>
          <w:cantSplit/>
          <w:jc w:val="center"/>
        </w:trPr>
        <w:tc>
          <w:tcPr>
            <w:tcW w:w="502" w:type="dxa"/>
            <w:vAlign w:val="center"/>
          </w:tcPr>
          <w:p w:rsidR="008908D0" w:rsidRDefault="002D5E38">
            <w:pPr>
              <w:spacing w:after="0" w:line="240" w:lineRule="auto"/>
              <w:jc w:val="center"/>
              <w:rPr>
                <w:color w:val="auto"/>
                <w:cs w:val="0"/>
              </w:rPr>
            </w:pPr>
            <w:r>
              <w:rPr>
                <w:rFonts w:hint="cs"/>
                <w:sz w:val="24"/>
                <w:szCs w:val="24"/>
                <w:cs w:val="0"/>
              </w:rPr>
              <w:t>۴</w:t>
            </w:r>
          </w:p>
        </w:tc>
        <w:tc>
          <w:tcPr>
            <w:tcW w:w="1298" w:type="dxa"/>
            <w:vAlign w:val="center"/>
          </w:tcPr>
          <w:p w:rsidR="008908D0" w:rsidRDefault="002D5E38">
            <w:pPr>
              <w:spacing w:after="0" w:line="240" w:lineRule="auto"/>
              <w:rPr>
                <w:color w:val="auto"/>
                <w:cs w:val="0"/>
              </w:rPr>
            </w:pPr>
            <w:r>
              <w:rPr>
                <w:rFonts w:hint="cs"/>
                <w:sz w:val="24"/>
                <w:szCs w:val="24"/>
                <w:cs w:val="0"/>
              </w:rPr>
              <w:t>رگرسیون</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95/4868</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4</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24/1217</w:t>
            </w:r>
          </w:p>
        </w:tc>
        <w:tc>
          <w:tcPr>
            <w:tcW w:w="990" w:type="dxa"/>
            <w:vAlign w:val="center"/>
          </w:tcPr>
          <w:p w:rsidR="008908D0" w:rsidRDefault="002D5E38">
            <w:pPr>
              <w:bidi w:val="0"/>
              <w:spacing w:after="0" w:line="240" w:lineRule="auto"/>
              <w:jc w:val="center"/>
              <w:rPr>
                <w:color w:val="auto"/>
                <w:cs w:val="0"/>
              </w:rPr>
            </w:pPr>
            <w:r>
              <w:rPr>
                <w:sz w:val="24"/>
                <w:szCs w:val="24"/>
                <w:rtl w:val="0"/>
                <w:cs w:val="0"/>
              </w:rPr>
              <w:t>01/22</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001/0</w:t>
            </w:r>
          </w:p>
        </w:tc>
        <w:tc>
          <w:tcPr>
            <w:tcW w:w="900" w:type="dxa"/>
            <w:vAlign w:val="center"/>
          </w:tcPr>
          <w:p w:rsidR="008908D0" w:rsidRDefault="002D5E38">
            <w:pPr>
              <w:bidi w:val="0"/>
              <w:spacing w:after="0" w:line="240" w:lineRule="auto"/>
              <w:jc w:val="center"/>
              <w:rPr>
                <w:color w:val="auto"/>
                <w:cs w:val="0"/>
              </w:rPr>
            </w:pPr>
            <w:r>
              <w:rPr>
                <w:sz w:val="24"/>
                <w:szCs w:val="24"/>
                <w:rtl w:val="0"/>
                <w:cs w:val="0"/>
              </w:rPr>
              <w:t>73/0</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54/0</w:t>
            </w:r>
          </w:p>
        </w:tc>
      </w:tr>
      <w:tr w:rsidR="008908D0">
        <w:trPr>
          <w:cantSplit/>
          <w:jc w:val="center"/>
        </w:trPr>
        <w:tc>
          <w:tcPr>
            <w:tcW w:w="502" w:type="dxa"/>
            <w:vAlign w:val="center"/>
          </w:tcPr>
          <w:p w:rsidR="008908D0" w:rsidRDefault="008908D0">
            <w:pPr>
              <w:spacing w:after="0" w:line="240" w:lineRule="auto"/>
              <w:jc w:val="center"/>
              <w:rPr>
                <w:color w:val="auto"/>
                <w:cs w:val="0"/>
              </w:rPr>
            </w:pPr>
          </w:p>
        </w:tc>
        <w:tc>
          <w:tcPr>
            <w:tcW w:w="1298" w:type="dxa"/>
            <w:vAlign w:val="center"/>
          </w:tcPr>
          <w:p w:rsidR="008908D0" w:rsidRDefault="002D5E38">
            <w:pPr>
              <w:spacing w:after="0" w:line="240" w:lineRule="auto"/>
              <w:rPr>
                <w:color w:val="auto"/>
                <w:cs w:val="0"/>
              </w:rPr>
            </w:pPr>
            <w:r>
              <w:rPr>
                <w:rFonts w:hint="cs"/>
                <w:sz w:val="24"/>
                <w:szCs w:val="24"/>
                <w:cs w:val="0"/>
              </w:rPr>
              <w:t>باقیمانده</w:t>
            </w:r>
          </w:p>
        </w:tc>
        <w:tc>
          <w:tcPr>
            <w:tcW w:w="1440" w:type="dxa"/>
            <w:vAlign w:val="center"/>
          </w:tcPr>
          <w:p w:rsidR="008908D0" w:rsidRDefault="002D5E38">
            <w:pPr>
              <w:bidi w:val="0"/>
              <w:spacing w:after="0" w:line="240" w:lineRule="auto"/>
              <w:jc w:val="center"/>
              <w:rPr>
                <w:color w:val="auto"/>
                <w:cs w:val="0"/>
              </w:rPr>
            </w:pPr>
            <w:r>
              <w:rPr>
                <w:sz w:val="24"/>
                <w:szCs w:val="24"/>
                <w:rtl w:val="0"/>
                <w:cs w:val="0"/>
              </w:rPr>
              <w:t>62/4147</w:t>
            </w:r>
          </w:p>
        </w:tc>
        <w:tc>
          <w:tcPr>
            <w:tcW w:w="810" w:type="dxa"/>
            <w:vAlign w:val="center"/>
          </w:tcPr>
          <w:p w:rsidR="008908D0" w:rsidRDefault="002D5E38">
            <w:pPr>
              <w:bidi w:val="0"/>
              <w:spacing w:after="0" w:line="240" w:lineRule="auto"/>
              <w:jc w:val="center"/>
              <w:rPr>
                <w:color w:val="auto"/>
                <w:cs w:val="0"/>
              </w:rPr>
            </w:pPr>
            <w:r>
              <w:rPr>
                <w:sz w:val="24"/>
                <w:szCs w:val="24"/>
                <w:rtl w:val="0"/>
                <w:cs w:val="0"/>
              </w:rPr>
              <w:t>75</w:t>
            </w:r>
          </w:p>
        </w:tc>
        <w:tc>
          <w:tcPr>
            <w:tcW w:w="1260" w:type="dxa"/>
            <w:vAlign w:val="center"/>
          </w:tcPr>
          <w:p w:rsidR="008908D0" w:rsidRDefault="002D5E38">
            <w:pPr>
              <w:bidi w:val="0"/>
              <w:spacing w:after="0" w:line="240" w:lineRule="auto"/>
              <w:jc w:val="center"/>
              <w:rPr>
                <w:color w:val="auto"/>
                <w:cs w:val="0"/>
              </w:rPr>
            </w:pPr>
            <w:r>
              <w:rPr>
                <w:sz w:val="24"/>
                <w:szCs w:val="24"/>
                <w:rtl w:val="0"/>
                <w:cs w:val="0"/>
              </w:rPr>
              <w:t>30/55</w:t>
            </w:r>
          </w:p>
        </w:tc>
        <w:tc>
          <w:tcPr>
            <w:tcW w:w="99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c>
          <w:tcPr>
            <w:tcW w:w="900" w:type="dxa"/>
            <w:vAlign w:val="center"/>
          </w:tcPr>
          <w:p w:rsidR="008908D0" w:rsidRDefault="008908D0">
            <w:pPr>
              <w:bidi w:val="0"/>
              <w:spacing w:after="0" w:line="240" w:lineRule="auto"/>
              <w:jc w:val="center"/>
              <w:rPr>
                <w:color w:val="auto"/>
                <w:cs w:val="0"/>
              </w:rPr>
            </w:pPr>
          </w:p>
        </w:tc>
        <w:tc>
          <w:tcPr>
            <w:tcW w:w="810" w:type="dxa"/>
            <w:vAlign w:val="center"/>
          </w:tcPr>
          <w:p w:rsidR="008908D0" w:rsidRDefault="008908D0">
            <w:pPr>
              <w:bidi w:val="0"/>
              <w:spacing w:after="0" w:line="240" w:lineRule="auto"/>
              <w:jc w:val="center"/>
              <w:rPr>
                <w:color w:val="auto"/>
                <w:cs w:val="0"/>
              </w:rPr>
            </w:pPr>
          </w:p>
        </w:tc>
      </w:tr>
    </w:tbl>
    <w:p w:rsidR="008908D0" w:rsidRDefault="002D5E38">
      <w:pPr>
        <w:autoSpaceDE/>
        <w:autoSpaceDN/>
        <w:adjustRightInd/>
        <w:spacing w:after="0" w:line="276" w:lineRule="auto"/>
        <w:ind w:firstLine="397"/>
        <w:jc w:val="both"/>
        <w:rPr>
          <w:color w:val="auto"/>
          <w:sz w:val="26"/>
          <w:szCs w:val="26"/>
          <w:cs w:val="0"/>
        </w:rPr>
      </w:pPr>
      <w:r>
        <w:rPr>
          <w:rFonts w:hint="cs"/>
          <w:cs w:val="0"/>
        </w:rPr>
        <w:t>گام ۱. متغیر پیش‌بین: اضطراب سلامتی</w:t>
      </w:r>
    </w:p>
    <w:p w:rsidR="008908D0" w:rsidRDefault="002D5E38">
      <w:pPr>
        <w:autoSpaceDE/>
        <w:autoSpaceDN/>
        <w:adjustRightInd/>
        <w:spacing w:after="0" w:line="276" w:lineRule="auto"/>
        <w:ind w:firstLine="397"/>
        <w:jc w:val="both"/>
        <w:rPr>
          <w:color w:val="auto"/>
          <w:cs w:val="0"/>
        </w:rPr>
      </w:pPr>
      <w:r>
        <w:rPr>
          <w:rFonts w:hint="cs"/>
          <w:cs w:val="0"/>
        </w:rPr>
        <w:t>گام ۲. متغیرهای پیش‌بین: اضطراب سلامتی، هوش معنوی</w:t>
      </w:r>
    </w:p>
    <w:p w:rsidR="008908D0" w:rsidRDefault="002D5E38">
      <w:pPr>
        <w:autoSpaceDE/>
        <w:autoSpaceDN/>
        <w:adjustRightInd/>
        <w:spacing w:after="0" w:line="276" w:lineRule="auto"/>
        <w:ind w:firstLine="397"/>
        <w:jc w:val="both"/>
        <w:rPr>
          <w:cs w:val="0"/>
        </w:rPr>
      </w:pPr>
      <w:r>
        <w:rPr>
          <w:rFonts w:hint="cs"/>
          <w:cs w:val="0"/>
        </w:rPr>
        <w:t>گام ۳. متغیرهای پیش‌بین: اضطراب سلامتی، هوش معنوی، ایجاد معنای شخصی</w:t>
      </w:r>
    </w:p>
    <w:p w:rsidR="008908D0" w:rsidRDefault="002D5E38">
      <w:pPr>
        <w:autoSpaceDE/>
        <w:autoSpaceDN/>
        <w:adjustRightInd/>
        <w:spacing w:after="0" w:line="276" w:lineRule="auto"/>
        <w:ind w:firstLine="397"/>
        <w:jc w:val="both"/>
        <w:rPr>
          <w:cs w:val="0"/>
        </w:rPr>
      </w:pPr>
      <w:r>
        <w:rPr>
          <w:rFonts w:hint="cs"/>
          <w:cs w:val="0"/>
        </w:rPr>
        <w:t>گام ۴. متغیرهای پیش‌بین: اضطراب سلامتی، هوش معنوی، ایجاد معنای شخصی، تفکر وجودی انتقادی</w:t>
      </w:r>
    </w:p>
    <w:p w:rsidR="008908D0" w:rsidRDefault="002D5E38" w:rsidP="001556D9">
      <w:pPr>
        <w:autoSpaceDE/>
        <w:autoSpaceDN/>
        <w:adjustRightInd/>
        <w:spacing w:after="0" w:line="276" w:lineRule="auto"/>
        <w:ind w:firstLine="397"/>
        <w:jc w:val="both"/>
        <w:rPr>
          <w:cs w:val="0"/>
        </w:rPr>
      </w:pPr>
      <w:r w:rsidRPr="001556D9">
        <w:rPr>
          <w:cs w:val="0"/>
        </w:rPr>
        <w:t>جدول ۴-۸ نشان می‌دهد که</w:t>
      </w:r>
      <w:r>
        <w:rPr>
          <w:i/>
          <w:color w:val="666666"/>
          <w:sz w:val="20"/>
          <w:cs w:val="0"/>
        </w:rPr>
        <w:t xml:space="preserve"> </w:t>
      </w:r>
      <w:r>
        <w:rPr>
          <w:cs w:val="0"/>
        </w:rPr>
        <w:t xml:space="preserve">در تبیین اضطراب مرگ سالمندان از روی متغیرهای پیش‌بین، مجموع متغیرهای پیش‌بین مقدار ۵۴/۰=R۲ از واریانس متغیر ملاک را تبیین و پیش‌بینی می‌کنند؛ یعنی متغیرهای پیش‌بین ۵۴ درصد از نمرات اضطراب مرگ سالمندان را تبیین می‌نمایند. اضطراب سلامتی ۳۴ درصد، هوش معنوی ۱۱ درصد، ایجاد معنای شخصی ۵ درصد و تفکر وجودی انتقادی نیز ۴ درصد از تغییرات اضطراب مرگ سالمندان را پیش‌بینی می‌کنند. میزان F مشاهده‌شده برای متغیرهای پیش‌بین در هر چهار گام در سطح ۰۰۱/۰ معنادار است. این یافته گویای این واقعیت است که این چهار متغیر به صورت معناداری قادر به </w:t>
      </w:r>
      <w:r>
        <w:rPr>
          <w:cs w:val="0"/>
        </w:rPr>
        <w:lastRenderedPageBreak/>
        <w:t>پیش‌بینی اضطراب مرگ سالمندان هستند. در جدول ۴-۹ نیز ضرایب رگرسیون استاندارد نشده و استاندارد شده و بررسی معناداری این ضرایب گزارش شده‌اند.</w:t>
      </w:r>
    </w:p>
    <w:p w:rsidR="008908D0" w:rsidRDefault="002D5E38">
      <w:pPr>
        <w:pStyle w:val="Caption"/>
        <w:keepNext/>
        <w:autoSpaceDE/>
        <w:autoSpaceDN/>
        <w:adjustRightInd/>
        <w:spacing w:line="276" w:lineRule="auto"/>
        <w:rPr>
          <w:cs w:val="0"/>
        </w:rPr>
      </w:pPr>
      <w:bookmarkStart w:id="179" w:name="_Toc239451802"/>
      <w:r>
        <w:rPr>
          <w:cs w:val="0"/>
        </w:rPr>
        <w:t>جدول ۴-</w:t>
      </w:r>
      <w:r>
        <w:fldChar w:fldCharType="begin"/>
      </w:r>
      <w:r>
        <w:rPr>
          <w:cs w:val="0"/>
        </w:rPr>
        <w:instrText xml:space="preserve"> SEQ جدول \* ARABIC </w:instrText>
      </w:r>
      <w:r>
        <w:fldChar w:fldCharType="separate"/>
      </w:r>
      <w:r w:rsidR="00D419F3">
        <w:rPr>
          <w:noProof/>
          <w:cs w:val="0"/>
        </w:rPr>
        <w:t>9</w:t>
      </w:r>
      <w:r>
        <w:fldChar w:fldCharType="end"/>
      </w:r>
      <w:r>
        <w:rPr>
          <w:cs w:val="0"/>
        </w:rPr>
        <w:t>- ضرایب رگرسیون گام به گام اضطراب مرگ بر روی متغیرهای پیش بین</w:t>
      </w:r>
      <w:bookmarkEnd w:id="179"/>
    </w:p>
    <w:tbl>
      <w:tblPr>
        <w:bidiVisual/>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798"/>
        <w:gridCol w:w="1046"/>
        <w:gridCol w:w="1741"/>
        <w:gridCol w:w="1128"/>
        <w:gridCol w:w="1144"/>
        <w:gridCol w:w="1191"/>
      </w:tblGrid>
      <w:tr w:rsidR="008908D0">
        <w:trPr>
          <w:cantSplit/>
          <w:tblHeader/>
          <w:jc w:val="center"/>
        </w:trPr>
        <w:tc>
          <w:tcPr>
            <w:tcW w:w="2692" w:type="dxa"/>
            <w:tcBorders>
              <w:tr2bl w:val="single" w:sz="8" w:space="0" w:color="000000"/>
            </w:tcBorders>
            <w:shd w:val="clear" w:color="auto" w:fill="E2EFD9"/>
            <w:vAlign w:val="center"/>
          </w:tcPr>
          <w:p w:rsidR="008908D0" w:rsidRDefault="002D5E38" w:rsidP="00D63DDF">
            <w:pPr>
              <w:spacing w:after="0" w:line="240" w:lineRule="auto"/>
              <w:jc w:val="center"/>
              <w:rPr>
                <w:color w:val="auto"/>
                <w:cs w:val="0"/>
              </w:rPr>
            </w:pPr>
            <w:r>
              <w:rPr>
                <w:rFonts w:hint="cs"/>
                <w:b/>
                <w:bCs/>
                <w:cs w:val="0"/>
              </w:rPr>
              <w:t xml:space="preserve">متغیرها </w:t>
            </w:r>
            <w:r w:rsidR="00D63DDF">
              <w:rPr>
                <w:rFonts w:hint="cs"/>
                <w:b/>
                <w:bCs/>
                <w:cs w:val="0"/>
              </w:rPr>
              <w:t xml:space="preserve">            </w:t>
            </w:r>
            <w:r>
              <w:rPr>
                <w:rFonts w:hint="cs"/>
                <w:b/>
                <w:bCs/>
                <w:cs w:val="0"/>
              </w:rPr>
              <w:t>شاخص ها</w:t>
            </w:r>
          </w:p>
        </w:tc>
        <w:tc>
          <w:tcPr>
            <w:tcW w:w="1006" w:type="dxa"/>
            <w:shd w:val="clear" w:color="auto" w:fill="E2EFD9"/>
            <w:vAlign w:val="center"/>
          </w:tcPr>
          <w:p w:rsidR="008908D0" w:rsidRDefault="002D5E38">
            <w:pPr>
              <w:spacing w:after="0" w:line="240" w:lineRule="auto"/>
              <w:jc w:val="center"/>
              <w:rPr>
                <w:color w:val="auto"/>
                <w:cs w:val="0"/>
              </w:rPr>
            </w:pPr>
            <w:r>
              <w:rPr>
                <w:b/>
                <w:bCs/>
                <w:rtl w:val="0"/>
                <w:cs w:val="0"/>
              </w:rPr>
              <w:t>B</w:t>
            </w:r>
          </w:p>
        </w:tc>
        <w:tc>
          <w:tcPr>
            <w:tcW w:w="1674" w:type="dxa"/>
            <w:shd w:val="clear" w:color="auto" w:fill="E2EFD9"/>
            <w:vAlign w:val="center"/>
          </w:tcPr>
          <w:p w:rsidR="008908D0" w:rsidRDefault="002D5E38">
            <w:pPr>
              <w:spacing w:after="0" w:line="240" w:lineRule="auto"/>
              <w:rPr>
                <w:color w:val="auto"/>
                <w:cs w:val="0"/>
              </w:rPr>
            </w:pPr>
            <w:r>
              <w:rPr>
                <w:rFonts w:hint="cs"/>
                <w:b/>
                <w:bCs/>
                <w:cs w:val="0"/>
              </w:rPr>
              <w:t>خطای استاندارد</w:t>
            </w:r>
          </w:p>
        </w:tc>
        <w:tc>
          <w:tcPr>
            <w:tcW w:w="1085" w:type="dxa"/>
            <w:shd w:val="clear" w:color="auto" w:fill="E2EFD9"/>
            <w:vAlign w:val="center"/>
          </w:tcPr>
          <w:p w:rsidR="008908D0" w:rsidRDefault="002D5E38">
            <w:pPr>
              <w:spacing w:after="0" w:line="240" w:lineRule="auto"/>
              <w:jc w:val="center"/>
              <w:rPr>
                <w:color w:val="auto"/>
                <w:cs w:val="0"/>
              </w:rPr>
            </w:pPr>
            <w:r>
              <w:rPr>
                <w:b/>
                <w:bCs/>
                <w:cs w:val="0"/>
              </w:rPr>
              <w:t>ß</w:t>
            </w:r>
          </w:p>
        </w:tc>
        <w:tc>
          <w:tcPr>
            <w:tcW w:w="1100" w:type="dxa"/>
            <w:shd w:val="clear" w:color="auto" w:fill="E2EFD9"/>
            <w:vAlign w:val="center"/>
          </w:tcPr>
          <w:p w:rsidR="008908D0" w:rsidRDefault="002D5E38">
            <w:pPr>
              <w:spacing w:after="0" w:line="240" w:lineRule="auto"/>
              <w:jc w:val="center"/>
              <w:rPr>
                <w:color w:val="auto"/>
                <w:cs w:val="0"/>
              </w:rPr>
            </w:pPr>
            <w:r>
              <w:rPr>
                <w:b/>
                <w:bCs/>
                <w:rtl w:val="0"/>
                <w:cs w:val="0"/>
              </w:rPr>
              <w:t>t</w:t>
            </w:r>
          </w:p>
        </w:tc>
        <w:tc>
          <w:tcPr>
            <w:tcW w:w="1145" w:type="dxa"/>
            <w:shd w:val="clear" w:color="auto" w:fill="E2EFD9"/>
            <w:vAlign w:val="center"/>
          </w:tcPr>
          <w:p w:rsidR="008908D0" w:rsidRDefault="002D5E38">
            <w:pPr>
              <w:spacing w:after="0" w:line="240" w:lineRule="auto"/>
              <w:rPr>
                <w:color w:val="auto"/>
                <w:cs w:val="0"/>
              </w:rPr>
            </w:pPr>
            <w:r>
              <w:rPr>
                <w:rFonts w:hint="cs"/>
                <w:b/>
                <w:bCs/>
                <w:cs w:val="0"/>
              </w:rPr>
              <w:t>معناداری</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ثابت</w:t>
            </w:r>
          </w:p>
        </w:tc>
        <w:tc>
          <w:tcPr>
            <w:tcW w:w="1006" w:type="dxa"/>
            <w:vAlign w:val="center"/>
          </w:tcPr>
          <w:p w:rsidR="008908D0" w:rsidRDefault="002D5E38">
            <w:pPr>
              <w:spacing w:after="0" w:line="240" w:lineRule="auto"/>
              <w:jc w:val="center"/>
              <w:rPr>
                <w:color w:val="auto"/>
                <w:cs w:val="0"/>
              </w:rPr>
            </w:pPr>
            <w:r>
              <w:rPr>
                <w:cs w:val="0"/>
              </w:rPr>
              <w:t>۸۲/۵۷</w:t>
            </w:r>
          </w:p>
        </w:tc>
        <w:tc>
          <w:tcPr>
            <w:tcW w:w="1674" w:type="dxa"/>
            <w:vAlign w:val="center"/>
          </w:tcPr>
          <w:p w:rsidR="008908D0" w:rsidRDefault="002D5E38">
            <w:pPr>
              <w:spacing w:after="0" w:line="240" w:lineRule="auto"/>
              <w:jc w:val="center"/>
              <w:rPr>
                <w:color w:val="auto"/>
                <w:cs w:val="0"/>
              </w:rPr>
            </w:pPr>
            <w:r>
              <w:rPr>
                <w:rFonts w:hint="cs"/>
                <w:cs w:val="0"/>
              </w:rPr>
              <w:t>۱۱/۴</w:t>
            </w:r>
          </w:p>
        </w:tc>
        <w:tc>
          <w:tcPr>
            <w:tcW w:w="1085" w:type="dxa"/>
            <w:vAlign w:val="center"/>
          </w:tcPr>
          <w:p w:rsidR="008908D0" w:rsidRDefault="002D5E38">
            <w:pPr>
              <w:spacing w:after="0" w:line="240" w:lineRule="auto"/>
              <w:jc w:val="center"/>
              <w:rPr>
                <w:color w:val="auto"/>
                <w:cs w:val="0"/>
              </w:rPr>
            </w:pPr>
            <w:r>
              <w:rPr>
                <w:cs w:val="0"/>
              </w:rPr>
              <w:t>-</w:t>
            </w:r>
          </w:p>
        </w:tc>
        <w:tc>
          <w:tcPr>
            <w:tcW w:w="1100" w:type="dxa"/>
            <w:vAlign w:val="center"/>
          </w:tcPr>
          <w:p w:rsidR="008908D0" w:rsidRDefault="002D5E38">
            <w:pPr>
              <w:spacing w:after="0" w:line="240" w:lineRule="auto"/>
              <w:jc w:val="center"/>
              <w:rPr>
                <w:color w:val="auto"/>
                <w:cs w:val="0"/>
              </w:rPr>
            </w:pPr>
            <w:r>
              <w:rPr>
                <w:cs w:val="0"/>
              </w:rPr>
              <w:t>۰۷/۱۴</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اضطراب سلامتی</w:t>
            </w:r>
          </w:p>
        </w:tc>
        <w:tc>
          <w:tcPr>
            <w:tcW w:w="1006" w:type="dxa"/>
            <w:vAlign w:val="center"/>
          </w:tcPr>
          <w:p w:rsidR="008908D0" w:rsidRDefault="002D5E38">
            <w:pPr>
              <w:spacing w:after="0" w:line="240" w:lineRule="auto"/>
              <w:jc w:val="center"/>
              <w:rPr>
                <w:color w:val="auto"/>
                <w:cs w:val="0"/>
              </w:rPr>
            </w:pPr>
            <w:r>
              <w:rPr>
                <w:cs w:val="0"/>
              </w:rPr>
              <w:t>۴۸/۰</w:t>
            </w:r>
          </w:p>
        </w:tc>
        <w:tc>
          <w:tcPr>
            <w:tcW w:w="1674" w:type="dxa"/>
            <w:vAlign w:val="center"/>
          </w:tcPr>
          <w:p w:rsidR="008908D0" w:rsidRDefault="002D5E38">
            <w:pPr>
              <w:spacing w:after="0" w:line="240" w:lineRule="auto"/>
              <w:jc w:val="center"/>
              <w:rPr>
                <w:color w:val="auto"/>
                <w:cs w:val="0"/>
              </w:rPr>
            </w:pPr>
            <w:r>
              <w:rPr>
                <w:rFonts w:hint="cs"/>
                <w:cs w:val="0"/>
              </w:rPr>
              <w:t>۰۷/۰</w:t>
            </w:r>
          </w:p>
        </w:tc>
        <w:tc>
          <w:tcPr>
            <w:tcW w:w="1085" w:type="dxa"/>
            <w:vAlign w:val="center"/>
          </w:tcPr>
          <w:p w:rsidR="008908D0" w:rsidRDefault="002D5E38">
            <w:pPr>
              <w:spacing w:after="0" w:line="240" w:lineRule="auto"/>
              <w:jc w:val="center"/>
              <w:rPr>
                <w:color w:val="auto"/>
                <w:cs w:val="0"/>
              </w:rPr>
            </w:pPr>
            <w:r>
              <w:rPr>
                <w:cs w:val="0"/>
              </w:rPr>
              <w:t>۵۲/۰</w:t>
            </w:r>
          </w:p>
        </w:tc>
        <w:tc>
          <w:tcPr>
            <w:tcW w:w="1100" w:type="dxa"/>
            <w:vAlign w:val="center"/>
          </w:tcPr>
          <w:p w:rsidR="008908D0" w:rsidRDefault="002D5E38">
            <w:pPr>
              <w:spacing w:after="0" w:line="240" w:lineRule="auto"/>
              <w:jc w:val="center"/>
              <w:rPr>
                <w:color w:val="auto"/>
                <w:cs w:val="0"/>
              </w:rPr>
            </w:pPr>
            <w:r>
              <w:rPr>
                <w:cs w:val="0"/>
              </w:rPr>
              <w:t>۸۵/۶</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هوش معنوی</w:t>
            </w:r>
          </w:p>
        </w:tc>
        <w:tc>
          <w:tcPr>
            <w:tcW w:w="1006" w:type="dxa"/>
            <w:vAlign w:val="center"/>
          </w:tcPr>
          <w:p w:rsidR="008908D0" w:rsidRDefault="002D5E38">
            <w:pPr>
              <w:spacing w:after="0" w:line="240" w:lineRule="auto"/>
              <w:jc w:val="center"/>
              <w:rPr>
                <w:color w:val="auto"/>
                <w:cs w:val="0"/>
              </w:rPr>
            </w:pPr>
            <w:r>
              <w:rPr>
                <w:cs w:val="0"/>
              </w:rPr>
              <w:t>۳۱/۰-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۳۶/۰-</w:t>
            </w:r>
          </w:p>
        </w:tc>
        <w:tc>
          <w:tcPr>
            <w:tcW w:w="1100" w:type="dxa"/>
            <w:vAlign w:val="center"/>
          </w:tcPr>
          <w:p w:rsidR="008908D0" w:rsidRDefault="002D5E38">
            <w:pPr>
              <w:spacing w:after="0" w:line="240" w:lineRule="auto"/>
              <w:jc w:val="center"/>
              <w:rPr>
                <w:color w:val="auto"/>
                <w:cs w:val="0"/>
              </w:rPr>
            </w:pPr>
            <w:r>
              <w:rPr>
                <w:cs w:val="0"/>
              </w:rPr>
              <w:t>۸۸/۳-</w:t>
            </w:r>
          </w:p>
        </w:tc>
        <w:tc>
          <w:tcPr>
            <w:tcW w:w="1145" w:type="dxa"/>
            <w:vAlign w:val="center"/>
          </w:tcPr>
          <w:p w:rsidR="008908D0" w:rsidRDefault="002D5E38">
            <w:pPr>
              <w:spacing w:after="0" w:line="240" w:lineRule="auto"/>
              <w:jc w:val="center"/>
              <w:rPr>
                <w:color w:val="auto"/>
                <w:cs w:val="0"/>
              </w:rPr>
            </w:pPr>
            <w:r>
              <w:rPr>
                <w:rFonts w:hint="cs"/>
                <w:cs w:val="0"/>
              </w:rPr>
              <w:t>۰۰۱/۰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ایجاد معنای شخصی</w:t>
            </w:r>
          </w:p>
        </w:tc>
        <w:tc>
          <w:tcPr>
            <w:tcW w:w="1006" w:type="dxa"/>
            <w:vAlign w:val="center"/>
          </w:tcPr>
          <w:p w:rsidR="008908D0" w:rsidRDefault="002D5E38">
            <w:pPr>
              <w:spacing w:after="0" w:line="240" w:lineRule="auto"/>
              <w:jc w:val="center"/>
              <w:rPr>
                <w:color w:val="auto"/>
                <w:cs w:val="0"/>
              </w:rPr>
            </w:pPr>
            <w:r>
              <w:rPr>
                <w:cs w:val="0"/>
              </w:rPr>
              <w:t>۲۴/۰-</w:t>
            </w:r>
          </w:p>
        </w:tc>
        <w:tc>
          <w:tcPr>
            <w:tcW w:w="1674" w:type="dxa"/>
            <w:vAlign w:val="center"/>
          </w:tcPr>
          <w:p w:rsidR="008908D0" w:rsidRDefault="002D5E38">
            <w:pPr>
              <w:spacing w:after="0" w:line="240" w:lineRule="auto"/>
              <w:jc w:val="center"/>
              <w:rPr>
                <w:color w:val="auto"/>
                <w:cs w:val="0"/>
              </w:rPr>
            </w:pPr>
            <w:r>
              <w:rPr>
                <w:rFonts w:hint="cs"/>
                <w:cs w:val="0"/>
              </w:rPr>
              <w:t>۰۹/۰</w:t>
            </w:r>
          </w:p>
        </w:tc>
        <w:tc>
          <w:tcPr>
            <w:tcW w:w="1085" w:type="dxa"/>
            <w:vAlign w:val="center"/>
          </w:tcPr>
          <w:p w:rsidR="008908D0" w:rsidRDefault="002D5E38">
            <w:pPr>
              <w:spacing w:after="0" w:line="240" w:lineRule="auto"/>
              <w:jc w:val="center"/>
              <w:rPr>
                <w:color w:val="auto"/>
                <w:cs w:val="0"/>
              </w:rPr>
            </w:pPr>
            <w:r>
              <w:rPr>
                <w:cs w:val="0"/>
              </w:rPr>
              <w:t>۲۵/۰-</w:t>
            </w:r>
          </w:p>
        </w:tc>
        <w:tc>
          <w:tcPr>
            <w:tcW w:w="1100" w:type="dxa"/>
            <w:vAlign w:val="center"/>
          </w:tcPr>
          <w:p w:rsidR="008908D0" w:rsidRDefault="002D5E38">
            <w:pPr>
              <w:spacing w:after="0" w:line="240" w:lineRule="auto"/>
              <w:jc w:val="center"/>
              <w:rPr>
                <w:color w:val="auto"/>
                <w:cs w:val="0"/>
              </w:rPr>
            </w:pPr>
            <w:r>
              <w:rPr>
                <w:cs w:val="0"/>
              </w:rPr>
              <w:t>۶۷/۲-</w:t>
            </w:r>
          </w:p>
        </w:tc>
        <w:tc>
          <w:tcPr>
            <w:tcW w:w="1145" w:type="dxa"/>
            <w:vAlign w:val="center"/>
          </w:tcPr>
          <w:p w:rsidR="008908D0" w:rsidRDefault="002D5E38">
            <w:pPr>
              <w:spacing w:after="0" w:line="240" w:lineRule="auto"/>
              <w:jc w:val="center"/>
              <w:rPr>
                <w:color w:val="auto"/>
                <w:cs w:val="0"/>
              </w:rPr>
            </w:pPr>
            <w:r>
              <w:rPr>
                <w:rFonts w:hint="cs"/>
                <w:cs w:val="0"/>
              </w:rPr>
              <w:t>۰۰۹/۰</w:t>
            </w:r>
          </w:p>
        </w:tc>
      </w:tr>
      <w:tr w:rsidR="008908D0">
        <w:trPr>
          <w:cantSplit/>
          <w:jc w:val="center"/>
        </w:trPr>
        <w:tc>
          <w:tcPr>
            <w:tcW w:w="2692" w:type="dxa"/>
            <w:vAlign w:val="center"/>
          </w:tcPr>
          <w:p w:rsidR="008908D0" w:rsidRDefault="002D5E38">
            <w:pPr>
              <w:spacing w:after="0" w:line="240" w:lineRule="auto"/>
              <w:rPr>
                <w:color w:val="auto"/>
                <w:cs w:val="0"/>
              </w:rPr>
            </w:pPr>
            <w:r>
              <w:rPr>
                <w:rFonts w:hint="cs"/>
                <w:cs w:val="0"/>
              </w:rPr>
              <w:t>تفکر وجودی انتقادی</w:t>
            </w:r>
          </w:p>
        </w:tc>
        <w:tc>
          <w:tcPr>
            <w:tcW w:w="1006" w:type="dxa"/>
            <w:vAlign w:val="center"/>
          </w:tcPr>
          <w:p w:rsidR="008908D0" w:rsidRDefault="002D5E38">
            <w:pPr>
              <w:spacing w:after="0" w:line="240" w:lineRule="auto"/>
              <w:jc w:val="center"/>
              <w:rPr>
                <w:color w:val="auto"/>
                <w:cs w:val="0"/>
              </w:rPr>
            </w:pPr>
            <w:r>
              <w:rPr>
                <w:cs w:val="0"/>
              </w:rPr>
              <w:t>۱۹/۰-</w:t>
            </w:r>
          </w:p>
        </w:tc>
        <w:tc>
          <w:tcPr>
            <w:tcW w:w="1674" w:type="dxa"/>
            <w:vAlign w:val="center"/>
          </w:tcPr>
          <w:p w:rsidR="008908D0" w:rsidRDefault="002D5E38">
            <w:pPr>
              <w:spacing w:after="0" w:line="240" w:lineRule="auto"/>
              <w:jc w:val="center"/>
              <w:rPr>
                <w:color w:val="auto"/>
                <w:cs w:val="0"/>
              </w:rPr>
            </w:pPr>
            <w:r>
              <w:rPr>
                <w:rFonts w:hint="cs"/>
                <w:cs w:val="0"/>
              </w:rPr>
              <w:t>۰۸/۰</w:t>
            </w:r>
          </w:p>
        </w:tc>
        <w:tc>
          <w:tcPr>
            <w:tcW w:w="1085" w:type="dxa"/>
            <w:vAlign w:val="center"/>
          </w:tcPr>
          <w:p w:rsidR="008908D0" w:rsidRDefault="002D5E38">
            <w:pPr>
              <w:spacing w:after="0" w:line="240" w:lineRule="auto"/>
              <w:jc w:val="center"/>
              <w:rPr>
                <w:color w:val="auto"/>
                <w:cs w:val="0"/>
              </w:rPr>
            </w:pPr>
            <w:r>
              <w:rPr>
                <w:cs w:val="0"/>
              </w:rPr>
              <w:t>۲۱/۰-</w:t>
            </w:r>
          </w:p>
        </w:tc>
        <w:tc>
          <w:tcPr>
            <w:tcW w:w="1100" w:type="dxa"/>
            <w:vAlign w:val="center"/>
          </w:tcPr>
          <w:p w:rsidR="008908D0" w:rsidRDefault="002D5E38">
            <w:pPr>
              <w:spacing w:after="0" w:line="240" w:lineRule="auto"/>
              <w:jc w:val="center"/>
              <w:rPr>
                <w:color w:val="auto"/>
                <w:cs w:val="0"/>
              </w:rPr>
            </w:pPr>
            <w:r>
              <w:rPr>
                <w:cs w:val="0"/>
              </w:rPr>
              <w:t>۳۷/۲-</w:t>
            </w:r>
          </w:p>
        </w:tc>
        <w:tc>
          <w:tcPr>
            <w:tcW w:w="1145" w:type="dxa"/>
            <w:vAlign w:val="center"/>
          </w:tcPr>
          <w:p w:rsidR="008908D0" w:rsidRDefault="002D5E38">
            <w:pPr>
              <w:spacing w:after="0" w:line="240" w:lineRule="auto"/>
              <w:jc w:val="center"/>
              <w:rPr>
                <w:color w:val="auto"/>
                <w:cs w:val="0"/>
              </w:rPr>
            </w:pPr>
            <w:r>
              <w:rPr>
                <w:rFonts w:hint="cs"/>
                <w:cs w:val="0"/>
              </w:rPr>
              <w:t>۰۲۰/۰</w:t>
            </w:r>
          </w:p>
        </w:tc>
      </w:tr>
    </w:tbl>
    <w:p w:rsidR="008908D0" w:rsidRDefault="002D5E38">
      <w:pPr>
        <w:spacing w:after="0" w:line="276" w:lineRule="auto"/>
        <w:ind w:firstLine="397"/>
        <w:jc w:val="both"/>
        <w:rPr>
          <w:rFonts w:ascii="B Lotus"/>
          <w:color w:val="auto"/>
          <w:sz w:val="26"/>
          <w:szCs w:val="26"/>
          <w:cs w:val="0"/>
        </w:rPr>
      </w:pPr>
      <w:r>
        <w:rPr>
          <w:rFonts w:hint="cs"/>
          <w:cs w:val="0"/>
        </w:rPr>
        <w:t>با در نظر گرفتن جدول ۴-۹، اثر اضطراب سلامتی (۵۲/۰ =β)، بر اضطراب مرگ سالمندان در سطح ۰۱/۰ مثبت و معنادار می‌باشد. اثر هوش معنوی (۳۶/۰-= β)، ایجاد معنای شخصی (۲۵/۰-=β) و تفکر وجودی انتقادی (۲۱/۰-= β)، بر اضطراب مرگ سالمندان در سطوح معناداری ۰۱/۰ و ۰۵/۰ منفی و معنادار است. به این معنا که با افزایش هوش معنوی و مؤلفه‌های آن، میزان اضطراب مرگ در سالمندان کاهش می‌یابد، در حالی که با افزایش اضطراب سلامتی، میزان اضطراب مرگ افزایش پیدا می‌کند. در این راستا فرضیه اصلی این مطالعه مورد تأیید قرار گرفت.</w:t>
      </w:r>
    </w:p>
    <w:p w:rsidR="000B73CB" w:rsidRDefault="002D5E38" w:rsidP="001556D9">
      <w:pPr>
        <w:spacing w:after="0" w:line="276" w:lineRule="auto"/>
        <w:ind w:firstLine="397"/>
        <w:jc w:val="both"/>
        <w:rPr>
          <w:cs w:val="0"/>
        </w:rPr>
      </w:pPr>
      <w:r>
        <w:rPr>
          <w:cs w:val="0"/>
        </w:rPr>
        <w:t xml:space="preserve">به بیان دیگر، نتایج تحلیل رگرسیون آشکار ساخت که </w:t>
      </w:r>
      <w:r w:rsidRPr="001556D9">
        <w:rPr>
          <w:cs w:val="0"/>
        </w:rPr>
        <w:t xml:space="preserve">هوش معنوی و ابعاد آن با سطح پایین‌تر اضطراب مرگ همراه بودند </w:t>
      </w:r>
      <w:r>
        <w:rPr>
          <w:cs w:val="0"/>
        </w:rPr>
        <w:t>؛ حال آنکه اضطراب سلامتی به عنوان یک عامل خطرزا، همبستگی مثبت با سطح اضطراب مرگ سالمندان نشان داد. این الگوی دوگانه نشان می‌دهد که تقویت بعد معنوی و کاهش نگرانی‌های سلامت‌محور، دو مسیر مکمل برای کاهش هراس از مرگ در این گروه سنی محسوب می‌شوند.</w:t>
      </w:r>
    </w:p>
    <w:p w:rsidR="000B73CB" w:rsidRDefault="000B73CB">
      <w:pPr>
        <w:autoSpaceDE/>
        <w:autoSpaceDN/>
        <w:adjustRightInd/>
        <w:spacing w:after="0" w:line="240" w:lineRule="auto"/>
        <w:jc w:val="right"/>
        <w:rPr>
          <w:cs w:val="0"/>
        </w:rPr>
        <w:sectPr w:rsidR="000B73CB">
          <w:footerReference w:type="default" r:id="rId19"/>
          <w:footnotePr>
            <w:numRestart w:val="eachPage"/>
          </w:footnotePr>
          <w:pgSz w:w="11906" w:h="16838" w:code="9"/>
          <w:pgMar w:top="1417" w:right="1561" w:bottom="1417" w:left="1277" w:header="709" w:footer="567" w:gutter="0"/>
          <w:cols w:space="708"/>
          <w:bidi/>
          <w:rtlGutter/>
          <w:docGrid w:linePitch="360"/>
        </w:sectPr>
      </w:pPr>
    </w:p>
    <w:p w:rsidR="000B73CB" w:rsidRPr="00A90A3D" w:rsidRDefault="000B73CB" w:rsidP="00A90A3D">
      <w:pPr>
        <w:autoSpaceDE/>
        <w:autoSpaceDN/>
        <w:adjustRightInd/>
        <w:spacing w:after="0" w:line="276" w:lineRule="auto"/>
        <w:ind w:firstLine="397"/>
        <w:jc w:val="center"/>
        <w:rPr>
          <w:rFonts w:cs="B Titr"/>
          <w:color w:val="auto"/>
          <w:sz w:val="72"/>
          <w:szCs w:val="72"/>
          <w:rtl w:val="0"/>
          <w:cs w:val="0"/>
        </w:rPr>
      </w:pPr>
      <w:bookmarkStart w:id="180" w:name="_Toc239432022"/>
      <w:r w:rsidRPr="00A90A3D">
        <w:rPr>
          <w:rFonts w:cs="B Titr"/>
          <w:color w:val="auto"/>
          <w:sz w:val="72"/>
          <w:szCs w:val="72"/>
          <w:cs w:val="0"/>
        </w:rPr>
        <w:lastRenderedPageBreak/>
        <w:t>فصل پنجم:</w:t>
      </w:r>
      <w:bookmarkEnd w:id="180"/>
      <w:r w:rsidRPr="00A90A3D">
        <w:rPr>
          <w:rFonts w:cs="B Titr"/>
          <w:color w:val="auto"/>
          <w:sz w:val="72"/>
          <w:szCs w:val="72"/>
          <w:cs w:val="0"/>
        </w:rPr>
        <w:t xml:space="preserve"> </w:t>
      </w:r>
    </w:p>
    <w:p w:rsidR="000B73CB" w:rsidRPr="00A90A3D" w:rsidRDefault="000B73CB" w:rsidP="00A90A3D">
      <w:pPr>
        <w:autoSpaceDE/>
        <w:autoSpaceDN/>
        <w:adjustRightInd/>
        <w:spacing w:after="0" w:line="276" w:lineRule="auto"/>
        <w:ind w:firstLine="397"/>
        <w:jc w:val="center"/>
        <w:rPr>
          <w:rFonts w:cs="B Titr"/>
          <w:color w:val="auto"/>
          <w:sz w:val="72"/>
          <w:szCs w:val="72"/>
          <w:cs w:val="0"/>
        </w:rPr>
        <w:sectPr w:rsidR="000B73CB" w:rsidRPr="00A90A3D">
          <w:footerReference w:type="default" r:id="rId20"/>
          <w:footnotePr>
            <w:numRestart w:val="eachPage"/>
          </w:footnotePr>
          <w:pgSz w:w="11906" w:h="16838" w:code="9"/>
          <w:pgMar w:top="1417" w:right="1561" w:bottom="1417" w:left="1277" w:header="709" w:footer="567" w:gutter="0"/>
          <w:cols w:space="708"/>
          <w:vAlign w:val="center"/>
          <w:bidi/>
          <w:rtlGutter/>
          <w:docGrid w:linePitch="360"/>
        </w:sectPr>
      </w:pPr>
      <w:bookmarkStart w:id="181" w:name="_Toc239432023"/>
      <w:r w:rsidRPr="00A90A3D">
        <w:rPr>
          <w:rFonts w:cs="B Titr"/>
          <w:color w:val="auto"/>
          <w:sz w:val="72"/>
          <w:szCs w:val="72"/>
          <w:cs w:val="0"/>
        </w:rPr>
        <w:t>بحث و نتیجه‌گیری</w:t>
      </w:r>
      <w:bookmarkEnd w:id="181"/>
    </w:p>
    <w:p w:rsidR="008908D0" w:rsidRPr="00B7369E" w:rsidRDefault="002D5E38" w:rsidP="00B7369E">
      <w:pPr>
        <w:pStyle w:val="Heading2"/>
        <w:rPr>
          <w:cs w:val="0"/>
        </w:rPr>
      </w:pPr>
      <w:bookmarkStart w:id="182" w:name="_Toc10031694"/>
      <w:bookmarkStart w:id="183" w:name="_Toc10309323"/>
      <w:bookmarkStart w:id="184" w:name="_Toc10309769"/>
      <w:bookmarkStart w:id="185" w:name="_Toc9801923"/>
      <w:bookmarkStart w:id="186" w:name="_Toc9802101"/>
      <w:bookmarkStart w:id="187" w:name="_Toc9805185"/>
      <w:bookmarkStart w:id="188" w:name="_Toc9805765"/>
      <w:bookmarkStart w:id="189" w:name="_Toc9805998"/>
      <w:bookmarkStart w:id="190" w:name="_Toc9806510"/>
      <w:bookmarkStart w:id="191" w:name="_Toc9806747"/>
      <w:bookmarkStart w:id="192" w:name="_Toc10031697"/>
      <w:bookmarkStart w:id="193" w:name="_Toc10032693"/>
      <w:bookmarkStart w:id="194" w:name="_Toc10309326"/>
      <w:bookmarkStart w:id="195" w:name="_Toc10309772"/>
      <w:bookmarkStart w:id="196" w:name="_Toc10310660"/>
      <w:bookmarkStart w:id="197" w:name="_Toc10311405"/>
      <w:bookmarkStart w:id="198" w:name="_Toc12099401"/>
      <w:bookmarkStart w:id="199" w:name="_Toc239015167"/>
      <w:bookmarkStart w:id="200" w:name="_Toc239432025"/>
      <w:bookmarkEnd w:id="182"/>
      <w:bookmarkEnd w:id="183"/>
      <w:bookmarkEnd w:id="184"/>
      <w:r w:rsidRPr="00B7369E">
        <w:rPr>
          <w:cs w:val="0"/>
        </w:rPr>
        <w:lastRenderedPageBreak/>
        <w:t>۵-۱- بحث و نتیجه گیری</w:t>
      </w:r>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p>
    <w:p w:rsidR="001556D9" w:rsidRDefault="002D5E38" w:rsidP="001556D9">
      <w:pPr>
        <w:spacing w:after="0" w:line="276" w:lineRule="auto"/>
        <w:ind w:firstLine="397"/>
        <w:jc w:val="both"/>
        <w:rPr>
          <w:i/>
          <w:color w:val="666666"/>
          <w:sz w:val="20"/>
          <w:cs w:val="0"/>
        </w:rPr>
      </w:pPr>
      <w:r>
        <w:rPr>
          <w:cs w:val="0"/>
        </w:rPr>
        <w:t>بر اساس مشاهدات این پژوهش، فرضیه فرعی اول پژوهش به این صورت بیان شد که "بین هوش معنوی و اضطراب مرگ در سالمندان رابطه وجود دارد." نتایج پژوهش حاضر نشان داد که بین هوش معنوی و اضطراب مرگ در سالمندان، در سطح ۰۱/۰، همبستگی منفی و معناداری وجود دارد. این نتایج بیانگر آن بود که با افزایش هوش معنوی و مؤلفه‌های آن، میزان اضطراب مرگ سالمندان کاهش می‌یابد. نتایج این مطالعه با یافته های پژوهش یوسفی افراشته، فرتاش و ابوترابی (۲۰۲۵)، پینتو و همکاران (۲۰۲۴)، کریمی و همکاران (۱۴۰۰)، رحمانی و همکاران (۱۴۰۰)، مهدوی کیا و همکاران (۱۳۹۹)، اکبری و یوسفی (۱۳۹۷)، محمد پور (۱۳۹۲)، نادری و روشنی (۱۳۹۰)، لوین و همکاران (۲۰۱۱)، کینگ و دی‌سیکو (۲۰۰۹)، همسو می باشد. هوش معنوی به عنوان یک سازه روان‌شناختی، بیانگر استعداد انسان در معنایابی از رویدادهای زندگی، به‌کارگیری ظرفیت‌های معنوی هنگام رویارویی با دشواری‌ها و شکل‌دهی به جهان‌بینی فراگیرتر درباره هستی است. این متغیر در پژوهش حاضر نقش محافظتی در برابر اضطراب مرگ ایفا کرد. این نوع هوش به فرد کمک می‌کند تا در مواجهه با رویدادهای دشوار زندگی، بیماری، فقدان و آگاهی از مرگ، معنا و انسجام بیشتری در تجربیات خود ایجاد کند. دوران سالمندی با تغییرات و چالش‌های مختلفی کاهش توانایی‌های جسمی، تغییر نقش‌های اجتماعی، تجربه فقدان نزدیکان و افزایش آگاهی از محدودیت زمان زندگی همراه است. این شرایط می‌تواند عامل افزایش نگرانی و اضطراب مرتبط با مرگ شود. یافته‌های این پژوهش تأیید کرد که سالمندانی که از پشتوانه‌های معنوی قوی‌تری برخوردارند و قادر به معنادهی به زندگی خویش هستند، سازگاری بهتری با فشارهای روانی دوران سالمندی نشان می‌دهند و در رویارویی با پدیده مرگ، واکنش‌های اضطرابی کمتری تجربه می‌کنند. جست‌وجوی معنا در زندگی و برخورداری از تاب‌آوری می‌تواند در نحوه مواجهه سالمندان با اضطراب مرگ نقش داشته باشد، افراد دارای هوش معنوی بالاتر در هنگام مواجهه با عوامل تنیدگی زا، راهبردهای مقابله ای مسأله مدار را مورد استفاده قرار می دهند و به این ترتیب توانایی غلبه بر تنیدگی و حل آن را پیدا می کنند (یوسفی افراشته، فرتاش و ابوترابی، ۲۰۲۵).</w:t>
      </w:r>
      <w:r w:rsidRPr="001556D9">
        <w:rPr>
          <w:cs w:val="0"/>
        </w:rPr>
        <w:t xml:space="preserve"> همسویی این نتیجه با مطالعات پیشین می‌تواند به اشتراک در سنجش معنا، تاب‌آوری و اضطراب مرگ مربوط باشد؛ بااین‌حال، تفاوت در جامعه، ابزار و شرایط سکونت سالمندان، تعمیم مستقیم یافته‌ها را محدود می‌کند.</w:t>
      </w:r>
      <w:r>
        <w:rPr>
          <w:i/>
          <w:color w:val="666666"/>
          <w:sz w:val="20"/>
          <w:cs w:val="0"/>
        </w:rPr>
        <w:t xml:space="preserve"> </w:t>
      </w:r>
    </w:p>
    <w:p w:rsidR="008908D0" w:rsidRDefault="002D5E38" w:rsidP="001556D9">
      <w:pPr>
        <w:spacing w:after="0" w:line="276" w:lineRule="auto"/>
        <w:ind w:firstLine="397"/>
        <w:jc w:val="both"/>
        <w:rPr>
          <w:color w:val="auto"/>
          <w:cs w:val="0"/>
        </w:rPr>
      </w:pPr>
      <w:r>
        <w:rPr>
          <w:rFonts w:hint="cs"/>
          <w:cs w:val="0"/>
        </w:rPr>
        <w:t xml:space="preserve">از دیدگاه محقق، درک مسائل معنوی و انجام مناسک و آیین های دینی به فهم انسان از عبادت و اثربخشی آن در زندگی کمک می کند و افراد توانمند در این خصوصیت، ان را در زندگی شخصی تجربه می کنند. به </w:t>
      </w:r>
      <w:r>
        <w:rPr>
          <w:rFonts w:hint="cs"/>
          <w:cs w:val="0"/>
        </w:rPr>
        <w:lastRenderedPageBreak/>
        <w:t>این ترتیب، برخورداری از سطوح بالاتر هوش معنوی می‌تواند با کاهش اضطراب مرگ در سالمندان همراه باشد که این یافته در نتایج پژوهش حاضر نیز مورد تأیید قرار گرفت.</w:t>
      </w:r>
    </w:p>
    <w:p w:rsidR="008908D0" w:rsidRDefault="002D5E38">
      <w:pPr>
        <w:spacing w:after="0" w:line="276" w:lineRule="auto"/>
        <w:ind w:firstLine="397"/>
        <w:jc w:val="both"/>
        <w:rPr>
          <w:color w:val="auto"/>
          <w:cs w:val="0"/>
        </w:rPr>
      </w:pPr>
      <w:r>
        <w:rPr>
          <w:rFonts w:hint="cs"/>
          <w:cs w:val="0"/>
        </w:rPr>
        <w:t xml:space="preserve">به باور پژوهشگر، فرضیه فرعی دوم پژوهش به این صورت بیان شد که "بین اضطراب سلامتی و اضطراب مرگ در سالمندان رابطه وجود دارد." یافته‌های این پژوهش نشان داد که بین اضطراب سلامتی و اضطراب مرگ سالمندان، در سطح ۰۱/۰ رابطه‌ای مثبت و معنادار وجود دارد.. این یافته‌ها بیانگر آن بود که با افزایش اضطراب سلامت و ابعاد آن، میزان اضطراب مرگ در سالمندان نیز افزایش می‌یابد؛ نتایج این مطالعه با کیکاس و همکاران (۲۰۲۴)، شفیعی و همکاران (۲۰۲۵)، اکبری و یوسفی (۱۳۹۷)، رضایی و محمدی (۱۳۹۵)، هاردینگ و همکاران (۲۰۰۵)، نویز و همکاران (۲۰۰۲) همسو می‌باشد. اضطراب سلامتی یکی از سازه‌های مهم در روان‌شناسی سلامت و آسیب‌شناسی روانی است که تأثیر قابل توجهی بر کیفیت زندگی و سلامت روان سالمندان دارد. اضطراب سلامت در سالمندان از اهمیت ویژه‌ای برخوردار است؛ زیرا افزایش بیماری‌های جسمی و مراجعه بیشتر به خدمات درمانی در این دوره می‌تواند تشخیص نگرانی‌های طبیعی مرتبط با سلامت از اضطراب سلامت بالینی را دشوار سازد. پژوهش‌های جدید نشان می‌دهند که اضطراب در سالمندان با عوامل مختلف جسمی، روان‌شناختی و اجتماعی ارتباط دارد و وجود بیماری‌های جسمی و چندبیماری، کاهش عملکرد جسمانی، انزوای اجتماعی و برخی عوامل روان‌شناختی می‌توانند با افزایش علائم اضطرابی در این گروه همراه باشند (شفیعی و همکاران، ۲۰۲۵؛ ویت‌مور و همکاران، ۲۰۲۴). همان‌طور که در مبانی نظری پژوهش (فصل دوم) تبیین شد، واکاوی مؤلفه‌ها، چارچوب‌های نظری و آثار سوء اضطراب سلامتی در جمعیت سالمندی، زیربنای ضروری برای تدوین برنامه‌های درمانی هدفمند و کارآمد در حوزه روان‌شناسی سالمندی به شمار می‌آید. یافته‌های حاضر بر این ضرورت صحه گذاشتند. تحقیقات موجود حاکی از آن است که اضطراب سلامت، اواخر سن هر فرد شروع می‌شود، شاید به این دلیل است که همبودی، با شرایط سلامتی جسمی که احتمالاً با افزایش سن رخ می‌دهد (ال-گابالاوی، ۲۰۱۸). اضطراب یک بیماری شایع در سالمندان است، و تقریباً ۲۰_۱۰ درصد از افراد مسن را تحت تأثیر قرار می‌دهد، اگرچه اغلب تشخیص داده نمی‌شود. سالمندان با اختلالات اضطرابی اغلب به دلایل زیادی درمان نمی‌شوند یا اغلب علائم خود را تشخیص یا تصدیق نمی‌کنند. وقتی اینکار را کردند، ممکن است تمایلی به گفتگو درباره احساسات خود با پزشکان نداشته باشند. برخی از سالمندان ممکن است به دنبال درمان نباشند زیرا در بیشتر زندگی خود علائم اضطراب را متحمل شده‌اند و معتقدند که این احساسات طبیعی است. گاهی این اضطراب ناشی از سلامت جسمانی است. علائم این بیماری شامل خستگی، درد قفسه سینه، سردرد، فشار عضلانی، درد عضلات، مشکل در بلع، لرزش، </w:t>
      </w:r>
      <w:r>
        <w:rPr>
          <w:rFonts w:hint="cs"/>
          <w:cs w:val="0"/>
        </w:rPr>
        <w:lastRenderedPageBreak/>
        <w:t>لرزیدن، تحریک پذیری، تعریق، حالت تهوع و... است. باید توجه داشت که اضطراب درمان نشده می‌تواند منجر به اختلال شناختی، ناتوانی، سلامتی، جسمی ضعیف و کیفیت پایین زندگی شود. خوشبختانه اضطراب با داروهای تجویزی و درمانی قابل درمان است (ساکویا، ۲۰۰۸). به این ترتیب، سطوح بالاتر اضطراب سلامتی می‌تواند با افزایش اضطراب مرگ در سالمندان همراه باشد که این یافته در نتایج پژوهش حاضر نیز مورد تأیید قرار گرفت.</w:t>
      </w:r>
    </w:p>
    <w:p w:rsidR="00A3619D" w:rsidRDefault="002D5E38" w:rsidP="00A3619D">
      <w:pPr>
        <w:autoSpaceDE/>
        <w:autoSpaceDN/>
        <w:adjustRightInd/>
        <w:spacing w:after="0" w:line="276" w:lineRule="auto"/>
        <w:ind w:firstLine="397"/>
        <w:jc w:val="both"/>
        <w:rPr>
          <w:cs w:val="0"/>
        </w:rPr>
      </w:pPr>
      <w:r>
        <w:rPr>
          <w:cs w:val="0"/>
        </w:rPr>
        <w:t xml:space="preserve">با نگاهی عمیق‌تر به این یافته، فرضیه اصلی پژوهش به این صورت بیان شد که "بین هوش معنوی و اضطراب سلامتی با اضطراب مرگ در سالمندان رابطه وجود دارد." نتایج نشان داد که اضطراب سلامتی و هوش معنوی از قدرت پیش‌بینی‌کنندگی لازم برای ورود به معادله رگرسیون برخوردار بودند و در مجموع حدود ۵۴ درصد از واریانس مربوط به اضطراب مرگ سالمندان را تبیین و پیش‌بینی نمودند. </w:t>
      </w:r>
    </w:p>
    <w:p w:rsidR="008908D0" w:rsidRDefault="002D5E38" w:rsidP="00A3619D">
      <w:pPr>
        <w:autoSpaceDE/>
        <w:autoSpaceDN/>
        <w:adjustRightInd/>
        <w:spacing w:after="0" w:line="276" w:lineRule="auto"/>
        <w:ind w:firstLine="397"/>
        <w:jc w:val="both"/>
        <w:rPr>
          <w:color w:val="auto"/>
          <w:cs w:val="0"/>
        </w:rPr>
      </w:pPr>
      <w:r>
        <w:rPr>
          <w:cs w:val="0"/>
        </w:rPr>
        <w:t>به‌گونه‌ای که اضطراب سلامتی با ضریب (</w:t>
      </w:r>
      <w:r w:rsidR="00A3619D">
        <w:rPr>
          <w:cs w:val="0"/>
        </w:rPr>
        <w:t>۵۲/</w:t>
      </w:r>
      <w:r>
        <w:rPr>
          <w:cs w:val="0"/>
        </w:rPr>
        <w:t>۰</w:t>
      </w:r>
      <w:r w:rsidR="00D54C3F" w:rsidRPr="00D54C3F">
        <w:rPr>
          <w:cs w:val="0"/>
        </w:rPr>
        <w:t xml:space="preserve"> </w:t>
      </w:r>
      <w:r w:rsidR="00D54C3F">
        <w:rPr>
          <w:cs w:val="0"/>
        </w:rPr>
        <w:t xml:space="preserve">= </w:t>
      </w:r>
      <w:r w:rsidR="00A3619D">
        <w:rPr>
          <w:cs w:val="0"/>
        </w:rPr>
        <w:t>β</w:t>
      </w:r>
      <w:r>
        <w:rPr>
          <w:cs w:val="0"/>
        </w:rPr>
        <w:t>) در سطح ۰۱/۰ به‌صورت مثبت و هوش معنوی با ضریب (</w:t>
      </w:r>
      <w:r w:rsidR="00A3619D">
        <w:rPr>
          <w:cs w:val="0"/>
        </w:rPr>
        <w:t>۳۶/۰-=β</w:t>
      </w:r>
      <w:r>
        <w:rPr>
          <w:cs w:val="0"/>
        </w:rPr>
        <w:t xml:space="preserve">) در سطح ۰۱/۰ به‌صورت منفی، اضطراب مرگ سالمندان را به‌طور معناداری پیش‌بینی نمودند. این یافته نشان داد که این متغیرها به صورت معناداری قادر به پیش‌بینی اضطراب مرگ در سالمندان هستند. در تبیین این یافته می‌توان بیان کرد که امروزه با پیشرفت‌های علوم پزشکی و افزایش امید به زندگی، جمعیت سالمندان در جوامع رو به افزایش است. با این حال، سالمندی با بروز تغییرات جسمانی و افزایش نگرانی‌های مرتبط با سلامت همراه است که می‌تواند سلامت روانی سالمندان را تحت تأثیر قرار دهد. در این میان، اضطراب سلامتی به‌عنوان یکی از عوامل روان‌شناختی مهم، می‌تواند توجه افراطی سالمندان به علائم جسمانی و نگرانی از بیماری‌ها را افزایش داده و </w:t>
      </w:r>
      <w:r w:rsidRPr="001556D9">
        <w:rPr>
          <w:cs w:val="0"/>
        </w:rPr>
        <w:t>با سطح بالاتر اضطراب مرگ همراه باشد</w:t>
      </w:r>
      <w:r>
        <w:rPr>
          <w:cs w:val="0"/>
        </w:rPr>
        <w:t>. از سوی دیگر، هوش معنوی با ایجاد معنا، هدفمندی و پذیرش واقعیت‌های بنیادین زندگی، مرگ، می‌تواند به سالمندان کمک کند تا با چالش‌های این دوره از زندگی سازگارانه‌تر مواجه شوند. سالمندانی که از سطح بالاتری از هوش معنوی برخوردارند، معمولاً نگرش متعادل‌تر و پذیرنده‌تری نسبت به مرگ دارند و در نتیجه، اضطراب مرگ کمتری را تجربه می‌کنند. از منظر نظری و با عنایت به تعاریف متغیرهای پژوهش، ارتباط بین هوش معنوی، اضطراب سلامتی و اضطراب مرگ قابل پیش‌بینی است. به‌طور کلی، یافته‌های پژوهش حاضر در سطح نظری می‌تواند با شناسایی عوامل مؤثر بر اضطراب مرگ سالمندان، به گسترش دانش و مدل‌های موجود در حوزه روان‌شناسی سالمندی کمک نماید. در سطح عملی نیز نتایج این پژوهش می‌تواند مبنای تجربی مناسبی برای طراحی برنامه‌های آموزشی و مداخله‌ای با هدف تقویت هوش معنوی و کاهش اضطراب سلامتی در سالمندان باشد و در نهایت به ارتقای سلامت روانی و کیفیت زندگی آنان منجر گردد.</w:t>
      </w:r>
    </w:p>
    <w:p w:rsidR="008908D0" w:rsidRPr="00B7369E" w:rsidRDefault="002D5E38" w:rsidP="00B7369E">
      <w:pPr>
        <w:pStyle w:val="Heading2"/>
        <w:rPr>
          <w:cs w:val="0"/>
        </w:rPr>
      </w:pPr>
      <w:bookmarkStart w:id="201" w:name="_Toc9801924"/>
      <w:bookmarkStart w:id="202" w:name="_Toc9802102"/>
      <w:bookmarkStart w:id="203" w:name="_Toc9805186"/>
      <w:bookmarkStart w:id="204" w:name="_Toc9805766"/>
      <w:bookmarkStart w:id="205" w:name="_Toc9805999"/>
      <w:bookmarkStart w:id="206" w:name="_Toc9806511"/>
      <w:bookmarkStart w:id="207" w:name="_Toc9806748"/>
      <w:bookmarkStart w:id="208" w:name="_Toc10031698"/>
      <w:bookmarkStart w:id="209" w:name="_Toc10032694"/>
      <w:bookmarkStart w:id="210" w:name="_Toc10309327"/>
      <w:bookmarkStart w:id="211" w:name="_Toc10309773"/>
      <w:bookmarkStart w:id="212" w:name="_Toc10310661"/>
      <w:bookmarkStart w:id="213" w:name="_Toc10311406"/>
      <w:bookmarkStart w:id="214" w:name="_Toc12099402"/>
      <w:bookmarkStart w:id="215" w:name="_Toc239015168"/>
      <w:bookmarkStart w:id="216" w:name="_Toc239432026"/>
      <w:r w:rsidRPr="00B7369E">
        <w:rPr>
          <w:cs w:val="0"/>
        </w:rPr>
        <w:lastRenderedPageBreak/>
        <w:t>۵-۲- محدودیت‌های تحقیق</w:t>
      </w:r>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p>
    <w:p w:rsidR="008908D0" w:rsidRDefault="002D5E38">
      <w:pPr>
        <w:spacing w:after="0" w:line="276" w:lineRule="auto"/>
        <w:ind w:firstLine="397"/>
        <w:jc w:val="both"/>
        <w:rPr>
          <w:color w:val="auto"/>
          <w:cs w:val="0"/>
        </w:rPr>
      </w:pPr>
      <w:r>
        <w:rPr>
          <w:rFonts w:hint="cs"/>
          <w:cs w:val="0"/>
        </w:rPr>
        <w:t>بدیهی است که هر تحقیق دارای محدودیت ها و مشکلاتی می باشد که بیان محدودیت های پژوهش حاضر می تواند برای پژوهشگران آتی راهگشا باشد. مورد ذیل محدودیت ها پژوهشی حاضر می باشند:</w:t>
      </w:r>
    </w:p>
    <w:p w:rsidR="008908D0" w:rsidRDefault="002D5E38">
      <w:pPr>
        <w:autoSpaceDE/>
        <w:autoSpaceDN/>
        <w:adjustRightInd/>
        <w:spacing w:after="0" w:line="276" w:lineRule="auto"/>
        <w:ind w:firstLine="397"/>
        <w:jc w:val="both"/>
        <w:rPr>
          <w:color w:val="auto"/>
          <w:cs w:val="0"/>
        </w:rPr>
      </w:pPr>
      <w:r>
        <w:rPr>
          <w:rFonts w:hint="cs"/>
          <w:cs w:val="0"/>
        </w:rPr>
        <w:t>- یکی از محدودیت های پژوهش حاضر، ابزار اندازه گیری بود. مقیاس های خودگزارشی امکان سوگیری را فراهم می نمایند. در این پژوهش برای اندازه گیری متغیرهای پژوهش فقط از پرسشنامه استفاده گردید.</w:t>
      </w:r>
    </w:p>
    <w:p w:rsidR="008908D0" w:rsidRDefault="002D5E38">
      <w:pPr>
        <w:autoSpaceDE/>
        <w:autoSpaceDN/>
        <w:adjustRightInd/>
        <w:spacing w:after="0" w:line="276" w:lineRule="auto"/>
        <w:ind w:firstLine="397"/>
        <w:jc w:val="both"/>
        <w:rPr>
          <w:color w:val="auto"/>
          <w:cs w:val="0"/>
        </w:rPr>
      </w:pPr>
      <w:r>
        <w:rPr>
          <w:rFonts w:hint="cs"/>
          <w:cs w:val="0"/>
        </w:rPr>
        <w:t>_ اگرچه در پژوهش حاضر از روش نمونه‌گیری در دسترس استفاده شده است، با این حال محدود بودن حجم نمونه می‌تواند تعمیم نتایج پژوهش به سایر سالمندان را با احتیاط همراه سازد.</w:t>
      </w:r>
    </w:p>
    <w:p w:rsidR="008908D0" w:rsidRDefault="002D5E38">
      <w:pPr>
        <w:autoSpaceDE/>
        <w:autoSpaceDN/>
        <w:adjustRightInd/>
        <w:spacing w:after="0" w:line="276" w:lineRule="auto"/>
        <w:ind w:firstLine="397"/>
        <w:jc w:val="both"/>
        <w:rPr>
          <w:color w:val="auto"/>
          <w:cs w:val="0"/>
        </w:rPr>
      </w:pPr>
      <w:r>
        <w:rPr>
          <w:rFonts w:hint="cs"/>
          <w:cs w:val="0"/>
        </w:rPr>
        <w:t xml:space="preserve">_ جامعه آماری پژوهش حاضر محدود به سالمندان ساکن خانه سالمندان فرشتگان شهر </w:t>
      </w:r>
      <w:r w:rsidR="00041273">
        <w:rPr>
          <w:rFonts w:hint="cs"/>
          <w:cs w:val="0"/>
        </w:rPr>
        <w:t>اسلامشهر(تهران)</w:t>
      </w:r>
      <w:r>
        <w:rPr>
          <w:rFonts w:hint="cs"/>
          <w:cs w:val="0"/>
        </w:rPr>
        <w:t xml:space="preserve"> بوده است؛ از این‌رو تعمیم نتایج به سایر سالمندان ساکن در جامعه یا مراکز سالمندی دیگر باید با احتیاط صورت گیرد.</w:t>
      </w:r>
    </w:p>
    <w:p w:rsidR="008908D0" w:rsidRPr="00B7369E" w:rsidRDefault="002D5E38" w:rsidP="00B7369E">
      <w:pPr>
        <w:pStyle w:val="Heading2"/>
        <w:rPr>
          <w:cs w:val="0"/>
        </w:rPr>
      </w:pPr>
      <w:bookmarkStart w:id="217" w:name="_Toc9801925"/>
      <w:bookmarkStart w:id="218" w:name="_Toc9802103"/>
      <w:bookmarkStart w:id="219" w:name="_Toc9805187"/>
      <w:bookmarkStart w:id="220" w:name="_Toc9805767"/>
      <w:bookmarkStart w:id="221" w:name="_Toc9806000"/>
      <w:bookmarkStart w:id="222" w:name="_Toc9806512"/>
      <w:bookmarkStart w:id="223" w:name="_Toc9806749"/>
      <w:bookmarkStart w:id="224" w:name="_Toc10031700"/>
      <w:bookmarkStart w:id="225" w:name="_Toc10032696"/>
      <w:bookmarkStart w:id="226" w:name="_Toc10309328"/>
      <w:bookmarkStart w:id="227" w:name="_Toc10309774"/>
      <w:bookmarkStart w:id="228" w:name="_Toc10310662"/>
      <w:bookmarkStart w:id="229" w:name="_Toc10311407"/>
      <w:bookmarkStart w:id="230" w:name="_Toc12099403"/>
      <w:bookmarkStart w:id="231" w:name="_Toc239015169"/>
      <w:bookmarkStart w:id="232" w:name="_Toc239432027"/>
      <w:r w:rsidRPr="00B7369E">
        <w:rPr>
          <w:cs w:val="0"/>
        </w:rPr>
        <w:t>۵-۳- پیشنهادات</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p>
    <w:p w:rsidR="008908D0" w:rsidRPr="00B7369E" w:rsidRDefault="002D5E38" w:rsidP="00B7369E">
      <w:pPr>
        <w:pStyle w:val="Heading3"/>
        <w:rPr>
          <w:cs w:val="0"/>
        </w:rPr>
      </w:pPr>
      <w:bookmarkStart w:id="233" w:name="_Toc10031701"/>
      <w:bookmarkStart w:id="234" w:name="_Toc10032697"/>
      <w:bookmarkStart w:id="235" w:name="_Toc10309329"/>
      <w:bookmarkStart w:id="236" w:name="_Toc10309775"/>
      <w:bookmarkStart w:id="237" w:name="_Toc10310663"/>
      <w:bookmarkStart w:id="238" w:name="_Toc10311408"/>
      <w:bookmarkStart w:id="239" w:name="_Toc12099404"/>
      <w:bookmarkStart w:id="240" w:name="_Toc9801926"/>
      <w:bookmarkStart w:id="241" w:name="_Toc9802104"/>
      <w:bookmarkStart w:id="242" w:name="_Toc9805188"/>
      <w:bookmarkStart w:id="243" w:name="_Toc9805768"/>
      <w:bookmarkStart w:id="244" w:name="_Toc9806001"/>
      <w:bookmarkStart w:id="245" w:name="_Toc9806513"/>
      <w:bookmarkStart w:id="246" w:name="_Toc9806750"/>
      <w:bookmarkStart w:id="247" w:name="_Toc239015170"/>
      <w:bookmarkStart w:id="248" w:name="_Toc239432028"/>
      <w:r w:rsidRPr="00B7369E">
        <w:rPr>
          <w:cs w:val="0"/>
        </w:rPr>
        <w:t>۵-۳-۱- پیشنهادهای پژوهشی</w:t>
      </w:r>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p>
    <w:p w:rsidR="008908D0" w:rsidRDefault="002D5E38">
      <w:pPr>
        <w:autoSpaceDE/>
        <w:autoSpaceDN/>
        <w:adjustRightInd/>
        <w:spacing w:after="0" w:line="276" w:lineRule="auto"/>
        <w:ind w:firstLine="397"/>
        <w:jc w:val="both"/>
        <w:rPr>
          <w:color w:val="auto"/>
          <w:cs w:val="0"/>
        </w:rPr>
      </w:pPr>
      <w:r>
        <w:rPr>
          <w:rFonts w:hint="cs"/>
          <w:cs w:val="0"/>
        </w:rPr>
        <w:t>- پیشنهاد می شود که علاوه بر پرسشنامه از روش های دیگر جمع آوری اطلاعات، مصاحبه و مشاهده نیز استفاده گردد.</w:t>
      </w:r>
    </w:p>
    <w:p w:rsidR="008908D0" w:rsidRDefault="002D5E38">
      <w:pPr>
        <w:autoSpaceDE/>
        <w:autoSpaceDN/>
        <w:adjustRightInd/>
        <w:spacing w:after="0" w:line="276" w:lineRule="auto"/>
        <w:ind w:firstLine="397"/>
        <w:jc w:val="both"/>
        <w:rPr>
          <w:color w:val="auto"/>
          <w:cs w:val="0"/>
        </w:rPr>
      </w:pPr>
      <w:r>
        <w:rPr>
          <w:rFonts w:hint="cs"/>
          <w:cs w:val="0"/>
        </w:rPr>
        <w:t>_ پیشنهاد می‌شود پژوهش‌های مشابهی بر روی سالمندان ساکن در جامعه و سایر مراکز سالمندی انجام گیرد تا امکان مقایسه نتایج و افزایش دقت در تعمیم یافته‌ها فراهم گردد.</w:t>
      </w:r>
    </w:p>
    <w:p w:rsidR="008908D0" w:rsidRDefault="002D5E38">
      <w:pPr>
        <w:autoSpaceDE/>
        <w:autoSpaceDN/>
        <w:adjustRightInd/>
        <w:spacing w:after="0" w:line="276" w:lineRule="auto"/>
        <w:ind w:firstLine="397"/>
        <w:jc w:val="both"/>
        <w:rPr>
          <w:color w:val="auto"/>
          <w:cs w:val="0"/>
        </w:rPr>
      </w:pPr>
      <w:r>
        <w:rPr>
          <w:rFonts w:hint="cs"/>
          <w:cs w:val="0"/>
        </w:rPr>
        <w:t>- پژوهش های مشابهی بر روی گروه های وسیع تری از افراد جامعه صورت گیرد، تا تعمیم نتایج صحیح تر بوده و احتمال راهیابی خطا کاهش یابد.</w:t>
      </w:r>
    </w:p>
    <w:p w:rsidR="008908D0" w:rsidRDefault="002D5E38">
      <w:pPr>
        <w:autoSpaceDE/>
        <w:autoSpaceDN/>
        <w:adjustRightInd/>
        <w:spacing w:after="0" w:line="276" w:lineRule="auto"/>
        <w:ind w:firstLine="397"/>
        <w:jc w:val="both"/>
        <w:rPr>
          <w:color w:val="auto"/>
          <w:cs w:val="0"/>
        </w:rPr>
      </w:pPr>
      <w:r>
        <w:rPr>
          <w:rFonts w:hint="cs"/>
          <w:cs w:val="0"/>
        </w:rPr>
        <w:t>_ انجام پژوهش‌های طولی به‌منظور بررسی تغییرات اضطراب مرگ در ارتباط با هوش معنوی و اضطراب سلامتی در طول زمان می‌تواند به غنای یافته‌های علمی در این حوزه کمک نماید.</w:t>
      </w:r>
    </w:p>
    <w:p w:rsidR="008908D0" w:rsidRPr="00B7369E" w:rsidRDefault="002D5E38" w:rsidP="00B7369E">
      <w:pPr>
        <w:pStyle w:val="Heading3"/>
        <w:rPr>
          <w:cs w:val="0"/>
        </w:rPr>
      </w:pPr>
      <w:bookmarkStart w:id="249" w:name="_Toc9801927"/>
      <w:bookmarkStart w:id="250" w:name="_Toc9802105"/>
      <w:bookmarkStart w:id="251" w:name="_Toc9805189"/>
      <w:bookmarkStart w:id="252" w:name="_Toc9805769"/>
      <w:bookmarkStart w:id="253" w:name="_Toc9806002"/>
      <w:bookmarkStart w:id="254" w:name="_Toc9806514"/>
      <w:bookmarkStart w:id="255" w:name="_Toc9806751"/>
      <w:bookmarkStart w:id="256" w:name="_Toc10031702"/>
      <w:bookmarkStart w:id="257" w:name="_Toc10032698"/>
      <w:bookmarkStart w:id="258" w:name="_Toc10309330"/>
      <w:bookmarkStart w:id="259" w:name="_Toc10309776"/>
      <w:bookmarkStart w:id="260" w:name="_Toc10310664"/>
      <w:bookmarkStart w:id="261" w:name="_Toc10311409"/>
      <w:bookmarkStart w:id="262" w:name="_Toc12099405"/>
      <w:bookmarkStart w:id="263" w:name="_Toc239015171"/>
      <w:bookmarkStart w:id="264" w:name="_Toc239432029"/>
      <w:r w:rsidRPr="00B7369E">
        <w:rPr>
          <w:cs w:val="0"/>
        </w:rPr>
        <w:t>۵-۳-۲- پیشنهادهای کاربردی</w:t>
      </w:r>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p>
    <w:p w:rsidR="008908D0" w:rsidRDefault="002D5E38">
      <w:pPr>
        <w:spacing w:after="0" w:line="276" w:lineRule="auto"/>
        <w:ind w:firstLine="397"/>
        <w:jc w:val="both"/>
        <w:rPr>
          <w:cs w:val="0"/>
        </w:rPr>
      </w:pPr>
      <w:r>
        <w:rPr>
          <w:rFonts w:hint="cs"/>
          <w:cs w:val="0"/>
        </w:rPr>
        <w:t>_ با عنایت به نتایج پژوهش حاضر و پژوهش‌های مشابه در زمینه نقش هوش معنوی و اضطراب سلامتی در تبیین اضطراب مرگ سالمندان، سیاست‌گذاران، برنامه‌ریزان و مسئولان حوزه سالمندی می‌توانند با بهره‌گیری از این یافته‌ها، در طراحی و اجرای برنامه‌های مداخله‌ای و آموزشی به‌منظور کاهش اضطراب مرگ و ارتقای سلامت روان سالمندان، آگاهانه‌تر اقدام نمایند.</w:t>
      </w:r>
    </w:p>
    <w:p w:rsidR="008908D0" w:rsidRDefault="002D5E38">
      <w:pPr>
        <w:pStyle w:val="Heading1"/>
        <w:keepLines/>
        <w:pageBreakBefore/>
        <w:spacing w:after="100" w:line="276" w:lineRule="auto"/>
        <w:rPr>
          <w:cs w:val="0"/>
        </w:rPr>
      </w:pPr>
      <w:bookmarkStart w:id="265" w:name="_Toc239015172"/>
      <w:bookmarkStart w:id="266" w:name="_Toc239432030"/>
      <w:r>
        <w:rPr>
          <w:cs w:val="0"/>
        </w:rPr>
        <w:lastRenderedPageBreak/>
        <w:t>منابع فارسی</w:t>
      </w:r>
      <w:bookmarkEnd w:id="265"/>
      <w:bookmarkEnd w:id="266"/>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امامی، ز. مولوی، ح. کالنتری، م. (۱۳۹۳). تحلیل مسیر اثر هوش معنوی و هوش اخلاقی بر خود شکوفایی و رضایت از زندگی در سالمندان شهر اصفهان. دانش و پژوهش در روان شناسی کاربردی، شماره ۲ .۱۳-۴.</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اکبری، زهرا؛ یوسفی، نرگس (۱۳۹۷) پیش‌بینی اضطراب مرگ سالمندان بر اساس اضطراب سلامتی و تاب‌آوری. فصلنامه سالمند، ۱۳ (۱)، ۷۷-۸۸.</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بهره‌ور، و؛ ابوالفتحی ممتاز، ی و حسینی، س (۱۴۰۲). احساس تنهایی در سالمندان در ایران: مرور سیستماتیک. مجله پزشکی دانشگاه علوم پزشکی تبریز، ۴۵ (۵)، ۳۸۹–۴۰۱.</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حسینی، جنبذی سیدعلی؛ و زرقی، محمد.(۱۴۰۲). مروری بر نظریه‌های روان‌شناختی سالمندی و سالمندی موفق فصلنامه سالمند.</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راشدی، وحید؛ ابراهیمی، بنفشه؛ شریف‌محسنی، مهتاب؛ و حسینی، محمدعلی. (۱۳۹۹). اضطراب مرگ و امید به زندگی در سالمندان ایران. مجله علوم مراقبتی، ۹ (۳)، ۱۶۸–۱۷۲.</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رحمانی، سارا؛ کریمی، رضا؛ سلیمانی، لیلا (۱۴۰۰) نقش واسطه‌ای هوش معنوی در رابطه بین اضطراب سلامتی و اضطراب مرگ در سالمندان. فصلنامه روانشناسی سلامت، ۹ (۲)، ۲۵-۴۰.</w:t>
      </w:r>
    </w:p>
    <w:p w:rsidR="008908D0" w:rsidRDefault="002D5E38" w:rsidP="000B73CB">
      <w:pPr>
        <w:pStyle w:val="PersianReferences"/>
        <w:tabs>
          <w:tab w:val="right" w:pos="9068"/>
        </w:tabs>
        <w:autoSpaceDE/>
        <w:autoSpaceDN/>
        <w:adjustRightInd/>
        <w:spacing w:after="0"/>
        <w:ind w:right="0" w:firstLine="397"/>
        <w:jc w:val="both"/>
        <w:rPr>
          <w:color w:val="auto"/>
          <w:cs w:val="0"/>
        </w:rPr>
      </w:pPr>
      <w:r>
        <w:rPr>
          <w:rFonts w:hint="cs"/>
          <w:cs w:val="0"/>
        </w:rPr>
        <w:t>رحیمی پور، محسن. و کرمی، اسحق. (۱۳۹۹). نقش واسطه‌گری هوش معنوی با بهزیستی روان‌شناختی و رضایت از زندگی در سالمندان شهرستان مهریز (یزد). دوماهنامه علمی - پژوهشی طب توانبخشی، ۳ (۳)، ۸۱-۷۲.</w:t>
      </w:r>
    </w:p>
    <w:p w:rsidR="008908D0" w:rsidRDefault="002D5E38" w:rsidP="000B73CB">
      <w:pPr>
        <w:pStyle w:val="PersianReferences"/>
        <w:tabs>
          <w:tab w:val="right" w:pos="9068"/>
        </w:tabs>
        <w:autoSpaceDE/>
        <w:autoSpaceDN/>
        <w:adjustRightInd/>
        <w:spacing w:after="0"/>
        <w:ind w:right="0" w:firstLine="397"/>
        <w:jc w:val="both"/>
        <w:rPr>
          <w:cs w:val="0"/>
        </w:rPr>
      </w:pPr>
      <w:r>
        <w:rPr>
          <w:cs w:val="0"/>
        </w:rPr>
        <w:t>رستمی، پ؛ سالک ابراهیمی، ل؛ محمدپوراصل، ا؛ و اله‌وردی‌پور، ح (۱۴۰۲). رابطه احساس تنهایی، منبع کنترل و عدم تحمل ابهام با اضطراب مرگ سالمندان در دوران بیماری کووید-۱۹. مجله پزشکی دانشگاه علوم پزشکی تبریز، ۴۵ (۶)، ۵۲۸–۵۳۸.</w:t>
      </w:r>
    </w:p>
    <w:p w:rsidR="008908D0" w:rsidRDefault="002D5E38" w:rsidP="000B73CB">
      <w:pPr>
        <w:pStyle w:val="PersianReferences"/>
        <w:tabs>
          <w:tab w:val="right" w:pos="9068"/>
        </w:tabs>
        <w:autoSpaceDE/>
        <w:autoSpaceDN/>
        <w:adjustRightInd/>
        <w:spacing w:after="0"/>
        <w:ind w:right="0" w:firstLine="397"/>
        <w:jc w:val="both"/>
        <w:rPr>
          <w:cs w:val="0"/>
        </w:rPr>
      </w:pPr>
      <w:r>
        <w:rPr>
          <w:cs w:val="0"/>
        </w:rPr>
        <w:t>رضا</w:t>
      </w:r>
      <w:r>
        <w:rPr>
          <w:rFonts w:hint="cs"/>
          <w:cs w:val="0"/>
        </w:rPr>
        <w:t>یی</w:t>
      </w:r>
      <w:r>
        <w:rPr>
          <w:rFonts w:hint="eastAsia"/>
          <w:cs w:val="0"/>
        </w:rPr>
        <w:t>،</w:t>
      </w:r>
      <w:r>
        <w:rPr>
          <w:cs w:val="0"/>
        </w:rPr>
        <w:t xml:space="preserve"> ع.، و محمد</w:t>
      </w:r>
      <w:r>
        <w:rPr>
          <w:rFonts w:hint="cs"/>
          <w:cs w:val="0"/>
        </w:rPr>
        <w:t>ی</w:t>
      </w:r>
      <w:r>
        <w:rPr>
          <w:rFonts w:hint="eastAsia"/>
          <w:cs w:val="0"/>
        </w:rPr>
        <w:t>،</w:t>
      </w:r>
      <w:r>
        <w:rPr>
          <w:cs w:val="0"/>
        </w:rPr>
        <w:t xml:space="preserve"> ع. (۱۳۹۵). بررس</w:t>
      </w:r>
      <w:r>
        <w:rPr>
          <w:rFonts w:hint="cs"/>
          <w:cs w:val="0"/>
        </w:rPr>
        <w:t>ی</w:t>
      </w:r>
      <w:r>
        <w:rPr>
          <w:cs w:val="0"/>
        </w:rPr>
        <w:t xml:space="preserve"> رابطه اضطراب سلامت</w:t>
      </w:r>
      <w:r>
        <w:rPr>
          <w:rFonts w:hint="cs"/>
          <w:cs w:val="0"/>
        </w:rPr>
        <w:t>ی</w:t>
      </w:r>
      <w:r>
        <w:rPr>
          <w:cs w:val="0"/>
        </w:rPr>
        <w:t xml:space="preserve"> و اضطراب مرگ در سالمندان شهر تهران. فصلنامه روانشناس</w:t>
      </w:r>
      <w:r>
        <w:rPr>
          <w:rFonts w:hint="cs"/>
          <w:cs w:val="0"/>
        </w:rPr>
        <w:t>ی</w:t>
      </w:r>
      <w:r>
        <w:rPr>
          <w:cs w:val="0"/>
        </w:rPr>
        <w:t xml:space="preserve"> سلامت، ۵ (۴)، ۲۷-۳۶.</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سل</w:t>
      </w:r>
      <w:r>
        <w:rPr>
          <w:rFonts w:hint="cs"/>
          <w:cs w:val="0"/>
        </w:rPr>
        <w:t>ی</w:t>
      </w:r>
      <w:r>
        <w:rPr>
          <w:rFonts w:hint="eastAsia"/>
          <w:cs w:val="0"/>
        </w:rPr>
        <w:t>مان</w:t>
      </w:r>
      <w:r>
        <w:rPr>
          <w:rFonts w:hint="cs"/>
          <w:cs w:val="0"/>
        </w:rPr>
        <w:t>ی‌</w:t>
      </w:r>
      <w:r>
        <w:rPr>
          <w:rFonts w:hint="eastAsia"/>
          <w:cs w:val="0"/>
        </w:rPr>
        <w:t>زاده،</w:t>
      </w:r>
      <w:r>
        <w:rPr>
          <w:cs w:val="0"/>
        </w:rPr>
        <w:t xml:space="preserve"> فرزانه؛ محمد</w:t>
      </w:r>
      <w:r>
        <w:rPr>
          <w:rFonts w:hint="cs"/>
          <w:cs w:val="0"/>
        </w:rPr>
        <w:t>ی</w:t>
      </w:r>
      <w:r>
        <w:rPr>
          <w:rFonts w:hint="eastAsia"/>
          <w:cs w:val="0"/>
        </w:rPr>
        <w:t>ن</w:t>
      </w:r>
      <w:r>
        <w:rPr>
          <w:rFonts w:hint="cs"/>
          <w:cs w:val="0"/>
        </w:rPr>
        <w:t>ی</w:t>
      </w:r>
      <w:r>
        <w:rPr>
          <w:rFonts w:hint="eastAsia"/>
          <w:cs w:val="0"/>
        </w:rPr>
        <w:t>ا،</w:t>
      </w:r>
      <w:r>
        <w:rPr>
          <w:cs w:val="0"/>
        </w:rPr>
        <w:t xml:space="preserve"> ندا؛ و سل</w:t>
      </w:r>
      <w:r>
        <w:rPr>
          <w:rFonts w:hint="cs"/>
          <w:cs w:val="0"/>
        </w:rPr>
        <w:t>ی</w:t>
      </w:r>
      <w:r>
        <w:rPr>
          <w:rFonts w:hint="eastAsia"/>
          <w:cs w:val="0"/>
        </w:rPr>
        <w:t>مان</w:t>
      </w:r>
      <w:r>
        <w:rPr>
          <w:rFonts w:hint="cs"/>
          <w:cs w:val="0"/>
        </w:rPr>
        <w:t>ی‌</w:t>
      </w:r>
      <w:r>
        <w:rPr>
          <w:rFonts w:hint="eastAsia"/>
          <w:cs w:val="0"/>
        </w:rPr>
        <w:t>زاده،</w:t>
      </w:r>
      <w:r>
        <w:rPr>
          <w:cs w:val="0"/>
        </w:rPr>
        <w:t xml:space="preserve"> لاله. (۱۳۹۹). رابطه سلامت معنو</w:t>
      </w:r>
      <w:r>
        <w:rPr>
          <w:rFonts w:hint="cs"/>
          <w:cs w:val="0"/>
        </w:rPr>
        <w:t>ی</w:t>
      </w:r>
      <w:r>
        <w:rPr>
          <w:cs w:val="0"/>
        </w:rPr>
        <w:t xml:space="preserve"> و مقابله مذهب</w:t>
      </w:r>
      <w:r>
        <w:rPr>
          <w:rFonts w:hint="cs"/>
          <w:cs w:val="0"/>
        </w:rPr>
        <w:t>ی</w:t>
      </w:r>
      <w:r>
        <w:rPr>
          <w:cs w:val="0"/>
        </w:rPr>
        <w:t xml:space="preserve"> با اضطراب مرگ در سالمندان. مجله د</w:t>
      </w:r>
      <w:r>
        <w:rPr>
          <w:rFonts w:hint="cs"/>
          <w:cs w:val="0"/>
        </w:rPr>
        <w:t>ی</w:t>
      </w:r>
      <w:r>
        <w:rPr>
          <w:rFonts w:hint="eastAsia"/>
          <w:cs w:val="0"/>
        </w:rPr>
        <w:t>ن</w:t>
      </w:r>
      <w:r>
        <w:rPr>
          <w:cs w:val="0"/>
        </w:rPr>
        <w:t xml:space="preserve"> و سلامت، ۵۹ (۴)، ۱۹۲۵</w:t>
      </w:r>
      <w:r>
        <w:rPr>
          <w:rFonts w:hint="cs"/>
          <w:cs w:val="0"/>
        </w:rPr>
        <w:t>–۱۹۳۲</w:t>
      </w:r>
      <w:r>
        <w:rPr>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فروتن،</w:t>
      </w:r>
      <w:r>
        <w:rPr>
          <w:cs w:val="0"/>
        </w:rPr>
        <w:t xml:space="preserve"> ماندانا و محمد</w:t>
      </w:r>
      <w:r>
        <w:rPr>
          <w:rFonts w:hint="cs"/>
          <w:cs w:val="0"/>
        </w:rPr>
        <w:t>ی</w:t>
      </w:r>
      <w:r>
        <w:rPr>
          <w:rFonts w:hint="eastAsia"/>
          <w:cs w:val="0"/>
        </w:rPr>
        <w:t>،</w:t>
      </w:r>
      <w:r>
        <w:rPr>
          <w:cs w:val="0"/>
        </w:rPr>
        <w:t xml:space="preserve"> مسعود. (۱۴۰۰). پ</w:t>
      </w:r>
      <w:r>
        <w:rPr>
          <w:rFonts w:hint="cs"/>
          <w:cs w:val="0"/>
        </w:rPr>
        <w:t>ی</w:t>
      </w:r>
      <w:r>
        <w:rPr>
          <w:rFonts w:hint="eastAsia"/>
          <w:cs w:val="0"/>
        </w:rPr>
        <w:t>ش</w:t>
      </w:r>
      <w:r>
        <w:rPr>
          <w:cs w:val="0"/>
        </w:rPr>
        <w:t xml:space="preserve"> ب</w:t>
      </w:r>
      <w:r>
        <w:rPr>
          <w:rFonts w:hint="cs"/>
          <w:cs w:val="0"/>
        </w:rPr>
        <w:t>ی</w:t>
      </w:r>
      <w:r>
        <w:rPr>
          <w:rFonts w:hint="eastAsia"/>
          <w:cs w:val="0"/>
        </w:rPr>
        <w:t>ن</w:t>
      </w:r>
      <w:r>
        <w:rPr>
          <w:rFonts w:hint="cs"/>
          <w:cs w:val="0"/>
        </w:rPr>
        <w:t>ی</w:t>
      </w:r>
      <w:r>
        <w:rPr>
          <w:cs w:val="0"/>
        </w:rPr>
        <w:t xml:space="preserve"> سلامت روان بر اساس هوش معنو</w:t>
      </w:r>
      <w:r>
        <w:rPr>
          <w:rFonts w:hint="cs"/>
          <w:cs w:val="0"/>
        </w:rPr>
        <w:t>ی</w:t>
      </w:r>
      <w:r>
        <w:rPr>
          <w:cs w:val="0"/>
        </w:rPr>
        <w:t xml:space="preserve"> در سالمندان ساکن شهر ش</w:t>
      </w:r>
      <w:r>
        <w:rPr>
          <w:rFonts w:hint="cs"/>
          <w:cs w:val="0"/>
        </w:rPr>
        <w:t>ی</w:t>
      </w:r>
      <w:r>
        <w:rPr>
          <w:rFonts w:hint="eastAsia"/>
          <w:cs w:val="0"/>
        </w:rPr>
        <w:t>راز،</w:t>
      </w:r>
      <w:r>
        <w:rPr>
          <w:cs w:val="0"/>
        </w:rPr>
        <w:t xml:space="preserve"> دوم</w:t>
      </w:r>
      <w:r>
        <w:rPr>
          <w:rFonts w:hint="cs"/>
          <w:cs w:val="0"/>
        </w:rPr>
        <w:t>ی</w:t>
      </w:r>
      <w:r>
        <w:rPr>
          <w:rFonts w:hint="eastAsia"/>
          <w:cs w:val="0"/>
        </w:rPr>
        <w:t>ن</w:t>
      </w:r>
      <w:r>
        <w:rPr>
          <w:cs w:val="0"/>
        </w:rPr>
        <w:t xml:space="preserve"> کنفرانس ب</w:t>
      </w:r>
      <w:r>
        <w:rPr>
          <w:rFonts w:hint="cs"/>
          <w:cs w:val="0"/>
        </w:rPr>
        <w:t>ی</w:t>
      </w:r>
      <w:r>
        <w:rPr>
          <w:rFonts w:hint="eastAsia"/>
          <w:cs w:val="0"/>
        </w:rPr>
        <w:t>ن</w:t>
      </w:r>
      <w:r>
        <w:rPr>
          <w:cs w:val="0"/>
        </w:rPr>
        <w:t xml:space="preserve"> الملل</w:t>
      </w:r>
      <w:r>
        <w:rPr>
          <w:rFonts w:hint="cs"/>
          <w:cs w:val="0"/>
        </w:rPr>
        <w:t>ی</w:t>
      </w:r>
      <w:r>
        <w:rPr>
          <w:cs w:val="0"/>
        </w:rPr>
        <w:t xml:space="preserve"> روانشناس</w:t>
      </w:r>
      <w:r>
        <w:rPr>
          <w:rFonts w:hint="cs"/>
          <w:cs w:val="0"/>
        </w:rPr>
        <w:t>ی</w:t>
      </w:r>
      <w:r>
        <w:rPr>
          <w:rFonts w:hint="eastAsia"/>
          <w:cs w:val="0"/>
        </w:rPr>
        <w:t>،</w:t>
      </w:r>
      <w:r>
        <w:rPr>
          <w:cs w:val="0"/>
        </w:rPr>
        <w:t xml:space="preserve"> علوم ترب</w:t>
      </w:r>
      <w:r>
        <w:rPr>
          <w:rFonts w:hint="cs"/>
          <w:cs w:val="0"/>
        </w:rPr>
        <w:t>ی</w:t>
      </w:r>
      <w:r>
        <w:rPr>
          <w:rFonts w:hint="eastAsia"/>
          <w:cs w:val="0"/>
        </w:rPr>
        <w:t>ت</w:t>
      </w:r>
      <w:r>
        <w:rPr>
          <w:rFonts w:hint="cs"/>
          <w:cs w:val="0"/>
        </w:rPr>
        <w:t>ی</w:t>
      </w:r>
      <w:r>
        <w:rPr>
          <w:cs w:val="0"/>
        </w:rPr>
        <w:t xml:space="preserve"> و سبک زندگ</w:t>
      </w:r>
      <w:r>
        <w:rPr>
          <w:rFonts w:hint="cs"/>
          <w:cs w:val="0"/>
        </w:rPr>
        <w:t>ی</w:t>
      </w:r>
      <w:r>
        <w:rPr>
          <w:rFonts w:hint="eastAsia"/>
          <w:cs w:val="0"/>
        </w:rPr>
        <w:t>،</w:t>
      </w:r>
      <w:r>
        <w:rPr>
          <w:cs w:val="0"/>
        </w:rPr>
        <w:t xml:space="preserve"> مشهد.</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محمد</w:t>
      </w:r>
      <w:r>
        <w:rPr>
          <w:cs w:val="0"/>
        </w:rPr>
        <w:t xml:space="preserve"> پور، ف. (۱۳۹۲). رابطه هوش معنو</w:t>
      </w:r>
      <w:r>
        <w:rPr>
          <w:rFonts w:hint="cs"/>
          <w:cs w:val="0"/>
        </w:rPr>
        <w:t>ی</w:t>
      </w:r>
      <w:r>
        <w:rPr>
          <w:cs w:val="0"/>
        </w:rPr>
        <w:t xml:space="preserve"> و اضطراب مرگ، اول</w:t>
      </w:r>
      <w:r>
        <w:rPr>
          <w:rFonts w:hint="cs"/>
          <w:cs w:val="0"/>
        </w:rPr>
        <w:t>ی</w:t>
      </w:r>
      <w:r>
        <w:rPr>
          <w:rFonts w:hint="eastAsia"/>
          <w:cs w:val="0"/>
        </w:rPr>
        <w:t>ن</w:t>
      </w:r>
      <w:r>
        <w:rPr>
          <w:cs w:val="0"/>
        </w:rPr>
        <w:t xml:space="preserve"> کنگره ب</w:t>
      </w:r>
      <w:r>
        <w:rPr>
          <w:rFonts w:hint="cs"/>
          <w:cs w:val="0"/>
        </w:rPr>
        <w:t>ی</w:t>
      </w:r>
      <w:r>
        <w:rPr>
          <w:rFonts w:hint="eastAsia"/>
          <w:cs w:val="0"/>
        </w:rPr>
        <w:t>ن</w:t>
      </w:r>
      <w:r>
        <w:rPr>
          <w:cs w:val="0"/>
        </w:rPr>
        <w:t xml:space="preserve"> الملل</w:t>
      </w:r>
      <w:r>
        <w:rPr>
          <w:rFonts w:hint="cs"/>
          <w:cs w:val="0"/>
        </w:rPr>
        <w:t>ی</w:t>
      </w:r>
      <w:r>
        <w:rPr>
          <w:cs w:val="0"/>
        </w:rPr>
        <w:t xml:space="preserve"> فرهنگ و اند</w:t>
      </w:r>
      <w:r>
        <w:rPr>
          <w:rFonts w:hint="cs"/>
          <w:cs w:val="0"/>
        </w:rPr>
        <w:t>ی</w:t>
      </w:r>
      <w:r>
        <w:rPr>
          <w:rFonts w:hint="eastAsia"/>
          <w:cs w:val="0"/>
        </w:rPr>
        <w:t>شه</w:t>
      </w:r>
      <w:r>
        <w:rPr>
          <w:cs w:val="0"/>
        </w:rPr>
        <w:t xml:space="preserve"> د</w:t>
      </w:r>
      <w:r>
        <w:rPr>
          <w:rFonts w:hint="cs"/>
          <w:cs w:val="0"/>
        </w:rPr>
        <w:t>ی</w:t>
      </w:r>
      <w:r>
        <w:rPr>
          <w:rFonts w:hint="eastAsia"/>
          <w:cs w:val="0"/>
        </w:rPr>
        <w:t>ن</w:t>
      </w:r>
      <w:r>
        <w:rPr>
          <w:rFonts w:hint="cs"/>
          <w:cs w:val="0"/>
        </w:rPr>
        <w:t>ی</w:t>
      </w:r>
      <w:r>
        <w:rPr>
          <w:cs w:val="0"/>
        </w:rPr>
        <w:t>.</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مهدو</w:t>
      </w:r>
      <w:r>
        <w:rPr>
          <w:rFonts w:hint="cs"/>
          <w:cs w:val="0"/>
        </w:rPr>
        <w:t>ی‌</w:t>
      </w:r>
      <w:r>
        <w:rPr>
          <w:rFonts w:hint="eastAsia"/>
          <w:cs w:val="0"/>
        </w:rPr>
        <w:t>ک</w:t>
      </w:r>
      <w:r>
        <w:rPr>
          <w:rFonts w:hint="cs"/>
          <w:cs w:val="0"/>
        </w:rPr>
        <w:t>ی</w:t>
      </w:r>
      <w:r>
        <w:rPr>
          <w:rFonts w:hint="eastAsia"/>
          <w:cs w:val="0"/>
        </w:rPr>
        <w:t>ا،</w:t>
      </w:r>
      <w:r>
        <w:rPr>
          <w:cs w:val="0"/>
        </w:rPr>
        <w:t xml:space="preserve"> نسر</w:t>
      </w:r>
      <w:r>
        <w:rPr>
          <w:rFonts w:hint="cs"/>
          <w:cs w:val="0"/>
        </w:rPr>
        <w:t>ی</w:t>
      </w:r>
      <w:r>
        <w:rPr>
          <w:rFonts w:hint="eastAsia"/>
          <w:cs w:val="0"/>
        </w:rPr>
        <w:t>ن؛</w:t>
      </w:r>
      <w:r>
        <w:rPr>
          <w:cs w:val="0"/>
        </w:rPr>
        <w:t xml:space="preserve"> حس</w:t>
      </w:r>
      <w:r>
        <w:rPr>
          <w:rFonts w:hint="cs"/>
          <w:cs w:val="0"/>
        </w:rPr>
        <w:t>ی</w:t>
      </w:r>
      <w:r>
        <w:rPr>
          <w:rFonts w:hint="eastAsia"/>
          <w:cs w:val="0"/>
        </w:rPr>
        <w:t>ن</w:t>
      </w:r>
      <w:r>
        <w:rPr>
          <w:rFonts w:hint="cs"/>
          <w:cs w:val="0"/>
        </w:rPr>
        <w:t>ی</w:t>
      </w:r>
      <w:r>
        <w:rPr>
          <w:rFonts w:hint="eastAsia"/>
          <w:cs w:val="0"/>
        </w:rPr>
        <w:t>،</w:t>
      </w:r>
      <w:r>
        <w:rPr>
          <w:cs w:val="0"/>
        </w:rPr>
        <w:t xml:space="preserve"> فاطمه؛ محمد</w:t>
      </w:r>
      <w:r>
        <w:rPr>
          <w:rFonts w:hint="cs"/>
          <w:cs w:val="0"/>
        </w:rPr>
        <w:t>ی</w:t>
      </w:r>
      <w:r>
        <w:rPr>
          <w:rFonts w:hint="eastAsia"/>
          <w:cs w:val="0"/>
        </w:rPr>
        <w:t>،</w:t>
      </w:r>
      <w:r>
        <w:rPr>
          <w:cs w:val="0"/>
        </w:rPr>
        <w:t xml:space="preserve"> عل</w:t>
      </w:r>
      <w:r>
        <w:rPr>
          <w:rFonts w:hint="cs"/>
          <w:cs w:val="0"/>
        </w:rPr>
        <w:t xml:space="preserve">ی </w:t>
      </w:r>
      <w:r>
        <w:rPr>
          <w:cs w:val="0"/>
        </w:rPr>
        <w:t>(۱۳۹۹) رابطه هوش معنو</w:t>
      </w:r>
      <w:r>
        <w:rPr>
          <w:rFonts w:hint="cs"/>
          <w:cs w:val="0"/>
        </w:rPr>
        <w:t>ی</w:t>
      </w:r>
      <w:r>
        <w:rPr>
          <w:cs w:val="0"/>
        </w:rPr>
        <w:t xml:space="preserve"> با اضطراب مرگ در سالمندان. مجله روانشناس</w:t>
      </w:r>
      <w:r>
        <w:rPr>
          <w:rFonts w:hint="cs"/>
          <w:cs w:val="0"/>
        </w:rPr>
        <w:t>ی</w:t>
      </w:r>
      <w:r>
        <w:rPr>
          <w:cs w:val="0"/>
        </w:rPr>
        <w:t xml:space="preserve"> و د</w:t>
      </w:r>
      <w:r>
        <w:rPr>
          <w:rFonts w:hint="cs"/>
          <w:cs w:val="0"/>
        </w:rPr>
        <w:t>ی</w:t>
      </w:r>
      <w:r>
        <w:rPr>
          <w:rFonts w:hint="eastAsia"/>
          <w:cs w:val="0"/>
        </w:rPr>
        <w:t>ن،</w:t>
      </w:r>
      <w:r>
        <w:rPr>
          <w:cs w:val="0"/>
        </w:rPr>
        <w:t xml:space="preserve"> ۱۰ (۳)، ۴۵-۶۰.</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نادر</w:t>
      </w:r>
      <w:r>
        <w:rPr>
          <w:rFonts w:hint="cs"/>
          <w:cs w:val="0"/>
        </w:rPr>
        <w:t>ی</w:t>
      </w:r>
      <w:r>
        <w:rPr>
          <w:rFonts w:hint="eastAsia"/>
          <w:cs w:val="0"/>
        </w:rPr>
        <w:t>،</w:t>
      </w:r>
      <w:r>
        <w:rPr>
          <w:cs w:val="0"/>
        </w:rPr>
        <w:t xml:space="preserve"> ف. روشن</w:t>
      </w:r>
      <w:r>
        <w:rPr>
          <w:rFonts w:hint="cs"/>
          <w:cs w:val="0"/>
        </w:rPr>
        <w:t>ی</w:t>
      </w:r>
      <w:r>
        <w:rPr>
          <w:rFonts w:hint="eastAsia"/>
          <w:cs w:val="0"/>
        </w:rPr>
        <w:t>،</w:t>
      </w:r>
      <w:r>
        <w:rPr>
          <w:cs w:val="0"/>
        </w:rPr>
        <w:t xml:space="preserve"> خ. (۱۳۹۰). رابطه هوش معنو</w:t>
      </w:r>
      <w:r>
        <w:rPr>
          <w:rFonts w:hint="cs"/>
          <w:cs w:val="0"/>
        </w:rPr>
        <w:t>ی</w:t>
      </w:r>
      <w:r>
        <w:rPr>
          <w:cs w:val="0"/>
        </w:rPr>
        <w:t xml:space="preserve"> و هوش اجتماع</w:t>
      </w:r>
      <w:r>
        <w:rPr>
          <w:rFonts w:hint="cs"/>
          <w:cs w:val="0"/>
        </w:rPr>
        <w:t>ی</w:t>
      </w:r>
      <w:r>
        <w:rPr>
          <w:cs w:val="0"/>
        </w:rPr>
        <w:t xml:space="preserve"> با اضطراب مرگ زنان سالمند. سال دوم، شماره ۶ .۶۷-۵۵.</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lastRenderedPageBreak/>
        <w:t>کاظمی، م.، احمدی، س.، وعزیزی، ن.(۱۳۹۷). بررسی رابطه هوش معنوی و اضطراب مرگ در سالمندان ساکن خانه سالمندان و سالمندان خانواده. فصلنامه علمی پژوهشی سالمند، ۱۳ (۲)، ۸۵-۹۶.</w:t>
      </w:r>
    </w:p>
    <w:p w:rsidR="008908D0" w:rsidRDefault="002D5E38" w:rsidP="000B73CB">
      <w:pPr>
        <w:pStyle w:val="PersianReferences"/>
        <w:tabs>
          <w:tab w:val="right" w:pos="9068"/>
        </w:tabs>
        <w:autoSpaceDE/>
        <w:autoSpaceDN/>
        <w:adjustRightInd/>
        <w:spacing w:after="0"/>
        <w:ind w:right="0" w:firstLine="397"/>
        <w:jc w:val="both"/>
        <w:rPr>
          <w:cs w:val="0"/>
        </w:rPr>
      </w:pPr>
      <w:r>
        <w:rPr>
          <w:rFonts w:hint="eastAsia"/>
          <w:cs w:val="0"/>
        </w:rPr>
        <w:t>کر</w:t>
      </w:r>
      <w:r>
        <w:rPr>
          <w:rFonts w:hint="cs"/>
          <w:cs w:val="0"/>
        </w:rPr>
        <w:t>ی</w:t>
      </w:r>
      <w:r>
        <w:rPr>
          <w:rFonts w:hint="eastAsia"/>
          <w:cs w:val="0"/>
        </w:rPr>
        <w:t>م</w:t>
      </w:r>
      <w:r>
        <w:rPr>
          <w:rFonts w:hint="cs"/>
          <w:cs w:val="0"/>
        </w:rPr>
        <w:t>ی</w:t>
      </w:r>
      <w:r>
        <w:rPr>
          <w:rFonts w:hint="eastAsia"/>
          <w:cs w:val="0"/>
        </w:rPr>
        <w:t>،</w:t>
      </w:r>
      <w:r>
        <w:rPr>
          <w:cs w:val="0"/>
        </w:rPr>
        <w:t xml:space="preserve"> ف.، بابا</w:t>
      </w:r>
      <w:r>
        <w:rPr>
          <w:rFonts w:hint="cs"/>
          <w:cs w:val="0"/>
        </w:rPr>
        <w:t>یی</w:t>
      </w:r>
      <w:r>
        <w:rPr>
          <w:rFonts w:hint="eastAsia"/>
          <w:cs w:val="0"/>
        </w:rPr>
        <w:t>،</w:t>
      </w:r>
      <w:r>
        <w:rPr>
          <w:cs w:val="0"/>
        </w:rPr>
        <w:t xml:space="preserve"> ر.، و محمود</w:t>
      </w:r>
      <w:r>
        <w:rPr>
          <w:rFonts w:hint="cs"/>
          <w:cs w:val="0"/>
        </w:rPr>
        <w:t>ی</w:t>
      </w:r>
      <w:r>
        <w:rPr>
          <w:rFonts w:hint="eastAsia"/>
          <w:cs w:val="0"/>
        </w:rPr>
        <w:t>،</w:t>
      </w:r>
      <w:r>
        <w:rPr>
          <w:cs w:val="0"/>
        </w:rPr>
        <w:t xml:space="preserve"> پ.(۱۴۰۰). نقش م</w:t>
      </w:r>
      <w:r>
        <w:rPr>
          <w:rFonts w:hint="cs"/>
          <w:cs w:val="0"/>
        </w:rPr>
        <w:t>ی</w:t>
      </w:r>
      <w:r>
        <w:rPr>
          <w:rFonts w:hint="eastAsia"/>
          <w:cs w:val="0"/>
        </w:rPr>
        <w:t>انج</w:t>
      </w:r>
      <w:r>
        <w:rPr>
          <w:rFonts w:hint="cs"/>
          <w:cs w:val="0"/>
        </w:rPr>
        <w:t>ی</w:t>
      </w:r>
      <w:r>
        <w:rPr>
          <w:cs w:val="0"/>
        </w:rPr>
        <w:t xml:space="preserve"> هوش معنو</w:t>
      </w:r>
      <w:r>
        <w:rPr>
          <w:rFonts w:hint="cs"/>
          <w:cs w:val="0"/>
        </w:rPr>
        <w:t>ی</w:t>
      </w:r>
      <w:r>
        <w:rPr>
          <w:cs w:val="0"/>
        </w:rPr>
        <w:t xml:space="preserve"> در رابطه ب</w:t>
      </w:r>
      <w:r>
        <w:rPr>
          <w:rFonts w:hint="cs"/>
          <w:cs w:val="0"/>
        </w:rPr>
        <w:t>ی</w:t>
      </w:r>
      <w:r>
        <w:rPr>
          <w:rFonts w:hint="eastAsia"/>
          <w:cs w:val="0"/>
        </w:rPr>
        <w:t>ن</w:t>
      </w:r>
      <w:r>
        <w:rPr>
          <w:cs w:val="0"/>
        </w:rPr>
        <w:t xml:space="preserve"> اضطراب سلامت</w:t>
      </w:r>
      <w:r>
        <w:rPr>
          <w:rFonts w:hint="cs"/>
          <w:cs w:val="0"/>
        </w:rPr>
        <w:t>ی</w:t>
      </w:r>
      <w:r>
        <w:rPr>
          <w:cs w:val="0"/>
        </w:rPr>
        <w:t xml:space="preserve"> و اضطراب مرگ در سالمندان. نشر</w:t>
      </w:r>
      <w:r>
        <w:rPr>
          <w:rFonts w:hint="cs"/>
          <w:cs w:val="0"/>
        </w:rPr>
        <w:t>ی</w:t>
      </w:r>
      <w:r>
        <w:rPr>
          <w:rFonts w:hint="eastAsia"/>
          <w:cs w:val="0"/>
        </w:rPr>
        <w:t>ه</w:t>
      </w:r>
      <w:r>
        <w:rPr>
          <w:cs w:val="0"/>
        </w:rPr>
        <w:t xml:space="preserve"> روانشناس</w:t>
      </w:r>
      <w:r>
        <w:rPr>
          <w:rFonts w:hint="cs"/>
          <w:cs w:val="0"/>
        </w:rPr>
        <w:t>ی</w:t>
      </w:r>
      <w:r>
        <w:rPr>
          <w:cs w:val="0"/>
        </w:rPr>
        <w:t xml:space="preserve"> پ</w:t>
      </w:r>
      <w:r>
        <w:rPr>
          <w:rFonts w:hint="cs"/>
          <w:cs w:val="0"/>
        </w:rPr>
        <w:t>ی</w:t>
      </w:r>
      <w:r>
        <w:rPr>
          <w:rFonts w:hint="eastAsia"/>
          <w:cs w:val="0"/>
        </w:rPr>
        <w:t>ر</w:t>
      </w:r>
      <w:r>
        <w:rPr>
          <w:rFonts w:hint="cs"/>
          <w:cs w:val="0"/>
        </w:rPr>
        <w:t>ی</w:t>
      </w:r>
      <w:r>
        <w:rPr>
          <w:rFonts w:hint="eastAsia"/>
          <w:cs w:val="0"/>
        </w:rPr>
        <w:t>،</w:t>
      </w:r>
      <w:r>
        <w:rPr>
          <w:cs w:val="0"/>
        </w:rPr>
        <w:t xml:space="preserve"> ۱۰ (۱)، ۴۹-۶۰.</w:t>
      </w:r>
    </w:p>
    <w:p w:rsidR="008908D0" w:rsidRDefault="002D5E38">
      <w:pPr>
        <w:pStyle w:val="Heading1"/>
        <w:pageBreakBefore/>
        <w:autoSpaceDE/>
        <w:autoSpaceDN/>
        <w:adjustRightInd/>
        <w:spacing w:after="0" w:line="276" w:lineRule="auto"/>
        <w:ind w:firstLine="397"/>
        <w:rPr>
          <w:cs w:val="0"/>
        </w:rPr>
      </w:pPr>
      <w:bookmarkStart w:id="267" w:name="_Toc239015173"/>
      <w:bookmarkStart w:id="268" w:name="_Toc239432031"/>
      <w:r>
        <w:rPr>
          <w:cs w:val="0"/>
        </w:rPr>
        <w:lastRenderedPageBreak/>
        <w:t>منابع لاتین</w:t>
      </w:r>
      <w:bookmarkEnd w:id="267"/>
      <w:bookmarkEnd w:id="268"/>
    </w:p>
    <w:p w:rsidR="008908D0" w:rsidRPr="00FF2D3A" w:rsidRDefault="002D5E38" w:rsidP="00FF2D3A">
      <w:pPr>
        <w:pStyle w:val="References"/>
        <w:autoSpaceDE/>
        <w:autoSpaceDN/>
        <w:adjustRightInd/>
      </w:pPr>
      <w:r>
        <w:t>Abramowitz, J. S., &amp; Braddock, A. E. (2023). Psychological Treatment of Health Anxiety and Illness Anxiety Disorder. Guilford Press.</w:t>
      </w:r>
    </w:p>
    <w:p w:rsidR="008908D0" w:rsidRPr="00FF2D3A" w:rsidRDefault="002D5E38" w:rsidP="00FF2D3A">
      <w:pPr>
        <w:pStyle w:val="References"/>
        <w:autoSpaceDE/>
        <w:autoSpaceDN/>
        <w:adjustRightInd/>
      </w:pPr>
      <w:r>
        <w:t>American Psychiatric Association. (2022). Diagnostic and Statistical Manual of Mental Disorders (5th ed., Text Revision; DSM-5-TR). Washington, DC: American Psychiatric Association.</w:t>
      </w:r>
    </w:p>
    <w:p w:rsidR="008908D0" w:rsidRPr="00FF2D3A" w:rsidRDefault="002D5E38" w:rsidP="00FF2D3A">
      <w:pPr>
        <w:pStyle w:val="References"/>
        <w:autoSpaceDE/>
        <w:autoSpaceDN/>
        <w:adjustRightInd/>
      </w:pPr>
      <w:r>
        <w:t>American Psychological Association. (2023). Clinical Practice Guideline for the Treatment of Depression and Anxiety in Older Adults.</w:t>
      </w:r>
    </w:p>
    <w:p w:rsidR="008908D0" w:rsidRPr="00FF2D3A" w:rsidRDefault="002D5E38" w:rsidP="00FF2D3A">
      <w:pPr>
        <w:pStyle w:val="References"/>
        <w:autoSpaceDE/>
        <w:autoSpaceDN/>
        <w:adjustRightInd/>
      </w:pPr>
      <w:r>
        <w:t>Amiri, S., Ghaffari, M., &amp; Shafiei, M. (2016). The effect of spiritual intelligence on psychological health among elderly people. Aging &amp; Mental Health, 20(6), 610-617.</w:t>
      </w:r>
    </w:p>
    <w:p w:rsidR="008908D0" w:rsidRPr="00FF2D3A" w:rsidRDefault="002D5E38" w:rsidP="00FF2D3A">
      <w:pPr>
        <w:pStyle w:val="References"/>
        <w:autoSpaceDE/>
        <w:autoSpaceDN/>
        <w:adjustRightInd/>
      </w:pPr>
      <w:r>
        <w:t xml:space="preserve">Atchison, K., et al. (2024). Detection of anxiety symptoms and disorders in older adults: A diagnostic accuracy systematic review. Age and Ageing. </w:t>
      </w:r>
      <w:hyperlink r:id="rId21" w:history="1">
        <w:r>
          <w:rPr>
            <w:rStyle w:val="Hyperlink"/>
          </w:rPr>
          <w:t>https://doi.org/10.1093/ageing/afae122</w:t>
        </w:r>
      </w:hyperlink>
    </w:p>
    <w:p w:rsidR="008908D0" w:rsidRPr="00FF2D3A" w:rsidRDefault="002D5E38" w:rsidP="00FF2D3A">
      <w:pPr>
        <w:pStyle w:val="References"/>
        <w:autoSpaceDE/>
        <w:autoSpaceDN/>
        <w:adjustRightInd/>
      </w:pPr>
      <w:r>
        <w:t xml:space="preserve">Atchley, R. C. (1989). A Continuity Theory of Normal Aging. The Gerontologist, 29(2), 183–190. </w:t>
      </w:r>
      <w:hyperlink r:id="rId22" w:history="1">
        <w:r>
          <w:rPr>
            <w:rStyle w:val="Hyperlink"/>
          </w:rPr>
          <w:t>https://doi.org/10.1093/geront/29.2.183</w:t>
        </w:r>
      </w:hyperlink>
    </w:p>
    <w:p w:rsidR="008908D0" w:rsidRPr="00FF2D3A" w:rsidRDefault="002D5E38" w:rsidP="00FF2D3A">
      <w:pPr>
        <w:pStyle w:val="References"/>
        <w:autoSpaceDE/>
        <w:autoSpaceDN/>
        <w:adjustRightInd/>
      </w:pPr>
      <w:r>
        <w:t xml:space="preserve">Atchley, R. C. (2016). Social Forces and Aging: An Introduction to Social Gerontology (14th </w:t>
      </w:r>
      <w:proofErr w:type="gramStart"/>
      <w:r>
        <w:t>ed</w:t>
      </w:r>
      <w:proofErr w:type="gramEnd"/>
      <w:r>
        <w:t>.). Cengage Learning.</w:t>
      </w:r>
    </w:p>
    <w:p w:rsidR="008908D0" w:rsidRPr="00FF2D3A" w:rsidRDefault="002D5E38" w:rsidP="00FF2D3A">
      <w:pPr>
        <w:pStyle w:val="References"/>
        <w:autoSpaceDE/>
        <w:autoSpaceDN/>
        <w:adjustRightInd/>
      </w:pPr>
      <w:r>
        <w:t>Beck, J. S., &amp; Haigh, E. A. P. (2014). Advances in Cognitive Theory and Therapy: The Generic Cognitive Model. Annual Review of Clinical Psychology, 10, 1–24.</w:t>
      </w:r>
    </w:p>
    <w:p w:rsidR="008908D0" w:rsidRPr="00FF2D3A" w:rsidRDefault="002D5E38" w:rsidP="00FF2D3A">
      <w:pPr>
        <w:pStyle w:val="References"/>
        <w:autoSpaceDE/>
        <w:autoSpaceDN/>
        <w:adjustRightInd/>
      </w:pPr>
      <w:r>
        <w:t xml:space="preserve">Bolton, D., &amp; Gillett, G. (2019). The biopsychosocial model of health and disease: New philosophical and scientific developments. Palgrave Macmillan. </w:t>
      </w:r>
      <w:hyperlink r:id="rId23" w:history="1">
        <w:r>
          <w:rPr>
            <w:rStyle w:val="Hyperlink"/>
          </w:rPr>
          <w:t>https://doi.org/10.1007/978-3-030-11899-0</w:t>
        </w:r>
      </w:hyperlink>
    </w:p>
    <w:p w:rsidR="008908D0" w:rsidRDefault="002D5E38" w:rsidP="00FF2D3A">
      <w:pPr>
        <w:pStyle w:val="References"/>
        <w:autoSpaceDE/>
        <w:autoSpaceDN/>
        <w:adjustRightInd/>
      </w:pPr>
      <w:r>
        <w:t xml:space="preserve">Carstensen, L. L. (2006). The influence of a sense of time on human development. Science, 312(5782), 1913–1915. </w:t>
      </w:r>
      <w:hyperlink r:id="rId24" w:history="1">
        <w:r>
          <w:rPr>
            <w:rStyle w:val="Hyperlink"/>
          </w:rPr>
          <w:t>https://doi.org/10.1126/science.1127488</w:t>
        </w:r>
      </w:hyperlink>
    </w:p>
    <w:p w:rsidR="008908D0" w:rsidRDefault="002D5E38" w:rsidP="00FF2D3A">
      <w:pPr>
        <w:pStyle w:val="References"/>
        <w:autoSpaceDE/>
        <w:autoSpaceDN/>
        <w:adjustRightInd/>
      </w:pPr>
      <w:r>
        <w:t xml:space="preserve">Carstensen, L. L. (2021). Socioemotional selectivity theory: The role of perceived endings in human motivation. The Gerontologist, 61(8), 1188–1196. </w:t>
      </w:r>
      <w:hyperlink r:id="rId25" w:history="1">
        <w:r>
          <w:rPr>
            <w:rStyle w:val="Hyperlink"/>
          </w:rPr>
          <w:t>https://doi.org/10.1093/geront/gnab116</w:t>
        </w:r>
      </w:hyperlink>
    </w:p>
    <w:p w:rsidR="008908D0" w:rsidRDefault="002D5E38" w:rsidP="00FF2D3A">
      <w:pPr>
        <w:pStyle w:val="References"/>
        <w:autoSpaceDE/>
        <w:autoSpaceDN/>
        <w:adjustRightInd/>
      </w:pPr>
      <w:r>
        <w:t xml:space="preserve">Carstensen, L. L., Isaacowitz, D. M., &amp; Charles, S. T. (1999). Taking time seriously: A theory of socioemotional selectivity. American Psychologist, 54(3), 165–181. </w:t>
      </w:r>
      <w:hyperlink r:id="rId26" w:history="1">
        <w:r>
          <w:rPr>
            <w:rStyle w:val="Hyperlink"/>
          </w:rPr>
          <w:t>https://doi.org/10.1037/0003-066X.54.3.165</w:t>
        </w:r>
      </w:hyperlink>
    </w:p>
    <w:p w:rsidR="008908D0" w:rsidRPr="00FF2D3A" w:rsidRDefault="002D5E38" w:rsidP="00FF2D3A">
      <w:pPr>
        <w:pStyle w:val="References"/>
        <w:autoSpaceDE/>
        <w:autoSpaceDN/>
        <w:adjustRightInd/>
      </w:pPr>
      <w:r>
        <w:t>Cumming, E., &amp; Henry, W. E. (1961). Growing Old: The Process of Disengagement. New York: Basic Books.</w:t>
      </w:r>
    </w:p>
    <w:p w:rsidR="008908D0" w:rsidRPr="00FF2D3A" w:rsidRDefault="002D5E38" w:rsidP="00FF2D3A">
      <w:pPr>
        <w:pStyle w:val="References"/>
        <w:autoSpaceDE/>
        <w:autoSpaceDN/>
        <w:adjustRightInd/>
      </w:pPr>
      <w:r>
        <w:t xml:space="preserve">Diener, E., Oishi, S., &amp; Tay, L. (2018). Advances in subjective well-being research. Nature Human Behaviour, 2(4), 253–260. </w:t>
      </w:r>
      <w:hyperlink r:id="rId27" w:history="1">
        <w:r>
          <w:rPr>
            <w:rStyle w:val="Hyperlink"/>
          </w:rPr>
          <w:t>https://doi.org/10.1038/s41562-018-0307-6</w:t>
        </w:r>
      </w:hyperlink>
    </w:p>
    <w:p w:rsidR="008908D0" w:rsidRPr="00FF2D3A" w:rsidRDefault="002D5E38" w:rsidP="00FF2D3A">
      <w:pPr>
        <w:pStyle w:val="References"/>
        <w:autoSpaceDE/>
        <w:autoSpaceDN/>
        <w:adjustRightInd/>
      </w:pPr>
      <w:r>
        <w:t>Dowd, J. J. (1975). Aging as Exchange: A Preface to Theory. Journal of Gerontology, 30(5), 584–594.</w:t>
      </w:r>
    </w:p>
    <w:p w:rsidR="008908D0" w:rsidRPr="000B73CB" w:rsidRDefault="002D5E38" w:rsidP="000B73CB">
      <w:pPr>
        <w:pStyle w:val="References"/>
        <w:autoSpaceDE/>
        <w:autoSpaceDN/>
        <w:adjustRightInd/>
      </w:pPr>
      <w:r>
        <w:t xml:space="preserve">Erikson, E. H. (1982). The Life Cycle </w:t>
      </w:r>
      <w:r w:rsidRPr="000B73CB">
        <w:t>Completed. New York: W. W. Norton.</w:t>
      </w:r>
    </w:p>
    <w:p w:rsidR="008908D0" w:rsidRPr="000B73CB" w:rsidRDefault="002D5E38" w:rsidP="000B73CB">
      <w:pPr>
        <w:pStyle w:val="References"/>
        <w:autoSpaceDE/>
        <w:autoSpaceDN/>
        <w:adjustRightInd/>
      </w:pPr>
      <w:r w:rsidRPr="000B73CB">
        <w:t>Erikson, E. H., Erikson, J. M., &amp; Kivnick, H. Q. (1986). Vital Involvement in Old Age. New York: W. W. Norton.</w:t>
      </w:r>
    </w:p>
    <w:p w:rsidR="008908D0" w:rsidRPr="000B73CB" w:rsidRDefault="002D5E38" w:rsidP="000B73CB">
      <w:pPr>
        <w:pStyle w:val="References"/>
        <w:autoSpaceDE/>
        <w:autoSpaceDN/>
        <w:adjustRightInd/>
      </w:pPr>
      <w:r w:rsidRPr="000B73CB">
        <w:lastRenderedPageBreak/>
        <w:t xml:space="preserve">Franceschi, C., Garagnani, P., Parini, P., Giuliani, C., &amp; Santoro, A. (2018). Inflammaging: A new immune–metabolic viewpoint for age-related diseases. Nature Reviews Endocrinology, 14(10), 576–590. </w:t>
      </w:r>
      <w:hyperlink r:id="rId28" w:history="1">
        <w:r w:rsidRPr="000B73CB">
          <w:t>https://doi.org/10.1038/s41574-018-0059-4</w:t>
        </w:r>
      </w:hyperlink>
    </w:p>
    <w:p w:rsidR="008908D0" w:rsidRPr="00FF2D3A" w:rsidRDefault="002D5E38" w:rsidP="000B73CB">
      <w:pPr>
        <w:pStyle w:val="References"/>
        <w:autoSpaceDE/>
        <w:autoSpaceDN/>
        <w:adjustRightInd/>
      </w:pPr>
      <w:r w:rsidRPr="000B73CB">
        <w:t xml:space="preserve">Goodarzi, F., Khoshravesh, S., Ayubi, </w:t>
      </w:r>
      <w:r>
        <w:t xml:space="preserve">E., Bashirian, S., &amp; Barati, M. (2024). Psychosocial determinants of functional independence among older adults: A systematic review and meta-analysis. Health Promotion Perspectives, 14(1), 32–43. </w:t>
      </w:r>
      <w:hyperlink r:id="rId29" w:history="1">
        <w:r w:rsidRPr="000B73CB">
          <w:t>https://doi.org/10.34172/hpp.42354</w:t>
        </w:r>
      </w:hyperlink>
    </w:p>
    <w:p w:rsidR="008908D0" w:rsidRPr="00FF2D3A" w:rsidRDefault="002D5E38" w:rsidP="00FF2D3A">
      <w:pPr>
        <w:pStyle w:val="References"/>
        <w:autoSpaceDE/>
        <w:autoSpaceDN/>
        <w:adjustRightInd/>
      </w:pPr>
      <w:r>
        <w:t xml:space="preserve">Halldórsson, B., &amp; Salkovskis, P. M. (2023). Reassurance and its alternatives: Overview and cognitive behavioural conceptualisation. Journal of Obsessive-Compulsive and Related Disorders, 36, 100783. </w:t>
      </w:r>
      <w:hyperlink r:id="rId30" w:history="1">
        <w:r>
          <w:rPr>
            <w:rStyle w:val="Hyperlink"/>
          </w:rPr>
          <w:t>https://doi.org/10.1016/j.jocrd.2023.100783</w:t>
        </w:r>
      </w:hyperlink>
    </w:p>
    <w:p w:rsidR="008908D0" w:rsidRPr="00FF2D3A" w:rsidRDefault="002D5E38" w:rsidP="00FF2D3A">
      <w:pPr>
        <w:pStyle w:val="References"/>
        <w:autoSpaceDE/>
        <w:autoSpaceDN/>
        <w:adjustRightInd/>
      </w:pPr>
      <w:r>
        <w:t>Harding, R., et al. (2005). The prevalence and burden of symptoms amongst cancer patients attending a palliative care day centre. Palliative Medicine, 19(6), 556–562.</w:t>
      </w:r>
    </w:p>
    <w:p w:rsidR="008908D0" w:rsidRPr="00FF2D3A" w:rsidRDefault="002D5E38" w:rsidP="00FF2D3A">
      <w:pPr>
        <w:pStyle w:val="References"/>
        <w:autoSpaceDE/>
        <w:autoSpaceDN/>
        <w:adjustRightInd/>
      </w:pPr>
      <w:r>
        <w:t xml:space="preserve">Havighurst, R. J. (1961). Successful aging. The Gerontologist, 1(1), 8–13. </w:t>
      </w:r>
      <w:hyperlink r:id="rId31" w:history="1">
        <w:r>
          <w:rPr>
            <w:rStyle w:val="Hyperlink"/>
          </w:rPr>
          <w:t>https://doi.org/10.1093/geront/1.1.8</w:t>
        </w:r>
      </w:hyperlink>
    </w:p>
    <w:p w:rsidR="008908D0" w:rsidRPr="00FF2D3A" w:rsidRDefault="002D5E38" w:rsidP="00FF2D3A">
      <w:pPr>
        <w:pStyle w:val="References"/>
        <w:autoSpaceDE/>
        <w:autoSpaceDN/>
        <w:adjustRightInd/>
      </w:pPr>
      <w:r>
        <w:t>Havighurst, R. J., Neugarten, B. L., &amp; Tobin, S. S. (1968). Disengagement and Patterns of Aging. In Middle Age and Aging.</w:t>
      </w:r>
    </w:p>
    <w:p w:rsidR="008908D0" w:rsidRPr="00FF2D3A" w:rsidRDefault="002D5E38" w:rsidP="00FF2D3A">
      <w:pPr>
        <w:pStyle w:val="References"/>
        <w:autoSpaceDE/>
        <w:autoSpaceDN/>
        <w:adjustRightInd/>
      </w:pPr>
      <w:r>
        <w:t>Hill, S., &amp; Watts, D. (2024). Googling and health anxiety in older age—</w:t>
      </w:r>
      <w:proofErr w:type="gramStart"/>
      <w:r>
        <w:t>A</w:t>
      </w:r>
      <w:proofErr w:type="gramEnd"/>
      <w:r>
        <w:t xml:space="preserve"> case study of CBT incorporating a single case experimental design. Clinical Case Reports, 12(8), e9316. </w:t>
      </w:r>
      <w:hyperlink r:id="rId32" w:history="1">
        <w:r>
          <w:rPr>
            <w:rStyle w:val="Hyperlink"/>
          </w:rPr>
          <w:t>https://doi.org/10.1002/ccr3.9316</w:t>
        </w:r>
      </w:hyperlink>
    </w:p>
    <w:p w:rsidR="008908D0" w:rsidRPr="00FF2D3A" w:rsidRDefault="002D5E38" w:rsidP="00FF2D3A">
      <w:pPr>
        <w:pStyle w:val="References"/>
        <w:autoSpaceDE/>
        <w:autoSpaceDN/>
        <w:adjustRightInd/>
      </w:pPr>
      <w:r>
        <w:t xml:space="preserve">Hooyman, N. R., &amp; Kiyak, H. A. (2015). Social Gerontology: A Multidisciplinary Perspective (10th </w:t>
      </w:r>
      <w:proofErr w:type="gramStart"/>
      <w:r>
        <w:t>ed</w:t>
      </w:r>
      <w:proofErr w:type="gramEnd"/>
      <w:r>
        <w:t>.).</w:t>
      </w:r>
    </w:p>
    <w:p w:rsidR="008908D0" w:rsidRDefault="002D5E38" w:rsidP="00FF2D3A">
      <w:pPr>
        <w:pStyle w:val="References"/>
        <w:autoSpaceDE/>
        <w:autoSpaceDN/>
        <w:adjustRightInd/>
      </w:pPr>
      <w:r>
        <w:t xml:space="preserve">Iverach, L., Menzies, R. G., &amp; Menzies, R. E. (2014). Death anxiety and its role in psychopathology: Reviewing the status of a transdiagnostic construct. Clinical Psychology Review, 34(7), 580–593. </w:t>
      </w:r>
      <w:hyperlink r:id="rId33" w:history="1">
        <w:r>
          <w:rPr>
            <w:rStyle w:val="Hyperlink"/>
          </w:rPr>
          <w:t>https://doi.org/10.1016/j.cpr.2014.09.002</w:t>
        </w:r>
      </w:hyperlink>
    </w:p>
    <w:p w:rsidR="008908D0" w:rsidRPr="00FF2D3A" w:rsidRDefault="002D5E38" w:rsidP="00FF2D3A">
      <w:pPr>
        <w:pStyle w:val="References"/>
        <w:autoSpaceDE/>
        <w:autoSpaceDN/>
        <w:adjustRightInd/>
      </w:pPr>
      <w:r>
        <w:t xml:space="preserve">Jafari-Koulaee, A., Mohammadi, E., Fox, M. T., Rasekhi, A., &amp; Akha, O. (2024). Predictors of basic and instrumental activities of daily living among older adults with multiple chronic conditions. BMC Geriatrics, 24, 383. </w:t>
      </w:r>
      <w:hyperlink r:id="rId34" w:history="1">
        <w:r>
          <w:rPr>
            <w:rStyle w:val="Hyperlink"/>
          </w:rPr>
          <w:t>https://doi.org/10.1186/s12877-024-04947-w</w:t>
        </w:r>
      </w:hyperlink>
    </w:p>
    <w:p w:rsidR="008908D0" w:rsidRPr="00FF2D3A" w:rsidRDefault="002D5E38" w:rsidP="00FF2D3A">
      <w:pPr>
        <w:pStyle w:val="References"/>
        <w:autoSpaceDE/>
        <w:autoSpaceDN/>
        <w:adjustRightInd/>
      </w:pPr>
      <w:r>
        <w:t>Jain, M., &amp; Purohit, P. (2006). Spiritual intelligence: A contemporary concern about the living conditions of the elderly. Indian journal of psychology, 81(1-2), 60-65.</w:t>
      </w:r>
    </w:p>
    <w:p w:rsidR="008908D0" w:rsidRPr="00FF2D3A" w:rsidRDefault="002D5E38" w:rsidP="00FF2D3A">
      <w:pPr>
        <w:pStyle w:val="References"/>
        <w:autoSpaceDE/>
        <w:autoSpaceDN/>
        <w:adjustRightInd/>
      </w:pPr>
      <w:r>
        <w:t xml:space="preserve">Johnco, C. J., Matovic, D., &amp; Wuthrich, V. M. (2024). Anxiety disorders in later life. Psychiatric Clinics of North America, 47(4), 741–752. </w:t>
      </w:r>
      <w:hyperlink r:id="rId35" w:history="1">
        <w:r>
          <w:rPr>
            <w:rStyle w:val="Hyperlink"/>
          </w:rPr>
          <w:t>https://doi.org/10.1016/j.psc.2024.04.015</w:t>
        </w:r>
      </w:hyperlink>
    </w:p>
    <w:p w:rsidR="008908D0" w:rsidRPr="00FF2D3A" w:rsidRDefault="002D5E38" w:rsidP="00FF2D3A">
      <w:pPr>
        <w:pStyle w:val="References"/>
        <w:autoSpaceDE/>
        <w:autoSpaceDN/>
        <w:adjustRightInd/>
      </w:pPr>
      <w:r>
        <w:t xml:space="preserve">Keyes, C. L. M. (2002). The mental health continuum: From languishing to flourishing in life. Journal of Health and Social Behavior, 43(2), 207–222. </w:t>
      </w:r>
      <w:hyperlink r:id="rId36" w:history="1">
        <w:r>
          <w:rPr>
            <w:rStyle w:val="Hyperlink"/>
          </w:rPr>
          <w:t>https://doi.org/10.2307/3090197</w:t>
        </w:r>
      </w:hyperlink>
    </w:p>
    <w:p w:rsidR="008908D0" w:rsidRPr="00FF2D3A" w:rsidRDefault="002D5E38" w:rsidP="00FF2D3A">
      <w:pPr>
        <w:pStyle w:val="References"/>
        <w:autoSpaceDE/>
        <w:autoSpaceDN/>
        <w:adjustRightInd/>
      </w:pPr>
      <w:r>
        <w:t xml:space="preserve">Kikas, K., Werner-Seidler, A., Upton, E., &amp; Newby, J. M. (2024). Illness anxiety disorder: A review of the current research and future directions. Current Psychiatry Reports, 26(7), 331–339. </w:t>
      </w:r>
      <w:hyperlink r:id="rId37" w:history="1">
        <w:r>
          <w:rPr>
            <w:rStyle w:val="Hyperlink"/>
          </w:rPr>
          <w:t>https://doi.org/10.1007/s11920-024-01507-2</w:t>
        </w:r>
      </w:hyperlink>
    </w:p>
    <w:p w:rsidR="008908D0" w:rsidRPr="00FF2D3A" w:rsidRDefault="002D5E38" w:rsidP="00FF2D3A">
      <w:pPr>
        <w:pStyle w:val="References"/>
        <w:autoSpaceDE/>
        <w:autoSpaceDN/>
        <w:adjustRightInd/>
      </w:pPr>
      <w:r>
        <w:lastRenderedPageBreak/>
        <w:t>Killingsworth, B., et al. (2023). Intolerance for uncertainty mediates death anxiety and hypochondriasis in older adults. Innovation in Aging, 7(Supplement_1).</w:t>
      </w:r>
    </w:p>
    <w:p w:rsidR="008908D0" w:rsidRPr="00FF2D3A" w:rsidRDefault="002D5E38" w:rsidP="00FF2D3A">
      <w:pPr>
        <w:pStyle w:val="References"/>
        <w:autoSpaceDE/>
        <w:autoSpaceDN/>
        <w:adjustRightInd/>
      </w:pPr>
      <w:r>
        <w:t>King, D. B., &amp; DeCicco, T. L. (2009). A viable model and self-report measure of spiritual intelligence. International Journal of Transpersonal Studies, 28, 68–85.</w:t>
      </w:r>
    </w:p>
    <w:p w:rsidR="008908D0" w:rsidRPr="00FF2D3A" w:rsidRDefault="002D5E38" w:rsidP="00FF2D3A">
      <w:pPr>
        <w:pStyle w:val="References"/>
        <w:autoSpaceDE/>
        <w:autoSpaceDN/>
        <w:adjustRightInd/>
      </w:pPr>
      <w:r>
        <w:t>Koenig, H. G. (2023). Religion, Spirituality, and Health: Research and Clinical Implications. International Journal of Psychiatry in Medicine.</w:t>
      </w:r>
    </w:p>
    <w:p w:rsidR="008908D0" w:rsidRPr="00FF2D3A" w:rsidRDefault="002D5E38" w:rsidP="00FF2D3A">
      <w:pPr>
        <w:pStyle w:val="References"/>
        <w:autoSpaceDE/>
        <w:autoSpaceDN/>
        <w:adjustRightInd/>
      </w:pPr>
      <w:r>
        <w:t xml:space="preserve">Krejcie, R. V., &amp; Morgan, D. W. (1970). Determining sample size for research activities. Educational and Psychological Measurement, 30(3), 607–610. </w:t>
      </w:r>
      <w:hyperlink r:id="rId38" w:history="1">
        <w:r>
          <w:rPr>
            <w:rStyle w:val="Hyperlink"/>
          </w:rPr>
          <w:t>https://doi.org/10.1177/001316447003000308</w:t>
        </w:r>
      </w:hyperlink>
    </w:p>
    <w:p w:rsidR="008908D0" w:rsidRPr="00FF2D3A" w:rsidRDefault="002D5E38" w:rsidP="00FF2D3A">
      <w:pPr>
        <w:pStyle w:val="References"/>
        <w:autoSpaceDE/>
        <w:autoSpaceDN/>
        <w:adjustRightInd/>
      </w:pPr>
      <w:r>
        <w:t>Levin, J., Chatters, L. M., &amp; Taylor, R. J. (2011). Theory in religion, aging, and health: An overview. Journal of Religion and Health, 50(2), 389–406.</w:t>
      </w:r>
    </w:p>
    <w:p w:rsidR="008908D0" w:rsidRPr="00FF2D3A" w:rsidRDefault="002D5E38" w:rsidP="00FF2D3A">
      <w:pPr>
        <w:pStyle w:val="References"/>
        <w:autoSpaceDE/>
        <w:autoSpaceDN/>
        <w:adjustRightInd/>
      </w:pPr>
      <w:r>
        <w:t xml:space="preserve">Liu, Y., Zhang, X., Fu, X., Li, W., Wang, Y., &amp; Lu, W. (2025). Successful aging rates of global older adults: A systematic review and meta-analysis. Journal of the American Medical Directors Association, 26(6), 105334. . </w:t>
      </w:r>
      <w:hyperlink r:id="rId39" w:history="1">
        <w:r>
          <w:rPr>
            <w:rStyle w:val="Hyperlink"/>
          </w:rPr>
          <w:t>https://doi.org/10.1016/j.jamda.2024.105334</w:t>
        </w:r>
      </w:hyperlink>
    </w:p>
    <w:p w:rsidR="008908D0" w:rsidRPr="00FF2D3A" w:rsidRDefault="002D5E38" w:rsidP="00FF2D3A">
      <w:pPr>
        <w:pStyle w:val="References"/>
        <w:autoSpaceDE/>
        <w:autoSpaceDN/>
        <w:adjustRightInd/>
      </w:pPr>
      <w:r>
        <w:t xml:space="preserve">Lou, Y., Yang, &amp; Ma. (2025). A network meta-analysis of different psychological therapies for death anxiety in older adults. OMEGA—Journal of Death and Dying. </w:t>
      </w:r>
      <w:hyperlink r:id="rId40" w:history="1">
        <w:r>
          <w:rPr>
            <w:rStyle w:val="Hyperlink"/>
          </w:rPr>
          <w:t>https://pubmed.ncbi.nlm.nih.gov/39900466/</w:t>
        </w:r>
      </w:hyperlink>
    </w:p>
    <w:p w:rsidR="008908D0" w:rsidRPr="00FF2D3A" w:rsidRDefault="002D5E38" w:rsidP="00FF2D3A">
      <w:pPr>
        <w:pStyle w:val="References"/>
        <w:autoSpaceDE/>
        <w:autoSpaceDN/>
        <w:adjustRightInd/>
      </w:pPr>
      <w:r>
        <w:t xml:space="preserve">López-Otín, C., Blasco, M. A., Partridge, L., Serrano, M., &amp; Kroemer, G. (2023). Hallmarks of Aging: An Expanding Universe. Cell. </w:t>
      </w:r>
      <w:hyperlink r:id="rId41" w:history="1">
        <w:r>
          <w:rPr>
            <w:rStyle w:val="Hyperlink"/>
          </w:rPr>
          <w:t>https://doi.org/10.1016/j.cell.2022.11.001</w:t>
        </w:r>
      </w:hyperlink>
    </w:p>
    <w:p w:rsidR="008908D0" w:rsidRPr="00FF2D3A" w:rsidRDefault="002D5E38" w:rsidP="00FF2D3A">
      <w:pPr>
        <w:pStyle w:val="References"/>
        <w:autoSpaceDE/>
        <w:autoSpaceDN/>
        <w:adjustRightInd/>
      </w:pPr>
      <w:r>
        <w:t>Mayer, J. D., &amp; Salovey, P. (2020). The Intelligence of Emotional Intelligence.</w:t>
      </w:r>
    </w:p>
    <w:p w:rsidR="008908D0" w:rsidRDefault="002D5E38" w:rsidP="00FF2D3A">
      <w:pPr>
        <w:pStyle w:val="References"/>
        <w:autoSpaceDE/>
        <w:autoSpaceDN/>
        <w:adjustRightInd/>
      </w:pPr>
      <w:r>
        <w:t xml:space="preserve">Menzies, R. E., &amp; Menzies, R. G. (2020). Death anxiety in the time of COVID-19: Theoretical explanations and clinical implications. The Cognitive Behaviour Therapist, 13, e19. </w:t>
      </w:r>
      <w:hyperlink r:id="rId42" w:history="1">
        <w:r>
          <w:rPr>
            <w:rStyle w:val="Hyperlink"/>
          </w:rPr>
          <w:t>https://doi.org/10.1017/S1754470X20000215</w:t>
        </w:r>
      </w:hyperlink>
    </w:p>
    <w:p w:rsidR="008908D0" w:rsidRPr="00FF2D3A" w:rsidRDefault="002D5E38" w:rsidP="00FF2D3A">
      <w:pPr>
        <w:pStyle w:val="References"/>
        <w:autoSpaceDE/>
        <w:autoSpaceDN/>
        <w:adjustRightInd/>
      </w:pPr>
      <w:r>
        <w:t xml:space="preserve">Miri, S., Farhadi, B., Takasi, P., Ghorbani Vajargah, P., &amp; Karkhah, S. (2024). Physical independence and related factors among older adults: A systematic review and meta-analysis. Annals of Medicine &amp; Surgery, 86(6), 3400–3408. </w:t>
      </w:r>
      <w:hyperlink r:id="rId43" w:history="1">
        <w:r>
          <w:rPr>
            <w:rStyle w:val="Hyperlink"/>
          </w:rPr>
          <w:t>https://doi.org/10.1097/MS9.0000000000002100</w:t>
        </w:r>
      </w:hyperlink>
    </w:p>
    <w:p w:rsidR="008908D0" w:rsidRPr="00FF2D3A" w:rsidRDefault="002D5E38" w:rsidP="00FF2D3A">
      <w:pPr>
        <w:pStyle w:val="References"/>
        <w:autoSpaceDE/>
        <w:autoSpaceDN/>
        <w:adjustRightInd/>
      </w:pPr>
      <w:r>
        <w:t xml:space="preserve">Mohamadzadeh, M., Zanjari, N., Delbari, A., Foroughan, M., &amp; Tabesh, H. (2024). Factors associated with subjective successful aging among Iranian older adults: A cross-sectional analysis. Iranian Journal of Nursing and Midwifery Research, 29(5), 583–589. </w:t>
      </w:r>
      <w:hyperlink r:id="rId44" w:history="1">
        <w:r>
          <w:rPr>
            <w:rStyle w:val="Hyperlink"/>
          </w:rPr>
          <w:t>https://doi.org/10.4103/ijnmr.ijnmr_260_23</w:t>
        </w:r>
      </w:hyperlink>
    </w:p>
    <w:p w:rsidR="008908D0" w:rsidRPr="00FF2D3A" w:rsidRDefault="002D5E38" w:rsidP="00FF2D3A">
      <w:pPr>
        <w:pStyle w:val="References"/>
        <w:autoSpaceDE/>
        <w:autoSpaceDN/>
        <w:adjustRightInd/>
      </w:pPr>
      <w:r>
        <w:t>Mohammadi, M., Bahrami, F., &amp; Abedi, M. R. (2019). The role of spirituality, mental health and quality of life in predicting death anxiety in the elderly. Iranian Journal of Psychiatry and Behavioral Sciences, 13(2), e82350.</w:t>
      </w:r>
    </w:p>
    <w:p w:rsidR="008908D0" w:rsidRPr="00FF2D3A" w:rsidRDefault="002D5E38" w:rsidP="00FF2D3A">
      <w:pPr>
        <w:pStyle w:val="References"/>
        <w:autoSpaceDE/>
        <w:autoSpaceDN/>
        <w:adjustRightInd/>
      </w:pPr>
      <w:r>
        <w:t>Moreira-Almeida, A., &amp; Koenig, H. G. (2006). Retaining the meaning of the words religiousness and spirituality: A commentary on the WHOQOL SRPB group’s cross-cultural study. Social Science &amp; Medicine, 63(4), 843–845.</w:t>
      </w:r>
    </w:p>
    <w:p w:rsidR="008908D0" w:rsidRDefault="002D5E38" w:rsidP="00FF2D3A">
      <w:pPr>
        <w:pStyle w:val="References"/>
        <w:autoSpaceDE/>
        <w:autoSpaceDN/>
        <w:adjustRightInd/>
      </w:pPr>
      <w:r>
        <w:lastRenderedPageBreak/>
        <w:t xml:space="preserve">Pyszczynski, T., Lockett, M., Greenberg, J., &amp; Solomon, S. (2021). Terror management theory and the COVID-19 pandemic. Journal of Humanistic Psychology, 61(2), 173–189. </w:t>
      </w:r>
      <w:hyperlink r:id="rId45" w:history="1">
        <w:r>
          <w:rPr>
            <w:rStyle w:val="Hyperlink"/>
          </w:rPr>
          <w:t>https://doi.org/10.1177/0022167820959488</w:t>
        </w:r>
      </w:hyperlink>
    </w:p>
    <w:p w:rsidR="008908D0" w:rsidRDefault="002D5E38" w:rsidP="00FF2D3A">
      <w:pPr>
        <w:pStyle w:val="References"/>
        <w:autoSpaceDE/>
        <w:autoSpaceDN/>
        <w:adjustRightInd/>
      </w:pPr>
      <w:r>
        <w:t xml:space="preserve">Reed, A. E., Chan, L., &amp; Mikels, J. A. (2014). Meta-analysis of the age-related positivity effect: Age differences in preferences for positive over negative information. Psychology and Aging, 29(1), 1–15. </w:t>
      </w:r>
      <w:hyperlink r:id="rId46" w:history="1">
        <w:r>
          <w:rPr>
            <w:rStyle w:val="Hyperlink"/>
          </w:rPr>
          <w:t>https://doi.org/10.1037/a0035194</w:t>
        </w:r>
      </w:hyperlink>
    </w:p>
    <w:p w:rsidR="008908D0" w:rsidRDefault="002D5E38" w:rsidP="00FF2D3A">
      <w:pPr>
        <w:pStyle w:val="References"/>
        <w:autoSpaceDE/>
        <w:autoSpaceDN/>
        <w:adjustRightInd/>
      </w:pPr>
      <w:r>
        <w:t xml:space="preserve">Rowe, J. W., &amp; Kahn, R. L. (2015). Successful aging 2.0: Conceptual expansions for the 21st century. The Journals of Gerontology, Series B, 70(4), 593–596. </w:t>
      </w:r>
      <w:hyperlink r:id="rId47" w:history="1">
        <w:r>
          <w:rPr>
            <w:rStyle w:val="Hyperlink"/>
          </w:rPr>
          <w:t>https://doi.org/10.1093/geronb/gbv025</w:t>
        </w:r>
      </w:hyperlink>
    </w:p>
    <w:p w:rsidR="008908D0" w:rsidRDefault="002D5E38" w:rsidP="00FF2D3A">
      <w:pPr>
        <w:pStyle w:val="References"/>
        <w:autoSpaceDE/>
        <w:autoSpaceDN/>
        <w:adjustRightInd/>
      </w:pPr>
      <w:r>
        <w:t xml:space="preserve">Stuart, S., &amp; Noyes, R., Jr. (1999). Attachment and interpersonal communication in somatization. Psychosomatics, 40(1), 34–43. </w:t>
      </w:r>
      <w:hyperlink r:id="rId48" w:history="1">
        <w:r>
          <w:rPr>
            <w:rStyle w:val="Hyperlink"/>
          </w:rPr>
          <w:t>https://doi.org/10.1016/S0033-3182(99)71269-7</w:t>
        </w:r>
      </w:hyperlink>
    </w:p>
    <w:p w:rsidR="008908D0" w:rsidRDefault="002D5E38" w:rsidP="00FF2D3A">
      <w:pPr>
        <w:pStyle w:val="References"/>
        <w:autoSpaceDE/>
        <w:autoSpaceDN/>
        <w:adjustRightInd/>
      </w:pPr>
      <w:r>
        <w:t xml:space="preserve">Warwick, H. M. C., &amp; Salkovskis, P. M. (1990). Hypochondriasis. Behaviour Research and Therapy, 28(2), 105–117. </w:t>
      </w:r>
      <w:hyperlink r:id="rId49" w:history="1">
        <w:r>
          <w:rPr>
            <w:rStyle w:val="Hyperlink"/>
          </w:rPr>
          <w:t>https://doi.org/10.1016/0005-7967(90)90023-c</w:t>
        </w:r>
      </w:hyperlink>
    </w:p>
    <w:p w:rsidR="008908D0" w:rsidRDefault="002D5E38" w:rsidP="00FF2D3A">
      <w:pPr>
        <w:pStyle w:val="References"/>
        <w:autoSpaceDE/>
        <w:autoSpaceDN/>
        <w:adjustRightInd/>
      </w:pPr>
      <w:r>
        <w:t xml:space="preserve">Westerhof, G. J., Bohlmeijer, E. T., &amp; McAdams, D. P. (2017). The relation of ego integrity and despair to personality traits and mental health. The Journals of Gerontology, Series B, 72(3), 400–407. </w:t>
      </w:r>
      <w:hyperlink r:id="rId50" w:history="1">
        <w:r>
          <w:rPr>
            <w:rStyle w:val="Hyperlink"/>
          </w:rPr>
          <w:t>https://doi.org/10.1093/geronb/gbv062</w:t>
        </w:r>
      </w:hyperlink>
    </w:p>
    <w:p w:rsidR="008908D0" w:rsidRDefault="002D5E38" w:rsidP="00FF2D3A">
      <w:pPr>
        <w:pStyle w:val="References"/>
        <w:autoSpaceDE/>
        <w:autoSpaceDN/>
        <w:adjustRightInd/>
      </w:pPr>
      <w:r>
        <w:t>Wong, P. T. P. (2008). Meaning management theory and death acceptance. In A. Tomer, G. T. Eliason, &amp; P. T. P. Wong (Eds.), Existential and spiritual issues in death attitudes (pp. 65–87). Erlbaum.</w:t>
      </w:r>
    </w:p>
    <w:p w:rsidR="008908D0" w:rsidRDefault="002D5E38">
      <w:pPr>
        <w:pStyle w:val="References"/>
        <w:autoSpaceDE/>
        <w:autoSpaceDN/>
        <w:adjustRightInd/>
      </w:pPr>
      <w:r>
        <w:t xml:space="preserve">Çarıkçı-Özgül, D. N., &amp; Işık, Ü. (2024). Exploring adult attachment and anxiety: The role of intolerance of uncertainty and social support. Current Psychology, 43, 18612–18620. </w:t>
      </w:r>
      <w:hyperlink r:id="rId51" w:history="1">
        <w:r>
          <w:rPr>
            <w:rStyle w:val="Hyperlink"/>
          </w:rPr>
          <w:t>https://doi.org/10.1007/s12144-024-05659-5</w:t>
        </w:r>
      </w:hyperlink>
    </w:p>
    <w:p w:rsidR="008908D0" w:rsidRDefault="002D5E38">
      <w:pPr>
        <w:pStyle w:val="References"/>
        <w:spacing w:before="240"/>
      </w:pPr>
      <w:r>
        <w:t xml:space="preserve">Noyes, R., Jr., Stuart, S., Longley, S. L., Langbehn, D. R., &amp; Happel, R. L. (2002). Hypochondriasis and fear of death. Journal of Nervous and Mental Disease, 190(8), 503–509. </w:t>
      </w:r>
      <w:hyperlink r:id="rId52" w:history="1">
        <w:r>
          <w:rPr>
            <w:rStyle w:val="Hyperlink"/>
          </w:rPr>
          <w:t>https://doi.org/10.1097/00005053-200208000-00002</w:t>
        </w:r>
      </w:hyperlink>
    </w:p>
    <w:p w:rsidR="008908D0" w:rsidRDefault="002D5E38">
      <w:pPr>
        <w:pStyle w:val="References"/>
        <w:spacing w:after="160"/>
      </w:pPr>
      <w:r>
        <w:t xml:space="preserve">Pinto, C. T., Guedes, L., Pinto, S., &amp; Nunes, R. (2024). Spiritual intelligence: A scoping review on the gateway to mental health. Global Health Action, 17(1), 2362310. </w:t>
      </w:r>
      <w:hyperlink r:id="rId53" w:history="1">
        <w:r>
          <w:rPr>
            <w:rStyle w:val="Hyperlink"/>
          </w:rPr>
          <w:t>https://doi.org/10.1080/16549716.2024.2362310</w:t>
        </w:r>
      </w:hyperlink>
    </w:p>
    <w:p w:rsidR="008908D0" w:rsidRDefault="002D5E38">
      <w:pPr>
        <w:pStyle w:val="References"/>
        <w:spacing w:after="160"/>
      </w:pPr>
      <w:r>
        <w:t xml:space="preserve">Rule, A., Abbey, C., Wang, H., Rozelle, S., &amp; Singh, M. K. (2024). Measurement of flourishing: A scoping review. Frontiers in Psychology, 15, 1293943. </w:t>
      </w:r>
      <w:hyperlink r:id="rId54" w:history="1">
        <w:r>
          <w:rPr>
            <w:rStyle w:val="Hyperlink"/>
          </w:rPr>
          <w:t>https://doi.org/10.3389/fpsyg.2024.1293943</w:t>
        </w:r>
      </w:hyperlink>
    </w:p>
    <w:p w:rsidR="008908D0" w:rsidRDefault="002D5E38">
      <w:pPr>
        <w:pStyle w:val="References"/>
        <w:spacing w:after="160"/>
      </w:pPr>
      <w:r>
        <w:t>Ryan, R. M., &amp; Deci, E. L. (2017). Self-determination theory: Basic psychological needs in motivation, development, and wellness. Guilford Press.</w:t>
      </w:r>
    </w:p>
    <w:p w:rsidR="008908D0" w:rsidRDefault="002D5E38">
      <w:pPr>
        <w:pStyle w:val="References"/>
        <w:spacing w:after="160"/>
      </w:pPr>
      <w:r>
        <w:t xml:space="preserve">Ryff, C. D. (2024). The privilege of well-being in an increasingly unequal society. Current Directions in Psychological Science, 33(5), 300–307. </w:t>
      </w:r>
      <w:hyperlink r:id="rId55" w:history="1">
        <w:r>
          <w:rPr>
            <w:rStyle w:val="Hyperlink"/>
          </w:rPr>
          <w:t>https://doi.org/10.1177/09637214241266818</w:t>
        </w:r>
      </w:hyperlink>
    </w:p>
    <w:p w:rsidR="008908D0" w:rsidRDefault="002D5E38">
      <w:pPr>
        <w:pStyle w:val="References"/>
        <w:spacing w:after="160"/>
      </w:pPr>
      <w:r>
        <w:t xml:space="preserve">Shafiee, A., Mohammadi, I., Rajai, S., Jafarabady, K., &amp; Abdollahi, A. (2025). Global prevalence of anxiety symptoms and its associated factors in older adults: A </w:t>
      </w:r>
      <w:r>
        <w:lastRenderedPageBreak/>
        <w:t xml:space="preserve">systematic review and meta-analysis. Journal of General and Family Medicine, 26(2), 116–127. </w:t>
      </w:r>
      <w:hyperlink r:id="rId56" w:history="1">
        <w:r>
          <w:rPr>
            <w:rStyle w:val="Hyperlink"/>
          </w:rPr>
          <w:t>https://doi.org/10.1002/jgf2.750</w:t>
        </w:r>
      </w:hyperlink>
    </w:p>
    <w:p w:rsidR="008908D0" w:rsidRDefault="002D5E38">
      <w:pPr>
        <w:pStyle w:val="References"/>
        <w:spacing w:after="160"/>
      </w:pPr>
      <w:r>
        <w:t>Stavrova, O., Fetchenhauer, D., &amp; Schlosser, T. (2012). Why are religious people happy? The effect of the social norm of religiosity across countries. Social Science Research, 3.</w:t>
      </w:r>
    </w:p>
    <w:p w:rsidR="008908D0" w:rsidRDefault="002D5E38">
      <w:pPr>
        <w:pStyle w:val="References"/>
        <w:spacing w:after="160"/>
      </w:pPr>
      <w:r>
        <w:t>Sternberg, R. J. (2021). Adaptive Intelligence: Surviving and Thriving in Times of Uncertainty. Cambridge University Press.</w:t>
      </w:r>
    </w:p>
    <w:p w:rsidR="008908D0" w:rsidRDefault="002D5E38">
      <w:pPr>
        <w:pStyle w:val="References"/>
        <w:spacing w:after="160"/>
      </w:pPr>
      <w:r>
        <w:t>Saad, Z. M., Hatta, Z. A., &amp; Mohamad, N. (2010). The impact of spiritual intelligence on the health of the elderly in Malaysia. Asian Social Work and Policy Review, 4(2), 84–97.</w:t>
      </w:r>
    </w:p>
    <w:p w:rsidR="008908D0" w:rsidRDefault="002D5E38">
      <w:pPr>
        <w:pStyle w:val="References"/>
        <w:spacing w:after="160"/>
      </w:pPr>
      <w:r>
        <w:t>Taylor, S., &amp; Asmundson, G. J. G. (2021). Treating Health Anxiety: A Cognitive-Behavioral Approach. Guilford Press.</w:t>
      </w:r>
    </w:p>
    <w:p w:rsidR="008908D0" w:rsidRDefault="002D5E38">
      <w:pPr>
        <w:pStyle w:val="References"/>
        <w:spacing w:after="160"/>
      </w:pPr>
      <w:r>
        <w:t xml:space="preserve">Templer, D. I. (1970). The construction and validation of a Death Anxiety Scale. The Journal of General Psychology, 82(2), 165–177. </w:t>
      </w:r>
      <w:hyperlink r:id="rId57" w:history="1">
        <w:r>
          <w:rPr>
            <w:rStyle w:val="Hyperlink"/>
          </w:rPr>
          <w:t>https://doi.org/10.1080/00221309.1970.9920634</w:t>
        </w:r>
      </w:hyperlink>
    </w:p>
    <w:p w:rsidR="008908D0" w:rsidRDefault="002D5E38">
      <w:pPr>
        <w:pStyle w:val="References"/>
        <w:autoSpaceDE/>
        <w:autoSpaceDN/>
        <w:adjustRightInd/>
        <w:rPr>
          <w:color w:val="auto"/>
        </w:rPr>
      </w:pPr>
      <w:r>
        <w:t>Tomer, A., &amp; Eliason, G. (2000). Attitudes toward death: A developmental perspective. Springer Publishing Company.</w:t>
      </w:r>
    </w:p>
    <w:p w:rsidR="008908D0" w:rsidRDefault="002D5E38">
      <w:pPr>
        <w:pStyle w:val="References"/>
        <w:autoSpaceDE/>
        <w:autoSpaceDN/>
        <w:adjustRightInd/>
        <w:rPr>
          <w:color w:val="auto"/>
        </w:rPr>
      </w:pPr>
      <w:r>
        <w:t>United Nations Department of Economic and Social Affairs, Population Division. (2024). World population prospects 2024: Summary of results. United Nations.</w:t>
      </w:r>
    </w:p>
    <w:p w:rsidR="008908D0" w:rsidRDefault="002D5E38">
      <w:pPr>
        <w:pStyle w:val="References"/>
        <w:autoSpaceDE/>
        <w:autoSpaceDN/>
        <w:adjustRightInd/>
        <w:rPr>
          <w:color w:val="auto"/>
        </w:rPr>
      </w:pPr>
      <w:r>
        <w:t xml:space="preserve">United Nations Population Fund. (2026). Population ageing and disabilities: Islamic Republic of Iran. UNFPA Iran. </w:t>
      </w:r>
      <w:hyperlink r:id="rId58" w:history="1">
        <w:r>
          <w:rPr>
            <w:rStyle w:val="Hyperlink"/>
          </w:rPr>
          <w:t>https://iran.unfpa.org/en/topics/population-ageing-and-disabilities</w:t>
        </w:r>
      </w:hyperlink>
    </w:p>
    <w:p w:rsidR="008908D0" w:rsidRDefault="002D5E38">
      <w:pPr>
        <w:pStyle w:val="References"/>
        <w:autoSpaceDE/>
        <w:autoSpaceDN/>
        <w:adjustRightInd/>
        <w:rPr>
          <w:color w:val="auto"/>
        </w:rPr>
      </w:pPr>
      <w:r>
        <w:t>United Nations. (2023). World Social Report 2023: Leaving No One Behind in an Ageing World.</w:t>
      </w:r>
    </w:p>
    <w:p w:rsidR="008908D0" w:rsidRDefault="002D5E38">
      <w:pPr>
        <w:pStyle w:val="References"/>
        <w:autoSpaceDE/>
        <w:autoSpaceDN/>
        <w:adjustRightInd/>
        <w:rPr>
          <w:color w:val="auto"/>
        </w:rPr>
      </w:pPr>
      <w:r>
        <w:t xml:space="preserve">Valsala, P., &amp; Menon, P. (2023). Psychospiritual basis of altruism: A review. Journal of Humanistic Psychology, 63(3), 344–363. </w:t>
      </w:r>
      <w:hyperlink r:id="rId59" w:history="1">
        <w:r>
          <w:rPr>
            <w:rStyle w:val="Hyperlink"/>
          </w:rPr>
          <w:t>https://doi.org/10.1177/0022167819830517</w:t>
        </w:r>
      </w:hyperlink>
    </w:p>
    <w:p w:rsidR="008908D0" w:rsidRDefault="002D5E38">
      <w:pPr>
        <w:pStyle w:val="References"/>
        <w:autoSpaceDE/>
        <w:autoSpaceDN/>
        <w:adjustRightInd/>
        <w:rPr>
          <w:color w:val="auto"/>
        </w:rPr>
      </w:pPr>
      <w:r>
        <w:t xml:space="preserve">Wagenseller, J. P. (2024). Spiritual aspects of Jungian analytical psychology: Individuation, Jung’s psychological equivalent of a spiritual journey. In L. J. Miller (Ed.), The Oxford handbook of psychology and spirituality (2nd ed., pp. 415–450). Oxford University Press. </w:t>
      </w:r>
      <w:hyperlink r:id="rId60" w:history="1">
        <w:r>
          <w:rPr>
            <w:rStyle w:val="Hyperlink"/>
          </w:rPr>
          <w:t>https://doi.org/10.1093/oxfordhb/9780190905538.013.18</w:t>
        </w:r>
      </w:hyperlink>
    </w:p>
    <w:p w:rsidR="008908D0" w:rsidRDefault="002D5E38">
      <w:pPr>
        <w:pStyle w:val="References"/>
        <w:autoSpaceDE/>
        <w:autoSpaceDN/>
        <w:adjustRightInd/>
        <w:rPr>
          <w:color w:val="auto"/>
        </w:rPr>
      </w:pPr>
      <w:r>
        <w:t xml:space="preserve">Wang, S., Lin, J., Kuang, L., Yang, X., Yu, B., &amp; Cui, Y. (2024). Risk factors for social isolation in older adults: A systematic review and meta-analysis. Public Health Nursing, 41(2), 200–208. </w:t>
      </w:r>
      <w:hyperlink r:id="rId61" w:history="1">
        <w:r>
          <w:rPr>
            <w:rStyle w:val="Hyperlink"/>
          </w:rPr>
          <w:t>https://doi.org/10.1111/phn.13266</w:t>
        </w:r>
      </w:hyperlink>
    </w:p>
    <w:p w:rsidR="008908D0" w:rsidRDefault="002D5E38">
      <w:pPr>
        <w:pStyle w:val="References"/>
        <w:autoSpaceDE/>
        <w:autoSpaceDN/>
        <w:adjustRightInd/>
        <w:rPr>
          <w:color w:val="auto"/>
        </w:rPr>
      </w:pPr>
      <w:r>
        <w:t xml:space="preserve">World Health Organization. (2025, October 1). Ageing and health. </w:t>
      </w:r>
      <w:hyperlink r:id="rId62" w:history="1">
        <w:r>
          <w:rPr>
            <w:rStyle w:val="Hyperlink"/>
          </w:rPr>
          <w:t>https://www.who.int/news-room/fact-sheets/detail/ageing-and-health</w:t>
        </w:r>
      </w:hyperlink>
    </w:p>
    <w:p w:rsidR="008908D0" w:rsidRDefault="002D5E38">
      <w:pPr>
        <w:pStyle w:val="References"/>
        <w:autoSpaceDE/>
        <w:autoSpaceDN/>
        <w:adjustRightInd/>
        <w:rPr>
          <w:color w:val="auto"/>
        </w:rPr>
      </w:pPr>
      <w:r>
        <w:t>World Health Organization. (2022). World mental health report: Transforming mental health for all. World Health Organization.</w:t>
      </w:r>
    </w:p>
    <w:p w:rsidR="008908D0" w:rsidRDefault="002D5E38">
      <w:pPr>
        <w:pStyle w:val="References"/>
        <w:autoSpaceDE/>
        <w:autoSpaceDN/>
        <w:adjustRightInd/>
        <w:rPr>
          <w:color w:val="auto"/>
        </w:rPr>
      </w:pPr>
      <w:r>
        <w:t>World Health Organization. (2023). Healthy ageing: A priority for delivering universal health coverage. Geneva: World Health Organization.</w:t>
      </w:r>
    </w:p>
    <w:p w:rsidR="008908D0" w:rsidRDefault="002D5E38">
      <w:pPr>
        <w:pStyle w:val="References"/>
        <w:autoSpaceDE/>
        <w:autoSpaceDN/>
        <w:adjustRightInd/>
        <w:rPr>
          <w:color w:val="auto"/>
        </w:rPr>
      </w:pPr>
      <w:r>
        <w:lastRenderedPageBreak/>
        <w:t xml:space="preserve">World Health Organization. (2025, October 8). Mental health of older adults. </w:t>
      </w:r>
      <w:hyperlink r:id="rId63" w:history="1">
        <w:r>
          <w:rPr>
            <w:rStyle w:val="Hyperlink"/>
          </w:rPr>
          <w:t>https://www.who.int/news-room/fact-sheets/detail/mental-health-of-older-adults</w:t>
        </w:r>
      </w:hyperlink>
    </w:p>
    <w:p w:rsidR="008908D0" w:rsidRDefault="002D5E38">
      <w:pPr>
        <w:pStyle w:val="References"/>
        <w:autoSpaceDE/>
        <w:autoSpaceDN/>
        <w:adjustRightInd/>
        <w:rPr>
          <w:color w:val="auto"/>
        </w:rPr>
      </w:pPr>
      <w:r>
        <w:t>Yalom, I. D. (1980). Existential Psychotherapy. New York: Basic Books.</w:t>
      </w:r>
    </w:p>
    <w:p w:rsidR="008908D0" w:rsidRDefault="002D5E38">
      <w:pPr>
        <w:pStyle w:val="References"/>
        <w:autoSpaceDE/>
        <w:autoSpaceDN/>
        <w:adjustRightInd/>
        <w:rPr>
          <w:color w:val="auto"/>
        </w:rPr>
      </w:pPr>
      <w:r>
        <w:t>Yonker, J. E., Schnabelrauch, C. A., &amp; Dehaan, L. G. (2012). The relationship between spirituality and religiosity on psychological outcomes in adolescents and emerging adults: A meta-analytic review. Journal of Adolescence, 35: 299-314.</w:t>
      </w:r>
    </w:p>
    <w:p w:rsidR="008908D0" w:rsidRDefault="002D5E38">
      <w:pPr>
        <w:pStyle w:val="References"/>
        <w:autoSpaceDE/>
        <w:autoSpaceDN/>
        <w:adjustRightInd/>
        <w:rPr>
          <w:color w:val="auto"/>
        </w:rPr>
      </w:pPr>
      <w:r>
        <w:t xml:space="preserve">Younes, R. S., Rahme, E., Rajha, F., &amp; Mzawak, M. A. (2024). Exploring death anxiety among older adults: An integrative review of associated factors and interventions. OMEGA—Journal of Death and Dying. Advance online publication. </w:t>
      </w:r>
      <w:hyperlink r:id="rId64" w:history="1">
        <w:r>
          <w:rPr>
            <w:rStyle w:val="Hyperlink"/>
          </w:rPr>
          <w:t>https://doi.org/10.1177/00302228241272578</w:t>
        </w:r>
      </w:hyperlink>
    </w:p>
    <w:p w:rsidR="008908D0" w:rsidRDefault="002D5E38">
      <w:pPr>
        <w:pStyle w:val="References"/>
        <w:autoSpaceDE/>
        <w:autoSpaceDN/>
        <w:adjustRightInd/>
        <w:rPr>
          <w:color w:val="auto"/>
        </w:rPr>
      </w:pPr>
      <w:r>
        <w:t xml:space="preserve">Yousefi Afrashteh, M., Fartash, A., &amp; Aboutorabi, K. (2025). Relationship between death anxiety and spiritual intelligence: The potential mediating role of meaning of life and resilience in Iranian older people. BMC Geriatrics, 25, 482. </w:t>
      </w:r>
      <w:hyperlink r:id="rId65" w:history="1">
        <w:r>
          <w:rPr>
            <w:rStyle w:val="Hyperlink"/>
          </w:rPr>
          <w:t>https://doi.org/10.1186/s12877-025-06040-2</w:t>
        </w:r>
      </w:hyperlink>
    </w:p>
    <w:p w:rsidR="008908D0" w:rsidRDefault="002D5E38">
      <w:pPr>
        <w:pStyle w:val="References"/>
        <w:autoSpaceDE/>
        <w:autoSpaceDN/>
        <w:adjustRightInd/>
        <w:rPr>
          <w:color w:val="auto"/>
        </w:rPr>
      </w:pPr>
      <w:r>
        <w:t xml:space="preserve">Zeng, Y., </w:t>
      </w:r>
      <w:proofErr w:type="gramStart"/>
      <w:r>
        <w:t>Gu</w:t>
      </w:r>
      <w:proofErr w:type="gramEnd"/>
      <w:r>
        <w:t xml:space="preserve">, D., &amp; George, L. K. (2011). Association of religious participation with mortality among Chinese old adults. Research on Aging, 33(1), 51–83. </w:t>
      </w:r>
      <w:hyperlink r:id="rId66" w:history="1">
        <w:r>
          <w:rPr>
            <w:rStyle w:val="Hyperlink"/>
          </w:rPr>
          <w:t>https://doi.org/10.1177/0164027510383584</w:t>
        </w:r>
      </w:hyperlink>
    </w:p>
    <w:p w:rsidR="008908D0" w:rsidRDefault="002D5E38">
      <w:pPr>
        <w:pStyle w:val="References"/>
        <w:autoSpaceDE/>
        <w:autoSpaceDN/>
        <w:adjustRightInd/>
        <w:rPr>
          <w:color w:val="auto"/>
        </w:rPr>
      </w:pPr>
      <w:r>
        <w:t>Zohar, D., &amp; Marshall, I. (2000). SQ: Spiritual Intelligence—</w:t>
      </w:r>
      <w:proofErr w:type="gramStart"/>
      <w:r>
        <w:t>The</w:t>
      </w:r>
      <w:proofErr w:type="gramEnd"/>
      <w:r>
        <w:t xml:space="preserve"> Ultimate Intelligence. London: Bloomsbury.</w:t>
      </w:r>
    </w:p>
    <w:p w:rsidR="008908D0" w:rsidRDefault="002D5E38">
      <w:pPr>
        <w:pStyle w:val="Heading1"/>
        <w:pageBreakBefore/>
        <w:autoSpaceDE/>
        <w:autoSpaceDN/>
        <w:bidi w:val="0"/>
        <w:adjustRightInd/>
        <w:spacing w:after="240"/>
        <w:ind w:firstLine="397"/>
        <w:rPr>
          <w:rFonts w:cs="Times New Roman"/>
          <w:rtl w:val="0"/>
          <w:cs w:val="0"/>
        </w:rPr>
      </w:pPr>
      <w:bookmarkStart w:id="269" w:name="_Toc239015174"/>
      <w:bookmarkStart w:id="270" w:name="_Toc239432032"/>
      <w:r w:rsidRPr="000B73CB">
        <w:rPr>
          <w:rFonts w:cs="Times New Roman"/>
          <w:b w:val="0"/>
          <w:bCs w:val="0"/>
          <w:sz w:val="36"/>
          <w:szCs w:val="16"/>
          <w:rtl w:val="0"/>
          <w:cs w:val="0"/>
        </w:rPr>
        <w:lastRenderedPageBreak/>
        <w:t>ABSTRACT</w:t>
      </w:r>
      <w:bookmarkEnd w:id="269"/>
      <w:bookmarkEnd w:id="270"/>
    </w:p>
    <w:p w:rsidR="008908D0" w:rsidRPr="00FF2D3A" w:rsidRDefault="002D5E38" w:rsidP="00EF6879">
      <w:pPr>
        <w:pStyle w:val="EnglishText"/>
        <w:autoSpaceDE/>
        <w:autoSpaceDN/>
        <w:adjustRightInd/>
        <w:ind w:firstLine="397"/>
        <w:jc w:val="both"/>
        <w:rPr>
          <w:color w:val="auto"/>
          <w:sz w:val="28"/>
          <w:szCs w:val="28"/>
        </w:rPr>
      </w:pPr>
      <w:r w:rsidRPr="00FF2D3A">
        <w:rPr>
          <w:rFonts w:hint="cs"/>
          <w:sz w:val="28"/>
          <w:szCs w:val="28"/>
        </w:rPr>
        <w:t xml:space="preserve">The study of the transformation processes in the life span shows that with the increase in life expectancy in today's societies, the elderly population is expanding and paying attention to their mental health has gained special importance. The present study was conducted to investigate the relationship between spiritual intelligence and health anxiety with death anxiety in the elderly. This study was applied in terms of purpose and descriptive-correlational in terms of method. The statistical population of the study included all elderly people over 60 years of age, residents of Fereshtegan Nursing Home in </w:t>
      </w:r>
      <w:bookmarkStart w:id="271" w:name="_GoBack"/>
      <w:r w:rsidR="00542A18">
        <w:rPr>
          <w:sz w:val="28"/>
          <w:szCs w:val="28"/>
        </w:rPr>
        <w:t>Eslam</w:t>
      </w:r>
      <w:bookmarkEnd w:id="271"/>
      <w:r w:rsidR="00542A18">
        <w:rPr>
          <w:sz w:val="28"/>
          <w:szCs w:val="28"/>
        </w:rPr>
        <w:t>Shahr (</w:t>
      </w:r>
      <w:r w:rsidRPr="00FF2D3A">
        <w:rPr>
          <w:rFonts w:hint="cs"/>
          <w:sz w:val="28"/>
          <w:szCs w:val="28"/>
        </w:rPr>
        <w:t>Tehran</w:t>
      </w:r>
      <w:r w:rsidR="00542A18">
        <w:rPr>
          <w:sz w:val="28"/>
          <w:szCs w:val="28"/>
        </w:rPr>
        <w:t>)</w:t>
      </w:r>
      <w:r w:rsidRPr="00FF2D3A">
        <w:rPr>
          <w:rFonts w:hint="cs"/>
          <w:sz w:val="28"/>
          <w:szCs w:val="28"/>
        </w:rPr>
        <w:t xml:space="preserve"> in 1404. Based on the Krejcie and Morgan table (1970) and considering the size of the statistical population, 80 people were selected by convenience sampling method. Data collection tools included King's Spiritual Intelligence Questionnaire (2000), Salkovskis and Warwick's Health Anxiety Questionnaire (2002), and Templer's Death Anxiety Questionnaire (1970). The data were analyzed using Pearson's correlation coefficient and stepwise regression. The conducted analyses revealed that there is a negative and significant relationship between spiritual intelligence and death anxiety in the elderly (r=-0.46, p&lt;0.01) and a positive and significant relationship was observed between health anxiety and death anxiety (r=0.58, p&lt;0.01). </w:t>
      </w:r>
      <w:r w:rsidR="00EF6879">
        <w:rPr>
          <w:sz w:val="28"/>
          <w:szCs w:val="28"/>
        </w:rPr>
        <w:t>At the same time</w:t>
      </w:r>
      <w:r w:rsidRPr="00FF2D3A">
        <w:rPr>
          <w:rFonts w:hint="cs"/>
          <w:sz w:val="28"/>
          <w:szCs w:val="28"/>
        </w:rPr>
        <w:t>, the results of stepwise regression showed that the variables of health anxiety, spiritual intelligence, personal meaning creation, and critical existential thinking explain a total of 54% of the variance in death anxiety in the elderly (R²=0.54, p&lt;0.001). In general, increasing spiritual intelligence is associated with decreasing death anxiety, and increasing health anxiety is associated with increasing death anxiety. The findings of this study emphasize the importance of psychological and spiritual factors in explaining death anxiety in the elderly and the necessity of paying attention to them in programs to promote the mental health of the elderly.</w:t>
      </w:r>
    </w:p>
    <w:p w:rsidR="008908D0" w:rsidRDefault="002D5E38">
      <w:pPr>
        <w:pStyle w:val="EnglishText"/>
        <w:autoSpaceDE/>
        <w:autoSpaceDN/>
        <w:adjustRightInd/>
        <w:ind w:firstLine="397"/>
        <w:rPr>
          <w:color w:val="auto"/>
        </w:rPr>
      </w:pPr>
      <w:r w:rsidRPr="00FF2D3A">
        <w:rPr>
          <w:rFonts w:hint="cs"/>
          <w:sz w:val="28"/>
          <w:szCs w:val="28"/>
        </w:rPr>
        <w:t>Keywords: Spiritual intelligence, health anxiety, death anxiety, elderly</w:t>
      </w:r>
      <w:r>
        <w:rPr>
          <w:rFonts w:hint="cs"/>
        </w:rPr>
        <w:t>.</w:t>
      </w:r>
    </w:p>
    <w:p w:rsidR="008908D0" w:rsidRPr="00FF2D3A" w:rsidRDefault="002D5E38" w:rsidP="00FF2D3A">
      <w:pPr>
        <w:pStyle w:val="EnglishText"/>
        <w:pageBreakBefore/>
        <w:spacing w:line="240" w:lineRule="auto"/>
        <w:jc w:val="center"/>
        <w:rPr>
          <w:sz w:val="28"/>
          <w:szCs w:val="28"/>
        </w:rPr>
      </w:pPr>
      <w:r w:rsidRPr="00FF2D3A">
        <w:rPr>
          <w:b/>
          <w:bCs/>
          <w:noProof/>
          <w:sz w:val="40"/>
          <w:szCs w:val="40"/>
          <w:lang w:bidi="ar-SA"/>
        </w:rPr>
        <w:lastRenderedPageBreak/>
        <w:drawing>
          <wp:anchor distT="0" distB="0" distL="114300" distR="114300" simplePos="0" relativeHeight="251663360" behindDoc="1" locked="0" layoutInCell="1" allowOverlap="1" wp14:anchorId="4B1C2A98" wp14:editId="0EE5D9F6">
            <wp:simplePos x="0" y="0"/>
            <wp:positionH relativeFrom="margin">
              <wp:align>center</wp:align>
            </wp:positionH>
            <wp:positionV relativeFrom="paragraph">
              <wp:posOffset>6350</wp:posOffset>
            </wp:positionV>
            <wp:extent cx="1123950" cy="1000125"/>
            <wp:effectExtent l="0" t="0" r="0" b="9525"/>
            <wp:wrapTopAndBottom/>
            <wp:docPr id="43" name="Picture 43" descr="Description: Description: Image result for â«Ø¢Ø±Ù Ø¯Ø§ÙØ´Ú¯Ø§Ù Ù¾ÛØ§Ù ÙÙØ± ØªÙØ±Ø§Ù Ø¬ÙÙØ¨â¬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escription: Description: Image result for â«Ø¢Ø±Ù Ø¯Ø§ÙØ´Ú¯Ø§Ù Ù¾ÛØ§Ù ÙÙØ± ØªÙØ±Ø§Ù Ø¬ÙÙØ¨â¬â"/>
                    <pic:cNvPicPr>
                      <a:picLocks noChangeAspect="1" noChangeArrowheads="1"/>
                    </pic:cNvPicPr>
                  </pic:nvPicPr>
                  <pic:blipFill>
                    <a:blip r:embed="rId67">
                      <a:extLst>
                        <a:ext uri="{28A0092B-C50C-407E-A947-70E740481C1C}">
                          <a14:useLocalDpi xmlns:a14="http://schemas.microsoft.com/office/drawing/2010/main" val="0"/>
                        </a:ext>
                      </a:extLst>
                    </a:blip>
                    <a:srcRect l="60736"/>
                    <a:stretch>
                      <a:fillRect/>
                    </a:stretch>
                  </pic:blipFill>
                  <pic:spPr bwMode="auto">
                    <a:xfrm>
                      <a:off x="0" y="0"/>
                      <a:ext cx="1123950" cy="10001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F2D3A">
        <w:rPr>
          <w:sz w:val="36"/>
          <w:szCs w:val="36"/>
        </w:rPr>
        <w:t>Payame Noor University</w:t>
      </w:r>
    </w:p>
    <w:p w:rsidR="008908D0" w:rsidRPr="00FF2D3A" w:rsidRDefault="002D5E38" w:rsidP="00FF2D3A">
      <w:pPr>
        <w:pStyle w:val="EnglishText"/>
        <w:spacing w:after="360" w:line="240" w:lineRule="auto"/>
        <w:jc w:val="center"/>
        <w:rPr>
          <w:sz w:val="28"/>
          <w:szCs w:val="28"/>
        </w:rPr>
      </w:pPr>
      <w:r w:rsidRPr="00FF2D3A">
        <w:rPr>
          <w:sz w:val="32"/>
          <w:szCs w:val="32"/>
        </w:rPr>
        <w:t>Sari Center</w:t>
      </w:r>
    </w:p>
    <w:p w:rsidR="008908D0" w:rsidRPr="00FF2D3A" w:rsidRDefault="002D5E38" w:rsidP="00FF2D3A">
      <w:pPr>
        <w:pStyle w:val="EnglishText"/>
        <w:spacing w:line="240" w:lineRule="auto"/>
        <w:jc w:val="center"/>
        <w:rPr>
          <w:sz w:val="28"/>
          <w:szCs w:val="28"/>
        </w:rPr>
      </w:pPr>
      <w:r w:rsidRPr="00FF2D3A">
        <w:rPr>
          <w:sz w:val="32"/>
          <w:szCs w:val="32"/>
        </w:rPr>
        <w:t>Master's Thesis</w:t>
      </w:r>
    </w:p>
    <w:p w:rsidR="008908D0" w:rsidRPr="00FF2D3A" w:rsidRDefault="002D5E38" w:rsidP="00FF2D3A">
      <w:pPr>
        <w:pStyle w:val="EnglishText"/>
        <w:spacing w:after="360" w:line="240" w:lineRule="auto"/>
        <w:jc w:val="center"/>
        <w:rPr>
          <w:sz w:val="28"/>
          <w:szCs w:val="28"/>
        </w:rPr>
      </w:pPr>
      <w:r w:rsidRPr="00FF2D3A">
        <w:rPr>
          <w:sz w:val="28"/>
          <w:szCs w:val="28"/>
        </w:rPr>
        <w:t>Psychology Major, Islamic Psychology Major, Positive Psychology Major</w:t>
      </w:r>
    </w:p>
    <w:p w:rsidR="008908D0" w:rsidRPr="00FF2D3A" w:rsidRDefault="002D5E38" w:rsidP="00FF2D3A">
      <w:pPr>
        <w:pStyle w:val="EnglishText"/>
        <w:spacing w:line="240" w:lineRule="auto"/>
        <w:jc w:val="center"/>
        <w:rPr>
          <w:sz w:val="28"/>
          <w:szCs w:val="28"/>
        </w:rPr>
      </w:pPr>
      <w:r w:rsidRPr="00FF2D3A">
        <w:rPr>
          <w:sz w:val="32"/>
          <w:szCs w:val="32"/>
        </w:rPr>
        <w:t>Title</w:t>
      </w:r>
    </w:p>
    <w:p w:rsidR="008908D0" w:rsidRPr="00FF2D3A" w:rsidRDefault="002D5E38" w:rsidP="00FF2D3A">
      <w:pPr>
        <w:pStyle w:val="EnglishText"/>
        <w:spacing w:line="240" w:lineRule="auto"/>
        <w:jc w:val="center"/>
        <w:rPr>
          <w:b/>
          <w:bCs/>
          <w:sz w:val="28"/>
          <w:szCs w:val="28"/>
        </w:rPr>
      </w:pPr>
      <w:r w:rsidRPr="00FF2D3A">
        <w:rPr>
          <w:b/>
          <w:bCs/>
          <w:sz w:val="40"/>
          <w:szCs w:val="40"/>
        </w:rPr>
        <w:t>Relationship between Spiritual Intelligence and Health Anxiety with Death Anxiety in the Elderly</w:t>
      </w:r>
    </w:p>
    <w:p w:rsidR="008908D0" w:rsidRPr="00FF2D3A" w:rsidRDefault="002D5E38" w:rsidP="00FF2D3A">
      <w:pPr>
        <w:pStyle w:val="EnglishText"/>
        <w:spacing w:after="480" w:line="240" w:lineRule="auto"/>
        <w:jc w:val="center"/>
        <w:rPr>
          <w:sz w:val="28"/>
          <w:szCs w:val="28"/>
        </w:rPr>
      </w:pPr>
      <w:r w:rsidRPr="00FF2D3A">
        <w:rPr>
          <w:sz w:val="28"/>
          <w:szCs w:val="28"/>
        </w:rPr>
        <w:t>Fereshtegan Nursing Home, Eslamshahr</w:t>
      </w:r>
      <w:r w:rsidR="00041273">
        <w:rPr>
          <w:sz w:val="28"/>
          <w:szCs w:val="28"/>
        </w:rPr>
        <w:t xml:space="preserve"> (Tehran)</w:t>
      </w:r>
    </w:p>
    <w:p w:rsidR="008908D0" w:rsidRPr="00FF2D3A" w:rsidRDefault="002D5E38" w:rsidP="00FF2D3A">
      <w:pPr>
        <w:pStyle w:val="EnglishText"/>
        <w:spacing w:line="240" w:lineRule="auto"/>
        <w:jc w:val="center"/>
        <w:rPr>
          <w:sz w:val="28"/>
          <w:szCs w:val="28"/>
        </w:rPr>
      </w:pPr>
      <w:r w:rsidRPr="00FF2D3A">
        <w:rPr>
          <w:sz w:val="32"/>
          <w:szCs w:val="32"/>
        </w:rPr>
        <w:t>Supervisor</w:t>
      </w:r>
    </w:p>
    <w:p w:rsidR="008908D0" w:rsidRPr="00FF2D3A" w:rsidRDefault="002D5E38" w:rsidP="00FF2D3A">
      <w:pPr>
        <w:pStyle w:val="EnglishText"/>
        <w:spacing w:after="360" w:line="240" w:lineRule="auto"/>
        <w:jc w:val="center"/>
        <w:rPr>
          <w:sz w:val="28"/>
          <w:szCs w:val="28"/>
        </w:rPr>
      </w:pPr>
      <w:r w:rsidRPr="00FF2D3A">
        <w:rPr>
          <w:sz w:val="32"/>
          <w:szCs w:val="32"/>
        </w:rPr>
        <w:t>Babollah Bakhshipour Joibari</w:t>
      </w:r>
    </w:p>
    <w:p w:rsidR="008908D0" w:rsidRPr="00FF2D3A" w:rsidRDefault="002D5E38" w:rsidP="00FF2D3A">
      <w:pPr>
        <w:pStyle w:val="EnglishText"/>
        <w:spacing w:line="240" w:lineRule="auto"/>
        <w:jc w:val="center"/>
        <w:rPr>
          <w:sz w:val="28"/>
          <w:szCs w:val="28"/>
        </w:rPr>
      </w:pPr>
      <w:r w:rsidRPr="00FF2D3A">
        <w:rPr>
          <w:sz w:val="32"/>
          <w:szCs w:val="32"/>
        </w:rPr>
        <w:t>Author</w:t>
      </w:r>
    </w:p>
    <w:p w:rsidR="008908D0" w:rsidRPr="00FF2D3A" w:rsidRDefault="002D5E38" w:rsidP="00FF2D3A">
      <w:pPr>
        <w:pStyle w:val="EnglishText"/>
        <w:spacing w:after="480" w:line="240" w:lineRule="auto"/>
        <w:jc w:val="center"/>
        <w:rPr>
          <w:sz w:val="28"/>
          <w:szCs w:val="28"/>
        </w:rPr>
      </w:pPr>
      <w:r w:rsidRPr="00FF2D3A">
        <w:rPr>
          <w:sz w:val="32"/>
          <w:szCs w:val="32"/>
        </w:rPr>
        <w:t>Fatemeh Bayat</w:t>
      </w:r>
    </w:p>
    <w:p w:rsidR="008908D0" w:rsidRPr="00FF2D3A" w:rsidRDefault="000B73CB" w:rsidP="00FF2D3A">
      <w:pPr>
        <w:pStyle w:val="EnglishText"/>
        <w:spacing w:after="0" w:line="240" w:lineRule="auto"/>
        <w:jc w:val="center"/>
        <w:rPr>
          <w:sz w:val="28"/>
          <w:szCs w:val="28"/>
        </w:rPr>
      </w:pPr>
      <w:r>
        <w:rPr>
          <w:sz w:val="32"/>
          <w:szCs w:val="32"/>
        </w:rPr>
        <w:t>February</w:t>
      </w:r>
      <w:r w:rsidR="002D5E38" w:rsidRPr="00FF2D3A">
        <w:rPr>
          <w:sz w:val="32"/>
          <w:szCs w:val="32"/>
        </w:rPr>
        <w:t xml:space="preserve"> 2026</w:t>
      </w:r>
    </w:p>
    <w:sectPr w:rsidR="008908D0" w:rsidRPr="00FF2D3A">
      <w:footerReference w:type="default" r:id="rId68"/>
      <w:footnotePr>
        <w:numRestart w:val="eachPage"/>
      </w:footnotePr>
      <w:pgSz w:w="11906" w:h="16838" w:code="9"/>
      <w:pgMar w:top="1417" w:right="1561" w:bottom="1417" w:left="1277" w:header="709" w:footer="567"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15EF" w:rsidRDefault="004A15EF">
      <w:pPr>
        <w:pBdr>
          <w:bottom w:val="single" w:sz="12" w:space="1" w:color="000000"/>
        </w:pBdr>
        <w:spacing w:after="0" w:line="240" w:lineRule="auto"/>
        <w:rPr>
          <w:sz w:val="4"/>
          <w:szCs w:val="4"/>
          <w:cs w:val="0"/>
        </w:rPr>
      </w:pPr>
    </w:p>
  </w:endnote>
  <w:endnote w:type="continuationSeparator" w:id="0">
    <w:p w:rsidR="004A15EF" w:rsidRDefault="004A15EF">
      <w:pPr>
        <w:pBdr>
          <w:bottom w:val="single" w:sz="12" w:space="1" w:color="000000"/>
        </w:pBdr>
        <w:spacing w:after="0" w:line="240" w:lineRule="auto"/>
        <w:rPr>
          <w:sz w:val="4"/>
          <w:szCs w:val="4"/>
          <w:cs w:val="0"/>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B Lotus">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IranNastaliq">
    <w:altName w:val="Shekasteh_Beta"/>
    <w:charset w:val="00"/>
    <w:family w:val="auto"/>
    <w:pitch w:val="variable"/>
    <w:sig w:usb0="00000000" w:usb1="D000604A" w:usb2="00000008"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4126479"/>
      <w:docPartObj>
        <w:docPartGallery w:val="Page Numbers (Bottom of Page)"/>
        <w:docPartUnique/>
      </w:docPartObj>
    </w:sdtPr>
    <w:sdtEndPr>
      <w:rPr>
        <w:noProof/>
      </w:rPr>
    </w:sdtEndPr>
    <w:sdtContent>
      <w:p w:rsidR="0052619A" w:rsidRDefault="0052619A" w:rsidP="00041919">
        <w:pPr>
          <w:pStyle w:val="Footer"/>
          <w:rPr>
            <w:cs w:val="0"/>
          </w:rPr>
        </w:pPr>
        <w:r w:rsidRPr="00041919">
          <w:rPr>
            <w:rFonts w:cs="B Titr"/>
            <w:sz w:val="32"/>
            <w:szCs w:val="32"/>
          </w:rPr>
          <w:fldChar w:fldCharType="begin"/>
        </w:r>
        <w:r w:rsidRPr="00041919">
          <w:rPr>
            <w:rFonts w:cs="B Titr"/>
            <w:sz w:val="32"/>
            <w:szCs w:val="32"/>
            <w:cs w:val="0"/>
            <w:lang w:bidi="ar-SA"/>
          </w:rPr>
          <w:instrText xml:space="preserve"> </w:instrText>
        </w:r>
        <w:r w:rsidRPr="00041919">
          <w:rPr>
            <w:rFonts w:cs="B Titr" w:hint="cs"/>
            <w:sz w:val="32"/>
            <w:szCs w:val="32"/>
            <w:rtl w:val="0"/>
            <w:cs w:val="0"/>
            <w:lang w:bidi="ar-SA"/>
          </w:rPr>
          <w:instrText>PAGE  \* ArabicAlpha  \* MERGEFORMAT</w:instrText>
        </w:r>
        <w:r w:rsidRPr="00041919">
          <w:rPr>
            <w:rFonts w:cs="B Titr"/>
            <w:sz w:val="32"/>
            <w:szCs w:val="32"/>
            <w:cs w:val="0"/>
            <w:lang w:bidi="ar-SA"/>
          </w:rPr>
          <w:instrText xml:space="preserve"> </w:instrText>
        </w:r>
        <w:r w:rsidRPr="00041919">
          <w:rPr>
            <w:rFonts w:cs="B Titr"/>
            <w:sz w:val="32"/>
            <w:szCs w:val="32"/>
          </w:rPr>
          <w:fldChar w:fldCharType="separate"/>
        </w:r>
        <w:r w:rsidR="00041273" w:rsidRPr="00041273">
          <w:rPr>
            <w:rFonts w:cs="B Titr"/>
            <w:b/>
            <w:bCs/>
            <w:noProof/>
            <w:sz w:val="32"/>
            <w:szCs w:val="32"/>
            <w:cs w:val="0"/>
          </w:rPr>
          <w:t>ت‌</w:t>
        </w:r>
        <w:r w:rsidRPr="00041919">
          <w:rPr>
            <w:rFonts w:cs="B Titr"/>
            <w:sz w:val="32"/>
            <w:szCs w:val="32"/>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1</w:t>
    </w:r>
    <w:r>
      <w:rPr>
        <w:sz w:val="24"/>
        <w:szCs w:val="24"/>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2</w:t>
    </w:r>
    <w:r>
      <w:rPr>
        <w:sz w:val="24"/>
        <w:szCs w:val="24"/>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13</w:t>
    </w:r>
    <w:r>
      <w:rPr>
        <w:sz w:val="24"/>
        <w:szCs w:val="24"/>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14</w:t>
    </w:r>
    <w:r>
      <w:rPr>
        <w:sz w:val="24"/>
        <w:szCs w:val="24"/>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57</w:t>
    </w:r>
    <w:r>
      <w:rPr>
        <w:sz w:val="24"/>
        <w:szCs w:val="24"/>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58</w:t>
    </w:r>
    <w:r>
      <w:rPr>
        <w:sz w:val="24"/>
        <w:szCs w:val="24"/>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61</w:t>
    </w:r>
    <w:r>
      <w:rPr>
        <w:sz w:val="24"/>
        <w:szCs w:val="24"/>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62</w:t>
    </w:r>
    <w:r>
      <w:rPr>
        <w:sz w:val="24"/>
        <w:szCs w:val="24"/>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68</w:t>
    </w:r>
    <w:r>
      <w:rPr>
        <w:sz w:val="24"/>
        <w:szCs w:val="24"/>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69</w:t>
    </w:r>
    <w:r>
      <w:rPr>
        <w:sz w:val="24"/>
        <w:szCs w:val="24"/>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2619A" w:rsidRDefault="0052619A">
    <w:pPr>
      <w:jc w:val="center"/>
      <w:rPr>
        <w:cs w:val="0"/>
      </w:rPr>
    </w:pPr>
    <w:r>
      <w:rPr>
        <w:sz w:val="24"/>
        <w:szCs w:val="24"/>
      </w:rPr>
      <w:fldChar w:fldCharType="begin"/>
    </w:r>
    <w:r>
      <w:rPr>
        <w:sz w:val="24"/>
        <w:szCs w:val="24"/>
        <w:cs w:val="0"/>
      </w:rPr>
      <w:instrText xml:space="preserve"> PAGE </w:instrText>
    </w:r>
    <w:r>
      <w:rPr>
        <w:sz w:val="24"/>
        <w:szCs w:val="24"/>
      </w:rPr>
      <w:fldChar w:fldCharType="separate"/>
    </w:r>
    <w:r w:rsidR="00041273">
      <w:rPr>
        <w:noProof/>
        <w:sz w:val="24"/>
        <w:szCs w:val="24"/>
        <w:cs w:val="0"/>
      </w:rPr>
      <w:t>82</w:t>
    </w:r>
    <w:r>
      <w:rPr>
        <w:sz w:val="24"/>
        <w:szCs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15EF" w:rsidRDefault="004A15EF">
      <w:pPr>
        <w:pBdr>
          <w:bottom w:val="single" w:sz="4" w:space="1" w:color="000000"/>
        </w:pBdr>
        <w:bidi w:val="0"/>
        <w:spacing w:after="0" w:line="240" w:lineRule="auto"/>
        <w:ind w:right="5000"/>
        <w:rPr>
          <w:rtl w:val="0"/>
          <w:cs w:val="0"/>
        </w:rPr>
      </w:pPr>
    </w:p>
  </w:footnote>
  <w:footnote w:type="continuationSeparator" w:id="0">
    <w:p w:rsidR="004A15EF" w:rsidRDefault="004A15EF">
      <w:pPr>
        <w:bidi w:val="0"/>
        <w:spacing w:after="0" w:line="240" w:lineRule="auto"/>
        <w:rPr>
          <w:rtl w:val="0"/>
          <w:cs w:val="0"/>
        </w:rPr>
      </w:pPr>
      <w:r>
        <w:continuationSeparator/>
      </w:r>
    </w:p>
  </w:footnote>
  <w:footnote w:id="1">
    <w:p w:rsidR="0052619A" w:rsidRDefault="0052619A">
      <w:pPr>
        <w:pStyle w:val="FootnoteText"/>
      </w:pPr>
      <w:r>
        <w:rPr>
          <w:rStyle w:val="FootnoteReference"/>
        </w:rPr>
        <w:footnoteRef/>
      </w:r>
      <w:r>
        <w:t xml:space="preserve"> Robert Krejcie</w:t>
      </w:r>
    </w:p>
  </w:footnote>
  <w:footnote w:id="2">
    <w:p w:rsidR="0052619A" w:rsidRDefault="0052619A">
      <w:pPr>
        <w:pStyle w:val="FootnoteText"/>
      </w:pPr>
      <w:r>
        <w:rPr>
          <w:rStyle w:val="FootnoteReference"/>
        </w:rPr>
        <w:footnoteRef/>
      </w:r>
      <w:r>
        <w:t xml:space="preserve"> Daryle Morgan</w:t>
      </w:r>
    </w:p>
  </w:footnote>
  <w:footnote w:id="3">
    <w:p w:rsidR="0052619A" w:rsidRDefault="0052619A">
      <w:pPr>
        <w:pStyle w:val="FootnoteText"/>
      </w:pPr>
      <w:r>
        <w:rPr>
          <w:rStyle w:val="FootnoteReference"/>
        </w:rPr>
        <w:footnoteRef/>
      </w:r>
      <w:r>
        <w:t xml:space="preserve"> David King</w:t>
      </w:r>
    </w:p>
  </w:footnote>
  <w:footnote w:id="4">
    <w:p w:rsidR="0052619A" w:rsidRDefault="0052619A">
      <w:pPr>
        <w:pStyle w:val="FootnoteText"/>
      </w:pPr>
      <w:r>
        <w:rPr>
          <w:rStyle w:val="FootnoteReference"/>
        </w:rPr>
        <w:footnoteRef/>
      </w:r>
      <w:r>
        <w:t xml:space="preserve"> Health Anxiety Inventory (HAI)</w:t>
      </w:r>
    </w:p>
  </w:footnote>
  <w:footnote w:id="5">
    <w:p w:rsidR="0052619A" w:rsidRDefault="0052619A">
      <w:pPr>
        <w:pStyle w:val="FootnoteText"/>
      </w:pPr>
      <w:r>
        <w:rPr>
          <w:rStyle w:val="FootnoteReference"/>
        </w:rPr>
        <w:footnoteRef/>
      </w:r>
      <w:r>
        <w:t xml:space="preserve"> Paul Salkovskis</w:t>
      </w:r>
    </w:p>
  </w:footnote>
  <w:footnote w:id="6">
    <w:p w:rsidR="0052619A" w:rsidRDefault="0052619A">
      <w:pPr>
        <w:pStyle w:val="FootnoteText"/>
      </w:pPr>
      <w:r>
        <w:rPr>
          <w:rStyle w:val="FootnoteReference"/>
        </w:rPr>
        <w:footnoteRef/>
      </w:r>
      <w:r>
        <w:t xml:space="preserve"> Hilary Warwick</w:t>
      </w:r>
    </w:p>
  </w:footnote>
  <w:footnote w:id="7">
    <w:p w:rsidR="0052619A" w:rsidRDefault="0052619A">
      <w:pPr>
        <w:pStyle w:val="FootnoteText"/>
      </w:pPr>
      <w:r>
        <w:rPr>
          <w:rStyle w:val="FootnoteReference"/>
        </w:rPr>
        <w:footnoteRef/>
      </w:r>
      <w:r>
        <w:t xml:space="preserve"> Death Anxiety Scale (DAS)</w:t>
      </w:r>
    </w:p>
  </w:footnote>
  <w:footnote w:id="8">
    <w:p w:rsidR="0052619A" w:rsidRDefault="0052619A">
      <w:pPr>
        <w:pStyle w:val="FootnoteText"/>
      </w:pPr>
      <w:r>
        <w:rPr>
          <w:rStyle w:val="FootnoteReference"/>
        </w:rPr>
        <w:footnoteRef/>
      </w:r>
      <w:r>
        <w:t xml:space="preserve"> Donald Templer</w:t>
      </w:r>
    </w:p>
  </w:footnote>
  <w:footnote w:id="9">
    <w:p w:rsidR="0052619A" w:rsidRDefault="0052619A">
      <w:pPr>
        <w:pStyle w:val="FootnoteText"/>
      </w:pPr>
      <w:r>
        <w:rPr>
          <w:rStyle w:val="FootnoteReference"/>
        </w:rPr>
        <w:footnoteRef/>
      </w:r>
      <w:r>
        <w:t xml:space="preserve"> United Nations</w:t>
      </w:r>
    </w:p>
  </w:footnote>
  <w:footnote w:id="10">
    <w:p w:rsidR="0052619A" w:rsidRDefault="0052619A">
      <w:pPr>
        <w:pStyle w:val="FootnoteText"/>
      </w:pPr>
      <w:r>
        <w:rPr>
          <w:rStyle w:val="FootnoteReference"/>
        </w:rPr>
        <w:footnoteRef/>
      </w:r>
      <w:r>
        <w:t xml:space="preserve"> United Nations Population Fund</w:t>
      </w:r>
    </w:p>
  </w:footnote>
  <w:footnote w:id="11">
    <w:p w:rsidR="0052619A" w:rsidRDefault="0052619A">
      <w:pPr>
        <w:pStyle w:val="FootnoteText"/>
      </w:pPr>
      <w:r>
        <w:rPr>
          <w:rStyle w:val="FootnoteReference"/>
        </w:rPr>
        <w:footnoteRef/>
      </w:r>
      <w:r>
        <w:t xml:space="preserve"> Fataneh Goodarzi</w:t>
      </w:r>
    </w:p>
  </w:footnote>
  <w:footnote w:id="12">
    <w:p w:rsidR="0052619A" w:rsidRDefault="0052619A">
      <w:pPr>
        <w:pStyle w:val="FootnoteText"/>
      </w:pPr>
      <w:r>
        <w:rPr>
          <w:rStyle w:val="FootnoteReference"/>
        </w:rPr>
        <w:footnoteRef/>
      </w:r>
      <w:r>
        <w:t xml:space="preserve"> Sahar Miri</w:t>
      </w:r>
    </w:p>
  </w:footnote>
  <w:footnote w:id="13">
    <w:p w:rsidR="0052619A" w:rsidRDefault="0052619A">
      <w:pPr>
        <w:pStyle w:val="FootnoteText"/>
      </w:pPr>
      <w:r>
        <w:rPr>
          <w:rStyle w:val="FootnoteReference"/>
        </w:rPr>
        <w:footnoteRef/>
      </w:r>
      <w:r>
        <w:t xml:space="preserve"> Azar Jafari-Koulaee</w:t>
      </w:r>
    </w:p>
  </w:footnote>
  <w:footnote w:id="14">
    <w:p w:rsidR="0052619A" w:rsidRDefault="0052619A">
      <w:pPr>
        <w:pStyle w:val="FootnoteText"/>
      </w:pPr>
      <w:r>
        <w:rPr>
          <w:rStyle w:val="FootnoteReference"/>
        </w:rPr>
        <w:footnoteRef/>
      </w:r>
      <w:r>
        <w:t xml:space="preserve"> Yurong Liu</w:t>
      </w:r>
    </w:p>
  </w:footnote>
  <w:footnote w:id="15">
    <w:p w:rsidR="0052619A" w:rsidRDefault="0052619A">
      <w:pPr>
        <w:pStyle w:val="FootnoteText"/>
      </w:pPr>
      <w:r>
        <w:rPr>
          <w:rStyle w:val="FootnoteReference"/>
        </w:rPr>
        <w:footnoteRef/>
      </w:r>
      <w:r>
        <w:t xml:space="preserve"> World Health Organization</w:t>
      </w:r>
    </w:p>
  </w:footnote>
  <w:footnote w:id="16">
    <w:p w:rsidR="0052619A" w:rsidRDefault="0052619A">
      <w:pPr>
        <w:pStyle w:val="FootnoteText"/>
      </w:pPr>
      <w:r>
        <w:rPr>
          <w:rStyle w:val="FootnoteReference"/>
        </w:rPr>
        <w:footnoteRef/>
      </w:r>
      <w:r>
        <w:t xml:space="preserve"> World Health Organization</w:t>
      </w:r>
    </w:p>
  </w:footnote>
  <w:footnote w:id="17">
    <w:p w:rsidR="0052619A" w:rsidRDefault="0052619A">
      <w:pPr>
        <w:pStyle w:val="FootnoteText"/>
      </w:pPr>
      <w:r>
        <w:rPr>
          <w:rStyle w:val="FootnoteReference"/>
        </w:rPr>
        <w:footnoteRef/>
      </w:r>
      <w:r>
        <w:t xml:space="preserve"> United Nations</w:t>
      </w:r>
    </w:p>
  </w:footnote>
  <w:footnote w:id="18">
    <w:p w:rsidR="0052619A" w:rsidRDefault="0052619A">
      <w:pPr>
        <w:pStyle w:val="FootnoteText"/>
      </w:pPr>
      <w:r>
        <w:rPr>
          <w:rStyle w:val="FootnoteReference"/>
        </w:rPr>
        <w:footnoteRef/>
      </w:r>
      <w:r>
        <w:t xml:space="preserve"> World Health Organization</w:t>
      </w:r>
    </w:p>
  </w:footnote>
  <w:footnote w:id="19">
    <w:p w:rsidR="0052619A" w:rsidRDefault="0052619A">
      <w:pPr>
        <w:pStyle w:val="FootnoteText"/>
      </w:pPr>
      <w:r>
        <w:rPr>
          <w:rStyle w:val="FootnoteReference"/>
        </w:rPr>
        <w:footnoteRef/>
      </w:r>
      <w:r>
        <w:t xml:space="preserve"> World Health Organization</w:t>
      </w:r>
    </w:p>
  </w:footnote>
  <w:footnote w:id="20">
    <w:p w:rsidR="0052619A" w:rsidRDefault="0052619A">
      <w:pPr>
        <w:pStyle w:val="FootnoteText"/>
      </w:pPr>
      <w:r>
        <w:rPr>
          <w:rStyle w:val="FootnoteReference"/>
        </w:rPr>
        <w:footnoteRef/>
      </w:r>
      <w:r>
        <w:t xml:space="preserve"> Katarina Kikas</w:t>
      </w:r>
    </w:p>
  </w:footnote>
  <w:footnote w:id="21">
    <w:p w:rsidR="0052619A" w:rsidRDefault="0052619A">
      <w:pPr>
        <w:pStyle w:val="FootnoteText"/>
      </w:pPr>
      <w:r>
        <w:rPr>
          <w:rStyle w:val="FootnoteReference"/>
        </w:rPr>
        <w:footnoteRef/>
      </w:r>
      <w:r>
        <w:t xml:space="preserve"> Suhang Wang</w:t>
      </w:r>
    </w:p>
  </w:footnote>
  <w:footnote w:id="22">
    <w:p w:rsidR="0052619A" w:rsidRDefault="0052619A">
      <w:pPr>
        <w:pStyle w:val="FootnoteText"/>
      </w:pPr>
      <w:r>
        <w:rPr>
          <w:rStyle w:val="FootnoteReference"/>
        </w:rPr>
        <w:footnoteRef/>
      </w:r>
      <w:r>
        <w:t xml:space="preserve"> Kayla Atchison</w:t>
      </w:r>
    </w:p>
  </w:footnote>
  <w:footnote w:id="23">
    <w:p w:rsidR="0052619A" w:rsidRDefault="0052619A">
      <w:pPr>
        <w:pStyle w:val="FootnoteText"/>
      </w:pPr>
      <w:r>
        <w:rPr>
          <w:rStyle w:val="FootnoteReference"/>
        </w:rPr>
        <w:footnoteRef/>
      </w:r>
      <w:r>
        <w:t xml:space="preserve"> Katarina Kikas</w:t>
      </w:r>
    </w:p>
  </w:footnote>
  <w:footnote w:id="24">
    <w:p w:rsidR="0052619A" w:rsidRDefault="0052619A">
      <w:pPr>
        <w:pStyle w:val="FootnoteText"/>
      </w:pPr>
      <w:r>
        <w:rPr>
          <w:rStyle w:val="FootnoteReference"/>
        </w:rPr>
        <w:footnoteRef/>
      </w:r>
      <w:r>
        <w:t xml:space="preserve"> David King</w:t>
      </w:r>
    </w:p>
  </w:footnote>
  <w:footnote w:id="25">
    <w:p w:rsidR="0052619A" w:rsidRDefault="0052619A">
      <w:pPr>
        <w:pStyle w:val="FootnoteText"/>
      </w:pPr>
      <w:r>
        <w:rPr>
          <w:rStyle w:val="FootnoteReference"/>
        </w:rPr>
        <w:footnoteRef/>
      </w:r>
      <w:r>
        <w:t xml:space="preserve"> Health Anxiety Inventory (HAI)</w:t>
      </w:r>
    </w:p>
  </w:footnote>
  <w:footnote w:id="26">
    <w:p w:rsidR="0052619A" w:rsidRDefault="0052619A">
      <w:pPr>
        <w:pStyle w:val="FootnoteText"/>
      </w:pPr>
      <w:r>
        <w:rPr>
          <w:rStyle w:val="FootnoteReference"/>
        </w:rPr>
        <w:footnoteRef/>
      </w:r>
      <w:r>
        <w:t xml:space="preserve"> Death Anxiety Scale (DAS)</w:t>
      </w:r>
    </w:p>
  </w:footnote>
  <w:footnote w:id="27">
    <w:p w:rsidR="0052619A" w:rsidRDefault="0052619A">
      <w:pPr>
        <w:pStyle w:val="FootnoteText"/>
      </w:pPr>
      <w:r>
        <w:rPr>
          <w:rStyle w:val="FootnoteReference"/>
        </w:rPr>
        <w:footnoteRef/>
      </w:r>
      <w:r>
        <w:t xml:space="preserve"> World Health Organization</w:t>
      </w:r>
    </w:p>
  </w:footnote>
  <w:footnote w:id="28">
    <w:p w:rsidR="0052619A" w:rsidRDefault="0052619A">
      <w:pPr>
        <w:pStyle w:val="FootnoteText"/>
      </w:pPr>
      <w:r>
        <w:rPr>
          <w:rStyle w:val="FootnoteReference"/>
        </w:rPr>
        <w:footnoteRef/>
      </w:r>
      <w:r>
        <w:t xml:space="preserve"> Gerontology</w:t>
      </w:r>
    </w:p>
  </w:footnote>
  <w:footnote w:id="29">
    <w:p w:rsidR="0052619A" w:rsidRDefault="0052619A">
      <w:pPr>
        <w:pStyle w:val="FootnoteText"/>
      </w:pPr>
      <w:r>
        <w:rPr>
          <w:rStyle w:val="FootnoteReference"/>
        </w:rPr>
        <w:footnoteRef/>
      </w:r>
      <w:r>
        <w:t xml:space="preserve"> World Health Organization</w:t>
      </w:r>
    </w:p>
  </w:footnote>
  <w:footnote w:id="30">
    <w:p w:rsidR="0052619A" w:rsidRDefault="0052619A">
      <w:pPr>
        <w:pStyle w:val="FootnoteText"/>
      </w:pPr>
      <w:r>
        <w:rPr>
          <w:rStyle w:val="FootnoteReference"/>
        </w:rPr>
        <w:footnoteRef/>
      </w:r>
      <w:r>
        <w:t xml:space="preserve"> Socioemotional Selectivity Theory</w:t>
      </w:r>
    </w:p>
  </w:footnote>
  <w:footnote w:id="31">
    <w:p w:rsidR="0052619A" w:rsidRDefault="0052619A">
      <w:pPr>
        <w:pStyle w:val="FootnoteText"/>
      </w:pPr>
      <w:r>
        <w:rPr>
          <w:rStyle w:val="FootnoteReference"/>
        </w:rPr>
        <w:footnoteRef/>
      </w:r>
      <w:r>
        <w:t xml:space="preserve"> Inflammaging</w:t>
      </w:r>
    </w:p>
  </w:footnote>
  <w:footnote w:id="32">
    <w:p w:rsidR="0052619A" w:rsidRDefault="0052619A">
      <w:pPr>
        <w:pStyle w:val="FootnoteText"/>
      </w:pPr>
      <w:r>
        <w:rPr>
          <w:rStyle w:val="FootnoteReference"/>
        </w:rPr>
        <w:footnoteRef/>
      </w:r>
      <w:r>
        <w:t xml:space="preserve"> Claudio Franceschi</w:t>
      </w:r>
    </w:p>
  </w:footnote>
  <w:footnote w:id="33">
    <w:p w:rsidR="0052619A" w:rsidRDefault="0052619A">
      <w:pPr>
        <w:pStyle w:val="FootnoteText"/>
      </w:pPr>
      <w:r>
        <w:rPr>
          <w:rStyle w:val="FootnoteReference"/>
        </w:rPr>
        <w:footnoteRef/>
      </w:r>
      <w:r>
        <w:t xml:space="preserve"> Tamas Fülöp</w:t>
      </w:r>
    </w:p>
  </w:footnote>
  <w:footnote w:id="34">
    <w:p w:rsidR="0052619A" w:rsidRDefault="0052619A">
      <w:pPr>
        <w:pStyle w:val="FootnoteText"/>
      </w:pPr>
      <w:r>
        <w:rPr>
          <w:rStyle w:val="FootnoteReference"/>
        </w:rPr>
        <w:footnoteRef/>
      </w:r>
      <w:r>
        <w:t xml:space="preserve"> Immunological Theory</w:t>
      </w:r>
    </w:p>
  </w:footnote>
  <w:footnote w:id="35">
    <w:p w:rsidR="0052619A" w:rsidRDefault="0052619A">
      <w:pPr>
        <w:pStyle w:val="FootnoteText"/>
      </w:pPr>
      <w:r>
        <w:rPr>
          <w:rStyle w:val="FootnoteReference"/>
        </w:rPr>
        <w:footnoteRef/>
      </w:r>
      <w:r>
        <w:t xml:space="preserve"> Janko Nikolich-Žugich</w:t>
      </w:r>
    </w:p>
  </w:footnote>
  <w:footnote w:id="36">
    <w:p w:rsidR="0052619A" w:rsidRDefault="0052619A">
      <w:pPr>
        <w:pStyle w:val="FootnoteText"/>
      </w:pPr>
      <w:r>
        <w:rPr>
          <w:rStyle w:val="FootnoteReference"/>
        </w:rPr>
        <w:footnoteRef/>
      </w:r>
      <w:r>
        <w:t xml:space="preserve"> Carlos López-Otín</w:t>
      </w:r>
    </w:p>
  </w:footnote>
  <w:footnote w:id="37">
    <w:p w:rsidR="0052619A" w:rsidRDefault="0052619A">
      <w:pPr>
        <w:pStyle w:val="FootnoteText"/>
      </w:pPr>
      <w:r>
        <w:rPr>
          <w:rStyle w:val="FootnoteReference"/>
        </w:rPr>
        <w:footnoteRef/>
      </w:r>
      <w:r>
        <w:t xml:space="preserve"> Judith Campisi</w:t>
      </w:r>
    </w:p>
  </w:footnote>
  <w:footnote w:id="38">
    <w:p w:rsidR="0052619A" w:rsidRDefault="0052619A">
      <w:pPr>
        <w:pStyle w:val="FootnoteText"/>
      </w:pPr>
      <w:r>
        <w:rPr>
          <w:rStyle w:val="FootnoteReference"/>
        </w:rPr>
        <w:footnoteRef/>
      </w:r>
      <w:r>
        <w:t xml:space="preserve"> Carlos López-Otín</w:t>
      </w:r>
    </w:p>
  </w:footnote>
  <w:footnote w:id="39">
    <w:p w:rsidR="0052619A" w:rsidRDefault="0052619A">
      <w:pPr>
        <w:pStyle w:val="FootnoteText"/>
      </w:pPr>
      <w:r>
        <w:rPr>
          <w:rStyle w:val="FootnoteReference"/>
        </w:rPr>
        <w:footnoteRef/>
      </w:r>
      <w:r>
        <w:t xml:space="preserve"> Vadim Gladyshev</w:t>
      </w:r>
    </w:p>
  </w:footnote>
  <w:footnote w:id="40">
    <w:p w:rsidR="0052619A" w:rsidRDefault="0052619A">
      <w:pPr>
        <w:pStyle w:val="FootnoteText"/>
      </w:pPr>
      <w:r>
        <w:rPr>
          <w:rStyle w:val="FootnoteReference"/>
        </w:rPr>
        <w:footnoteRef/>
      </w:r>
      <w:r>
        <w:t xml:space="preserve"> Socioemotional Selectivity Theory</w:t>
      </w:r>
    </w:p>
  </w:footnote>
  <w:footnote w:id="41">
    <w:p w:rsidR="0052619A" w:rsidRDefault="0052619A">
      <w:pPr>
        <w:pStyle w:val="FootnoteText"/>
      </w:pPr>
      <w:r>
        <w:rPr>
          <w:rStyle w:val="FootnoteReference"/>
        </w:rPr>
        <w:footnoteRef/>
      </w:r>
      <w:r>
        <w:t xml:space="preserve"> Laura Carstensen</w:t>
      </w:r>
    </w:p>
  </w:footnote>
  <w:footnote w:id="42">
    <w:p w:rsidR="0052619A" w:rsidRDefault="0052619A">
      <w:pPr>
        <w:pStyle w:val="FootnoteText"/>
      </w:pPr>
      <w:r>
        <w:rPr>
          <w:rStyle w:val="FootnoteReference"/>
        </w:rPr>
        <w:footnoteRef/>
      </w:r>
      <w:r>
        <w:t xml:space="preserve"> Roger Gould</w:t>
      </w:r>
    </w:p>
  </w:footnote>
  <w:footnote w:id="43">
    <w:p w:rsidR="0052619A" w:rsidRDefault="0052619A">
      <w:pPr>
        <w:pStyle w:val="FootnoteText"/>
      </w:pPr>
      <w:r>
        <w:rPr>
          <w:rStyle w:val="FootnoteReference"/>
        </w:rPr>
        <w:footnoteRef/>
      </w:r>
      <w:r>
        <w:t xml:space="preserve"> Roger Gould</w:t>
      </w:r>
    </w:p>
  </w:footnote>
  <w:footnote w:id="44">
    <w:p w:rsidR="0052619A" w:rsidRDefault="0052619A">
      <w:pPr>
        <w:pStyle w:val="FootnoteText"/>
      </w:pPr>
      <w:r>
        <w:rPr>
          <w:rStyle w:val="FootnoteReference"/>
        </w:rPr>
        <w:footnoteRef/>
      </w:r>
      <w:r>
        <w:t xml:space="preserve"> Laura Carstensen</w:t>
      </w:r>
    </w:p>
  </w:footnote>
  <w:footnote w:id="45">
    <w:p w:rsidR="0052619A" w:rsidRDefault="0052619A">
      <w:pPr>
        <w:pStyle w:val="FootnoteText"/>
      </w:pPr>
      <w:r>
        <w:rPr>
          <w:rStyle w:val="FootnoteReference"/>
        </w:rPr>
        <w:footnoteRef/>
      </w:r>
      <w:r>
        <w:t xml:space="preserve"> Daniel Levinson</w:t>
      </w:r>
    </w:p>
  </w:footnote>
  <w:footnote w:id="46">
    <w:p w:rsidR="0052619A" w:rsidRDefault="0052619A">
      <w:pPr>
        <w:pStyle w:val="FootnoteText"/>
      </w:pPr>
      <w:r>
        <w:rPr>
          <w:rStyle w:val="FootnoteReference"/>
        </w:rPr>
        <w:footnoteRef/>
      </w:r>
      <w:r>
        <w:t xml:space="preserve"> Warner Schaie</w:t>
      </w:r>
    </w:p>
  </w:footnote>
  <w:footnote w:id="47">
    <w:p w:rsidR="0052619A" w:rsidRDefault="0052619A">
      <w:pPr>
        <w:pStyle w:val="FootnoteText"/>
      </w:pPr>
      <w:r>
        <w:rPr>
          <w:rStyle w:val="FootnoteReference"/>
        </w:rPr>
        <w:footnoteRef/>
      </w:r>
      <w:r>
        <w:t xml:space="preserve"> Laura Carstensen</w:t>
      </w:r>
    </w:p>
  </w:footnote>
  <w:footnote w:id="48">
    <w:p w:rsidR="0052619A" w:rsidRDefault="0052619A">
      <w:pPr>
        <w:pStyle w:val="FootnoteText"/>
      </w:pPr>
      <w:r>
        <w:rPr>
          <w:rStyle w:val="FootnoteReference"/>
        </w:rPr>
        <w:footnoteRef/>
      </w:r>
      <w:r>
        <w:t xml:space="preserve"> Erik Erikson</w:t>
      </w:r>
    </w:p>
  </w:footnote>
  <w:footnote w:id="49">
    <w:p w:rsidR="0052619A" w:rsidRDefault="0052619A">
      <w:pPr>
        <w:pStyle w:val="FootnoteText"/>
      </w:pPr>
      <w:r>
        <w:rPr>
          <w:rStyle w:val="FootnoteReference"/>
        </w:rPr>
        <w:footnoteRef/>
      </w:r>
      <w:r>
        <w:t xml:space="preserve"> Helen Kivnick</w:t>
      </w:r>
    </w:p>
  </w:footnote>
  <w:footnote w:id="50">
    <w:p w:rsidR="0052619A" w:rsidRDefault="0052619A">
      <w:pPr>
        <w:pStyle w:val="FootnoteText"/>
      </w:pPr>
      <w:r>
        <w:rPr>
          <w:rStyle w:val="FootnoteReference"/>
        </w:rPr>
        <w:footnoteRef/>
      </w:r>
      <w:r>
        <w:t xml:space="preserve"> Gerben Westerhof</w:t>
      </w:r>
    </w:p>
  </w:footnote>
  <w:footnote w:id="51">
    <w:p w:rsidR="0052619A" w:rsidRDefault="0052619A">
      <w:pPr>
        <w:pStyle w:val="FootnoteText"/>
      </w:pPr>
      <w:r>
        <w:rPr>
          <w:rStyle w:val="FootnoteReference"/>
        </w:rPr>
        <w:footnoteRef/>
      </w:r>
      <w:r>
        <w:t xml:space="preserve"> Ernst Bohlmeijer</w:t>
      </w:r>
    </w:p>
  </w:footnote>
  <w:footnote w:id="52">
    <w:p w:rsidR="0052619A" w:rsidRDefault="0052619A">
      <w:pPr>
        <w:pStyle w:val="FootnoteText"/>
      </w:pPr>
      <w:r>
        <w:rPr>
          <w:rStyle w:val="FootnoteReference"/>
        </w:rPr>
        <w:footnoteRef/>
      </w:r>
      <w:r>
        <w:t xml:space="preserve"> Dan McAdams</w:t>
      </w:r>
    </w:p>
  </w:footnote>
  <w:footnote w:id="53">
    <w:p w:rsidR="0052619A" w:rsidRDefault="0052619A">
      <w:pPr>
        <w:pStyle w:val="FootnoteText"/>
      </w:pPr>
      <w:r>
        <w:rPr>
          <w:rStyle w:val="FootnoteReference"/>
        </w:rPr>
        <w:footnoteRef/>
      </w:r>
      <w:r>
        <w:t xml:space="preserve"> Socioemotional Selectivity Theory</w:t>
      </w:r>
    </w:p>
  </w:footnote>
  <w:footnote w:id="54">
    <w:p w:rsidR="0052619A" w:rsidRDefault="0052619A">
      <w:pPr>
        <w:pStyle w:val="FootnoteText"/>
      </w:pPr>
      <w:r>
        <w:rPr>
          <w:rStyle w:val="FootnoteReference"/>
        </w:rPr>
        <w:footnoteRef/>
      </w:r>
      <w:r>
        <w:t xml:space="preserve"> Laura Carstensen</w:t>
      </w:r>
    </w:p>
  </w:footnote>
  <w:footnote w:id="55">
    <w:p w:rsidR="0052619A" w:rsidRDefault="0052619A">
      <w:pPr>
        <w:pStyle w:val="FootnoteText"/>
      </w:pPr>
      <w:r>
        <w:rPr>
          <w:rStyle w:val="FootnoteReference"/>
        </w:rPr>
        <w:footnoteRef/>
      </w:r>
      <w:r>
        <w:t xml:space="preserve"> positivity effect</w:t>
      </w:r>
    </w:p>
  </w:footnote>
  <w:footnote w:id="56">
    <w:p w:rsidR="0052619A" w:rsidRDefault="0052619A">
      <w:pPr>
        <w:pStyle w:val="FootnoteText"/>
      </w:pPr>
      <w:r>
        <w:rPr>
          <w:rStyle w:val="FootnoteReference"/>
        </w:rPr>
        <w:footnoteRef/>
      </w:r>
      <w:r>
        <w:t xml:space="preserve"> Derek Isaacowitz</w:t>
      </w:r>
    </w:p>
  </w:footnote>
  <w:footnote w:id="57">
    <w:p w:rsidR="0052619A" w:rsidRDefault="0052619A">
      <w:pPr>
        <w:pStyle w:val="FootnoteText"/>
      </w:pPr>
      <w:r>
        <w:rPr>
          <w:rStyle w:val="FootnoteReference"/>
        </w:rPr>
        <w:footnoteRef/>
      </w:r>
      <w:r>
        <w:t xml:space="preserve"> Susan Charles</w:t>
      </w:r>
    </w:p>
  </w:footnote>
  <w:footnote w:id="58">
    <w:p w:rsidR="0052619A" w:rsidRDefault="0052619A">
      <w:pPr>
        <w:pStyle w:val="FootnoteText"/>
      </w:pPr>
      <w:r>
        <w:rPr>
          <w:rStyle w:val="FootnoteReference"/>
        </w:rPr>
        <w:footnoteRef/>
      </w:r>
      <w:r>
        <w:t xml:space="preserve"> Andrew Reed</w:t>
      </w:r>
    </w:p>
  </w:footnote>
  <w:footnote w:id="59">
    <w:p w:rsidR="0052619A" w:rsidRDefault="0052619A">
      <w:pPr>
        <w:pStyle w:val="FootnoteText"/>
      </w:pPr>
      <w:r>
        <w:rPr>
          <w:rStyle w:val="FootnoteReference"/>
        </w:rPr>
        <w:footnoteRef/>
      </w:r>
      <w:r>
        <w:t xml:space="preserve"> Larry Chan</w:t>
      </w:r>
    </w:p>
  </w:footnote>
  <w:footnote w:id="60">
    <w:p w:rsidR="0052619A" w:rsidRDefault="0052619A">
      <w:pPr>
        <w:pStyle w:val="FootnoteText"/>
      </w:pPr>
      <w:r>
        <w:rPr>
          <w:rStyle w:val="FootnoteReference"/>
        </w:rPr>
        <w:footnoteRef/>
      </w:r>
      <w:r>
        <w:t xml:space="preserve"> Joseph Mikels</w:t>
      </w:r>
    </w:p>
  </w:footnote>
  <w:footnote w:id="61">
    <w:p w:rsidR="0052619A" w:rsidRDefault="0052619A">
      <w:pPr>
        <w:pStyle w:val="FootnoteText"/>
      </w:pPr>
      <w:r>
        <w:rPr>
          <w:rStyle w:val="FootnoteReference"/>
        </w:rPr>
        <w:footnoteRef/>
      </w:r>
      <w:r>
        <w:t xml:space="preserve"> World Health Organization</w:t>
      </w:r>
    </w:p>
  </w:footnote>
  <w:footnote w:id="62">
    <w:p w:rsidR="0052619A" w:rsidRDefault="0052619A">
      <w:pPr>
        <w:pStyle w:val="FootnoteText"/>
      </w:pPr>
      <w:r>
        <w:rPr>
          <w:rStyle w:val="FootnoteReference"/>
        </w:rPr>
        <w:footnoteRef/>
      </w:r>
      <w:r>
        <w:t xml:space="preserve"> Disengagement Theory</w:t>
      </w:r>
    </w:p>
  </w:footnote>
  <w:footnote w:id="63">
    <w:p w:rsidR="0052619A" w:rsidRDefault="0052619A">
      <w:pPr>
        <w:pStyle w:val="FootnoteText"/>
      </w:pPr>
      <w:r>
        <w:rPr>
          <w:rStyle w:val="FootnoteReference"/>
        </w:rPr>
        <w:footnoteRef/>
      </w:r>
      <w:r>
        <w:t xml:space="preserve"> Elaine Cumming</w:t>
      </w:r>
    </w:p>
  </w:footnote>
  <w:footnote w:id="64">
    <w:p w:rsidR="0052619A" w:rsidRDefault="0052619A">
      <w:pPr>
        <w:pStyle w:val="FootnoteText"/>
      </w:pPr>
      <w:r>
        <w:rPr>
          <w:rStyle w:val="FootnoteReference"/>
        </w:rPr>
        <w:footnoteRef/>
      </w:r>
      <w:r>
        <w:t xml:space="preserve"> William Henry</w:t>
      </w:r>
    </w:p>
  </w:footnote>
  <w:footnote w:id="65">
    <w:p w:rsidR="0052619A" w:rsidRDefault="0052619A">
      <w:pPr>
        <w:pStyle w:val="FootnoteText"/>
      </w:pPr>
      <w:r>
        <w:rPr>
          <w:rStyle w:val="FootnoteReference"/>
        </w:rPr>
        <w:footnoteRef/>
      </w:r>
      <w:r>
        <w:t xml:space="preserve"> Robert Atchley</w:t>
      </w:r>
    </w:p>
  </w:footnote>
  <w:footnote w:id="66">
    <w:p w:rsidR="0052619A" w:rsidRDefault="0052619A">
      <w:pPr>
        <w:pStyle w:val="FootnoteText"/>
      </w:pPr>
      <w:r>
        <w:rPr>
          <w:rStyle w:val="FootnoteReference"/>
        </w:rPr>
        <w:footnoteRef/>
      </w:r>
      <w:r>
        <w:t xml:space="preserve"> John Rowe</w:t>
      </w:r>
    </w:p>
  </w:footnote>
  <w:footnote w:id="67">
    <w:p w:rsidR="0052619A" w:rsidRDefault="0052619A">
      <w:pPr>
        <w:pStyle w:val="FootnoteText"/>
      </w:pPr>
      <w:r>
        <w:rPr>
          <w:rStyle w:val="FootnoteReference"/>
        </w:rPr>
        <w:footnoteRef/>
      </w:r>
      <w:r>
        <w:t xml:space="preserve"> Robert Kahn</w:t>
      </w:r>
    </w:p>
  </w:footnote>
  <w:footnote w:id="68">
    <w:p w:rsidR="0052619A" w:rsidRDefault="0052619A">
      <w:pPr>
        <w:pStyle w:val="FootnoteText"/>
      </w:pPr>
      <w:r>
        <w:rPr>
          <w:rStyle w:val="FootnoteReference"/>
        </w:rPr>
        <w:footnoteRef/>
      </w:r>
      <w:r>
        <w:t xml:space="preserve"> Robert Havighurst</w:t>
      </w:r>
    </w:p>
  </w:footnote>
  <w:footnote w:id="69">
    <w:p w:rsidR="0052619A" w:rsidRDefault="0052619A">
      <w:pPr>
        <w:pStyle w:val="FootnoteText"/>
      </w:pPr>
      <w:r>
        <w:rPr>
          <w:rStyle w:val="FootnoteReference"/>
        </w:rPr>
        <w:footnoteRef/>
      </w:r>
      <w:r>
        <w:t xml:space="preserve"> Bernice Neugarten</w:t>
      </w:r>
    </w:p>
  </w:footnote>
  <w:footnote w:id="70">
    <w:p w:rsidR="0052619A" w:rsidRDefault="0052619A">
      <w:pPr>
        <w:pStyle w:val="FootnoteText"/>
      </w:pPr>
      <w:r>
        <w:rPr>
          <w:rStyle w:val="FootnoteReference"/>
        </w:rPr>
        <w:footnoteRef/>
      </w:r>
      <w:r>
        <w:t xml:space="preserve"> Sheldon Tobin</w:t>
      </w:r>
    </w:p>
  </w:footnote>
  <w:footnote w:id="71">
    <w:p w:rsidR="0052619A" w:rsidRDefault="0052619A">
      <w:pPr>
        <w:pStyle w:val="FootnoteText"/>
      </w:pPr>
      <w:r>
        <w:rPr>
          <w:rStyle w:val="FootnoteReference"/>
        </w:rPr>
        <w:footnoteRef/>
      </w:r>
      <w:r>
        <w:t xml:space="preserve"> James Dowd</w:t>
      </w:r>
    </w:p>
  </w:footnote>
  <w:footnote w:id="72">
    <w:p w:rsidR="0052619A" w:rsidRDefault="0052619A">
      <w:pPr>
        <w:pStyle w:val="FootnoteText"/>
      </w:pPr>
      <w:r>
        <w:rPr>
          <w:rStyle w:val="FootnoteReference"/>
        </w:rPr>
        <w:footnoteRef/>
      </w:r>
      <w:r>
        <w:t xml:space="preserve"> Continuity Theory</w:t>
      </w:r>
    </w:p>
  </w:footnote>
  <w:footnote w:id="73">
    <w:p w:rsidR="0052619A" w:rsidRDefault="0052619A">
      <w:pPr>
        <w:pStyle w:val="FootnoteText"/>
      </w:pPr>
      <w:r>
        <w:rPr>
          <w:rStyle w:val="FootnoteReference"/>
        </w:rPr>
        <w:footnoteRef/>
      </w:r>
      <w:r>
        <w:t xml:space="preserve"> Robert Atchley</w:t>
      </w:r>
    </w:p>
  </w:footnote>
  <w:footnote w:id="74">
    <w:p w:rsidR="0052619A" w:rsidRDefault="0052619A">
      <w:pPr>
        <w:pStyle w:val="FootnoteText"/>
      </w:pPr>
      <w:r>
        <w:rPr>
          <w:rStyle w:val="FootnoteReference"/>
        </w:rPr>
        <w:footnoteRef/>
      </w:r>
      <w:r>
        <w:t xml:space="preserve"> Nordgren</w:t>
      </w:r>
    </w:p>
  </w:footnote>
  <w:footnote w:id="75">
    <w:p w:rsidR="0052619A" w:rsidRDefault="0052619A">
      <w:pPr>
        <w:pStyle w:val="FootnoteText"/>
      </w:pPr>
      <w:r>
        <w:rPr>
          <w:rStyle w:val="FootnoteReference"/>
        </w:rPr>
        <w:footnoteRef/>
      </w:r>
      <w:r>
        <w:t xml:space="preserve"> Martin</w:t>
      </w:r>
    </w:p>
  </w:footnote>
  <w:footnote w:id="76">
    <w:p w:rsidR="0052619A" w:rsidRDefault="0052619A">
      <w:pPr>
        <w:pStyle w:val="FootnoteText"/>
      </w:pPr>
      <w:r>
        <w:rPr>
          <w:rStyle w:val="FootnoteReference"/>
        </w:rPr>
        <w:footnoteRef/>
      </w:r>
      <w:r>
        <w:t xml:space="preserve"> Terror Management Theory</w:t>
      </w:r>
    </w:p>
  </w:footnote>
  <w:footnote w:id="77">
    <w:p w:rsidR="0052619A" w:rsidRDefault="0052619A">
      <w:pPr>
        <w:pStyle w:val="FootnoteText"/>
      </w:pPr>
      <w:r>
        <w:rPr>
          <w:rStyle w:val="FootnoteReference"/>
        </w:rPr>
        <w:footnoteRef/>
      </w:r>
      <w:r>
        <w:t xml:space="preserve"> Tom Pyszczynski</w:t>
      </w:r>
    </w:p>
  </w:footnote>
  <w:footnote w:id="78">
    <w:p w:rsidR="0052619A" w:rsidRDefault="0052619A">
      <w:pPr>
        <w:pStyle w:val="FootnoteText"/>
      </w:pPr>
      <w:r>
        <w:rPr>
          <w:rStyle w:val="FootnoteReference"/>
        </w:rPr>
        <w:footnoteRef/>
      </w:r>
      <w:r>
        <w:t xml:space="preserve"> Sigmund Freud</w:t>
      </w:r>
    </w:p>
  </w:footnote>
  <w:footnote w:id="79">
    <w:p w:rsidR="0052619A" w:rsidRDefault="0052619A">
      <w:pPr>
        <w:pStyle w:val="FootnoteText"/>
      </w:pPr>
      <w:r>
        <w:rPr>
          <w:rStyle w:val="FootnoteReference"/>
        </w:rPr>
        <w:footnoteRef/>
      </w:r>
      <w:r>
        <w:t xml:space="preserve"> Lisa Iverach</w:t>
      </w:r>
    </w:p>
  </w:footnote>
  <w:footnote w:id="80">
    <w:p w:rsidR="0052619A" w:rsidRDefault="0052619A">
      <w:pPr>
        <w:pStyle w:val="FootnoteText"/>
      </w:pPr>
      <w:r>
        <w:rPr>
          <w:rStyle w:val="FootnoteReference"/>
        </w:rPr>
        <w:footnoteRef/>
      </w:r>
      <w:r>
        <w:t xml:space="preserve"> Ross Menzies</w:t>
      </w:r>
    </w:p>
  </w:footnote>
  <w:footnote w:id="81">
    <w:p w:rsidR="0052619A" w:rsidRDefault="0052619A">
      <w:pPr>
        <w:pStyle w:val="FootnoteText"/>
      </w:pPr>
      <w:r>
        <w:rPr>
          <w:rStyle w:val="FootnoteReference"/>
        </w:rPr>
        <w:footnoteRef/>
      </w:r>
      <w:r>
        <w:t xml:space="preserve"> Irvin Yalom</w:t>
      </w:r>
    </w:p>
  </w:footnote>
  <w:footnote w:id="82">
    <w:p w:rsidR="0052619A" w:rsidRDefault="0052619A">
      <w:pPr>
        <w:pStyle w:val="FootnoteText"/>
      </w:pPr>
      <w:r>
        <w:rPr>
          <w:rStyle w:val="FootnoteReference"/>
        </w:rPr>
        <w:footnoteRef/>
      </w:r>
      <w:r>
        <w:t xml:space="preserve"> Meaning Management Theory</w:t>
      </w:r>
    </w:p>
  </w:footnote>
  <w:footnote w:id="83">
    <w:p w:rsidR="0052619A" w:rsidRDefault="0052619A">
      <w:pPr>
        <w:pStyle w:val="FootnoteText"/>
      </w:pPr>
      <w:r>
        <w:rPr>
          <w:rStyle w:val="FootnoteReference"/>
        </w:rPr>
        <w:footnoteRef/>
      </w:r>
      <w:r>
        <w:t xml:space="preserve"> Paul Wong</w:t>
      </w:r>
    </w:p>
  </w:footnote>
  <w:footnote w:id="84">
    <w:p w:rsidR="0052619A" w:rsidRDefault="0052619A">
      <w:pPr>
        <w:pStyle w:val="FootnoteText"/>
      </w:pPr>
      <w:r>
        <w:rPr>
          <w:rStyle w:val="FootnoteReference"/>
        </w:rPr>
        <w:footnoteRef/>
      </w:r>
      <w:r>
        <w:t xml:space="preserve"> Jeff Greenberg</w:t>
      </w:r>
    </w:p>
  </w:footnote>
  <w:footnote w:id="85">
    <w:p w:rsidR="0052619A" w:rsidRDefault="0052619A">
      <w:pPr>
        <w:pStyle w:val="FootnoteText"/>
      </w:pPr>
      <w:r>
        <w:rPr>
          <w:rStyle w:val="FootnoteReference"/>
        </w:rPr>
        <w:footnoteRef/>
      </w:r>
      <w:r>
        <w:t xml:space="preserve"> Terror Management Theory</w:t>
      </w:r>
    </w:p>
  </w:footnote>
  <w:footnote w:id="86">
    <w:p w:rsidR="0052619A" w:rsidRDefault="0052619A">
      <w:pPr>
        <w:pStyle w:val="FootnoteText"/>
      </w:pPr>
      <w:r>
        <w:rPr>
          <w:rStyle w:val="FootnoteReference"/>
        </w:rPr>
        <w:footnoteRef/>
      </w:r>
      <w:r>
        <w:t xml:space="preserve"> Tom Pyszczynski</w:t>
      </w:r>
    </w:p>
  </w:footnote>
  <w:footnote w:id="87">
    <w:p w:rsidR="0052619A" w:rsidRDefault="0052619A">
      <w:pPr>
        <w:pStyle w:val="FootnoteText"/>
      </w:pPr>
      <w:r>
        <w:rPr>
          <w:rStyle w:val="FootnoteReference"/>
        </w:rPr>
        <w:footnoteRef/>
      </w:r>
      <w:r>
        <w:t xml:space="preserve"> Mario Mikulincer</w:t>
      </w:r>
    </w:p>
  </w:footnote>
  <w:footnote w:id="88">
    <w:p w:rsidR="0052619A" w:rsidRDefault="0052619A">
      <w:pPr>
        <w:pStyle w:val="FootnoteText"/>
      </w:pPr>
      <w:r>
        <w:rPr>
          <w:rStyle w:val="FootnoteReference"/>
        </w:rPr>
        <w:footnoteRef/>
      </w:r>
      <w:r>
        <w:t xml:space="preserve"> Victor Florian</w:t>
      </w:r>
    </w:p>
  </w:footnote>
  <w:footnote w:id="89">
    <w:p w:rsidR="0052619A" w:rsidRDefault="0052619A">
      <w:pPr>
        <w:pStyle w:val="FootnoteText"/>
      </w:pPr>
      <w:r>
        <w:rPr>
          <w:rStyle w:val="FootnoteReference"/>
        </w:rPr>
        <w:footnoteRef/>
      </w:r>
      <w:r>
        <w:t xml:space="preserve"> John Bowlby</w:t>
      </w:r>
    </w:p>
  </w:footnote>
  <w:footnote w:id="90">
    <w:p w:rsidR="0052619A" w:rsidRDefault="0052619A">
      <w:pPr>
        <w:pStyle w:val="FootnoteText"/>
      </w:pPr>
      <w:r>
        <w:rPr>
          <w:rStyle w:val="FootnoteReference"/>
        </w:rPr>
        <w:footnoteRef/>
      </w:r>
      <w:r>
        <w:t xml:space="preserve"> Lisa Iverach</w:t>
      </w:r>
    </w:p>
  </w:footnote>
  <w:footnote w:id="91">
    <w:p w:rsidR="0052619A" w:rsidRDefault="0052619A">
      <w:pPr>
        <w:pStyle w:val="FootnoteText"/>
      </w:pPr>
      <w:r>
        <w:rPr>
          <w:rStyle w:val="FootnoteReference"/>
        </w:rPr>
        <w:footnoteRef/>
      </w:r>
      <w:r>
        <w:t xml:space="preserve"> Robert Neimeyer</w:t>
      </w:r>
    </w:p>
  </w:footnote>
  <w:footnote w:id="92">
    <w:p w:rsidR="0052619A" w:rsidRDefault="0052619A">
      <w:pPr>
        <w:pStyle w:val="FootnoteText"/>
      </w:pPr>
      <w:r>
        <w:rPr>
          <w:rStyle w:val="FootnoteReference"/>
        </w:rPr>
        <w:footnoteRef/>
      </w:r>
      <w:r>
        <w:t xml:space="preserve"> Vincent van Bruggen</w:t>
      </w:r>
    </w:p>
  </w:footnote>
  <w:footnote w:id="93">
    <w:p w:rsidR="0052619A" w:rsidRDefault="0052619A">
      <w:pPr>
        <w:pStyle w:val="FootnoteText"/>
      </w:pPr>
      <w:r>
        <w:rPr>
          <w:rStyle w:val="FootnoteReference"/>
        </w:rPr>
        <w:footnoteRef/>
      </w:r>
      <w:r>
        <w:t xml:space="preserve"> Huang</w:t>
      </w:r>
    </w:p>
  </w:footnote>
  <w:footnote w:id="94">
    <w:p w:rsidR="0052619A" w:rsidRDefault="0052619A">
      <w:pPr>
        <w:pStyle w:val="FootnoteText"/>
      </w:pPr>
      <w:r>
        <w:rPr>
          <w:rStyle w:val="FootnoteReference"/>
        </w:rPr>
        <w:footnoteRef/>
      </w:r>
      <w:r>
        <w:t xml:space="preserve"> Lisa Iverach</w:t>
      </w:r>
    </w:p>
  </w:footnote>
  <w:footnote w:id="95">
    <w:p w:rsidR="0052619A" w:rsidRDefault="0052619A">
      <w:pPr>
        <w:pStyle w:val="FootnoteText"/>
      </w:pPr>
      <w:r>
        <w:rPr>
          <w:rStyle w:val="FootnoteReference"/>
        </w:rPr>
        <w:footnoteRef/>
      </w:r>
      <w:r>
        <w:t xml:space="preserve"> Rachel Menzies</w:t>
      </w:r>
    </w:p>
  </w:footnote>
  <w:footnote w:id="96">
    <w:p w:rsidR="0052619A" w:rsidRDefault="0052619A">
      <w:pPr>
        <w:pStyle w:val="FootnoteText"/>
      </w:pPr>
      <w:r>
        <w:rPr>
          <w:rStyle w:val="FootnoteReference"/>
        </w:rPr>
        <w:footnoteRef/>
      </w:r>
      <w:r>
        <w:t xml:space="preserve"> Robert Sternberg</w:t>
      </w:r>
    </w:p>
  </w:footnote>
  <w:footnote w:id="97">
    <w:p w:rsidR="0052619A" w:rsidRDefault="0052619A">
      <w:pPr>
        <w:pStyle w:val="FootnoteText"/>
      </w:pPr>
      <w:r>
        <w:rPr>
          <w:rStyle w:val="FootnoteReference"/>
        </w:rPr>
        <w:footnoteRef/>
      </w:r>
      <w:r>
        <w:t xml:space="preserve"> John Mayer</w:t>
      </w:r>
    </w:p>
  </w:footnote>
  <w:footnote w:id="98">
    <w:p w:rsidR="0052619A" w:rsidRDefault="0052619A">
      <w:pPr>
        <w:pStyle w:val="FootnoteText"/>
      </w:pPr>
      <w:r>
        <w:rPr>
          <w:rStyle w:val="FootnoteReference"/>
        </w:rPr>
        <w:footnoteRef/>
      </w:r>
      <w:r>
        <w:t xml:space="preserve"> Peter Salovey</w:t>
      </w:r>
    </w:p>
  </w:footnote>
  <w:footnote w:id="99">
    <w:p w:rsidR="0052619A" w:rsidRDefault="0052619A">
      <w:pPr>
        <w:pStyle w:val="FootnoteText"/>
      </w:pPr>
      <w:r>
        <w:rPr>
          <w:rStyle w:val="FootnoteReference"/>
        </w:rPr>
        <w:footnoteRef/>
      </w:r>
      <w:r>
        <w:t xml:space="preserve"> Cristina Pinto</w:t>
      </w:r>
    </w:p>
  </w:footnote>
  <w:footnote w:id="100">
    <w:p w:rsidR="0052619A" w:rsidRDefault="0052619A">
      <w:pPr>
        <w:pStyle w:val="FootnoteText"/>
      </w:pPr>
      <w:r>
        <w:rPr>
          <w:rStyle w:val="FootnoteReference"/>
        </w:rPr>
        <w:footnoteRef/>
      </w:r>
      <w:r>
        <w:t xml:space="preserve"> Cristina Pinto</w:t>
      </w:r>
    </w:p>
  </w:footnote>
  <w:footnote w:id="101">
    <w:p w:rsidR="0052619A" w:rsidRDefault="0052619A">
      <w:pPr>
        <w:pStyle w:val="FootnoteText"/>
      </w:pPr>
      <w:r>
        <w:rPr>
          <w:rStyle w:val="FootnoteReference"/>
        </w:rPr>
        <w:footnoteRef/>
      </w:r>
      <w:r>
        <w:t xml:space="preserve"> Richard Ryan</w:t>
      </w:r>
    </w:p>
  </w:footnote>
  <w:footnote w:id="102">
    <w:p w:rsidR="0052619A" w:rsidRDefault="0052619A">
      <w:pPr>
        <w:pStyle w:val="FootnoteText"/>
      </w:pPr>
      <w:r>
        <w:rPr>
          <w:rStyle w:val="FootnoteReference"/>
        </w:rPr>
        <w:footnoteRef/>
      </w:r>
      <w:r>
        <w:t xml:space="preserve"> Edward Deci</w:t>
      </w:r>
    </w:p>
  </w:footnote>
  <w:footnote w:id="103">
    <w:p w:rsidR="0052619A" w:rsidRDefault="0052619A">
      <w:pPr>
        <w:pStyle w:val="FootnoteText"/>
      </w:pPr>
      <w:r>
        <w:rPr>
          <w:rStyle w:val="FootnoteReference"/>
        </w:rPr>
        <w:footnoteRef/>
      </w:r>
      <w:r>
        <w:t xml:space="preserve"> Carol Ryff</w:t>
      </w:r>
    </w:p>
  </w:footnote>
  <w:footnote w:id="104">
    <w:p w:rsidR="0052619A" w:rsidRDefault="0052619A">
      <w:pPr>
        <w:pStyle w:val="FootnoteText"/>
      </w:pPr>
      <w:r>
        <w:rPr>
          <w:rStyle w:val="FootnoteReference"/>
        </w:rPr>
        <w:footnoteRef/>
      </w:r>
      <w:r>
        <w:t xml:space="preserve"> American Psychiatric Association</w:t>
      </w:r>
    </w:p>
  </w:footnote>
  <w:footnote w:id="105">
    <w:p w:rsidR="0052619A" w:rsidRDefault="0052619A">
      <w:pPr>
        <w:pStyle w:val="FootnoteText"/>
      </w:pPr>
      <w:r>
        <w:rPr>
          <w:rStyle w:val="FootnoteReference"/>
        </w:rPr>
        <w:footnoteRef/>
      </w:r>
      <w:r>
        <w:t xml:space="preserve"> Ed Diener</w:t>
      </w:r>
    </w:p>
  </w:footnote>
  <w:footnote w:id="106">
    <w:p w:rsidR="0052619A" w:rsidRDefault="0052619A">
      <w:pPr>
        <w:pStyle w:val="FootnoteText"/>
      </w:pPr>
      <w:r>
        <w:rPr>
          <w:rStyle w:val="FootnoteReference"/>
        </w:rPr>
        <w:footnoteRef/>
      </w:r>
      <w:r>
        <w:t xml:space="preserve"> Carol Ryff</w:t>
      </w:r>
    </w:p>
  </w:footnote>
  <w:footnote w:id="107">
    <w:p w:rsidR="0052619A" w:rsidRDefault="0052619A">
      <w:pPr>
        <w:pStyle w:val="FootnoteText"/>
      </w:pPr>
      <w:r>
        <w:rPr>
          <w:rStyle w:val="FootnoteReference"/>
        </w:rPr>
        <w:footnoteRef/>
      </w:r>
      <w:r>
        <w:t xml:space="preserve"> Corey Keyes</w:t>
      </w:r>
    </w:p>
  </w:footnote>
  <w:footnote w:id="108">
    <w:p w:rsidR="0052619A" w:rsidRDefault="0052619A">
      <w:pPr>
        <w:pStyle w:val="FootnoteText"/>
      </w:pPr>
      <w:r>
        <w:rPr>
          <w:rStyle w:val="FootnoteReference"/>
        </w:rPr>
        <w:footnoteRef/>
      </w:r>
      <w:r>
        <w:t xml:space="preserve"> Carol Ryff</w:t>
      </w:r>
    </w:p>
  </w:footnote>
  <w:footnote w:id="109">
    <w:p w:rsidR="0052619A" w:rsidRDefault="0052619A">
      <w:pPr>
        <w:pStyle w:val="FootnoteText"/>
      </w:pPr>
      <w:r>
        <w:rPr>
          <w:rStyle w:val="FootnoteReference"/>
        </w:rPr>
        <w:footnoteRef/>
      </w:r>
      <w:r>
        <w:t xml:space="preserve"> Parvathy Valsala</w:t>
      </w:r>
    </w:p>
  </w:footnote>
  <w:footnote w:id="110">
    <w:p w:rsidR="0052619A" w:rsidRDefault="0052619A">
      <w:pPr>
        <w:pStyle w:val="FootnoteText"/>
      </w:pPr>
      <w:r>
        <w:rPr>
          <w:rStyle w:val="FootnoteReference"/>
        </w:rPr>
        <w:footnoteRef/>
      </w:r>
      <w:r>
        <w:t xml:space="preserve"> Preetha Menon</w:t>
      </w:r>
    </w:p>
  </w:footnote>
  <w:footnote w:id="111">
    <w:p w:rsidR="0052619A" w:rsidRDefault="0052619A">
      <w:pPr>
        <w:pStyle w:val="FootnoteText"/>
      </w:pPr>
      <w:r>
        <w:rPr>
          <w:rStyle w:val="FootnoteReference"/>
        </w:rPr>
        <w:footnoteRef/>
      </w:r>
      <w:r>
        <w:t xml:space="preserve"> Carl Jung</w:t>
      </w:r>
    </w:p>
  </w:footnote>
  <w:footnote w:id="112">
    <w:p w:rsidR="0052619A" w:rsidRDefault="0052619A">
      <w:pPr>
        <w:pStyle w:val="FootnoteText"/>
      </w:pPr>
      <w:r>
        <w:rPr>
          <w:rStyle w:val="FootnoteReference"/>
        </w:rPr>
        <w:footnoteRef/>
      </w:r>
      <w:r>
        <w:t xml:space="preserve"> Joseph Wagenseller</w:t>
      </w:r>
    </w:p>
  </w:footnote>
  <w:footnote w:id="113">
    <w:p w:rsidR="0052619A" w:rsidRDefault="0052619A">
      <w:pPr>
        <w:pStyle w:val="FootnoteText"/>
      </w:pPr>
      <w:r>
        <w:rPr>
          <w:rStyle w:val="FootnoteReference"/>
        </w:rPr>
        <w:footnoteRef/>
      </w:r>
      <w:r>
        <w:t xml:space="preserve"> Cristina Pinto</w:t>
      </w:r>
    </w:p>
  </w:footnote>
  <w:footnote w:id="114">
    <w:p w:rsidR="0052619A" w:rsidRDefault="0052619A">
      <w:pPr>
        <w:pStyle w:val="FootnoteText"/>
      </w:pPr>
      <w:r>
        <w:rPr>
          <w:rStyle w:val="FootnoteReference"/>
        </w:rPr>
        <w:footnoteRef/>
      </w:r>
      <w:r>
        <w:t xml:space="preserve"> David King</w:t>
      </w:r>
    </w:p>
  </w:footnote>
  <w:footnote w:id="115">
    <w:p w:rsidR="0052619A" w:rsidRDefault="0052619A">
      <w:pPr>
        <w:pStyle w:val="FootnoteText"/>
      </w:pPr>
      <w:r>
        <w:rPr>
          <w:rStyle w:val="FootnoteReference"/>
        </w:rPr>
        <w:footnoteRef/>
      </w:r>
      <w:r>
        <w:t xml:space="preserve"> Teresa DeCicco</w:t>
      </w:r>
    </w:p>
  </w:footnote>
  <w:footnote w:id="116">
    <w:p w:rsidR="0052619A" w:rsidRDefault="0052619A">
      <w:pPr>
        <w:pStyle w:val="FootnoteText"/>
      </w:pPr>
      <w:r>
        <w:rPr>
          <w:rStyle w:val="FootnoteReference"/>
        </w:rPr>
        <w:footnoteRef/>
      </w:r>
      <w:r>
        <w:t xml:space="preserve"> Ed Diener</w:t>
      </w:r>
    </w:p>
  </w:footnote>
  <w:footnote w:id="117">
    <w:p w:rsidR="0052619A" w:rsidRDefault="0052619A">
      <w:pPr>
        <w:pStyle w:val="FootnoteText"/>
      </w:pPr>
      <w:r>
        <w:rPr>
          <w:rStyle w:val="FootnoteReference"/>
        </w:rPr>
        <w:footnoteRef/>
      </w:r>
      <w:r>
        <w:t xml:space="preserve"> Shigehiro Oishi</w:t>
      </w:r>
    </w:p>
  </w:footnote>
  <w:footnote w:id="118">
    <w:p w:rsidR="0052619A" w:rsidRDefault="0052619A">
      <w:pPr>
        <w:pStyle w:val="FootnoteText"/>
      </w:pPr>
      <w:r>
        <w:rPr>
          <w:rStyle w:val="FootnoteReference"/>
        </w:rPr>
        <w:footnoteRef/>
      </w:r>
      <w:r>
        <w:t xml:space="preserve"> Louis Tay</w:t>
      </w:r>
    </w:p>
  </w:footnote>
  <w:footnote w:id="119">
    <w:p w:rsidR="0052619A" w:rsidRDefault="0052619A">
      <w:pPr>
        <w:pStyle w:val="FootnoteText"/>
      </w:pPr>
      <w:r>
        <w:rPr>
          <w:rStyle w:val="FootnoteReference"/>
        </w:rPr>
        <w:footnoteRef/>
      </w:r>
      <w:r>
        <w:t xml:space="preserve"> David King</w:t>
      </w:r>
    </w:p>
  </w:footnote>
  <w:footnote w:id="120">
    <w:p w:rsidR="0052619A" w:rsidRDefault="0052619A">
      <w:pPr>
        <w:pStyle w:val="FootnoteText"/>
      </w:pPr>
      <w:r>
        <w:rPr>
          <w:rStyle w:val="FootnoteReference"/>
        </w:rPr>
        <w:footnoteRef/>
      </w:r>
      <w:r>
        <w:t xml:space="preserve"> Teresa DeCicco</w:t>
      </w:r>
    </w:p>
  </w:footnote>
  <w:footnote w:id="121">
    <w:p w:rsidR="0052619A" w:rsidRDefault="0052619A">
      <w:pPr>
        <w:pStyle w:val="FootnoteText"/>
      </w:pPr>
      <w:r>
        <w:rPr>
          <w:rStyle w:val="FootnoteReference"/>
        </w:rPr>
        <w:footnoteRef/>
      </w:r>
      <w:r>
        <w:t xml:space="preserve"> Katarina Kikas</w:t>
      </w:r>
    </w:p>
  </w:footnote>
  <w:footnote w:id="122">
    <w:p w:rsidR="0052619A" w:rsidRDefault="0052619A">
      <w:pPr>
        <w:pStyle w:val="FootnoteText"/>
      </w:pPr>
      <w:r>
        <w:rPr>
          <w:rStyle w:val="FootnoteReference"/>
        </w:rPr>
        <w:footnoteRef/>
      </w:r>
      <w:r>
        <w:t xml:space="preserve"> Diagnostic and Statistical Manual of Mental Disorders</w:t>
      </w:r>
    </w:p>
  </w:footnote>
  <w:footnote w:id="123">
    <w:p w:rsidR="0052619A" w:rsidRDefault="0052619A">
      <w:pPr>
        <w:pStyle w:val="FootnoteText"/>
      </w:pPr>
      <w:r>
        <w:rPr>
          <w:rStyle w:val="FootnoteReference"/>
        </w:rPr>
        <w:footnoteRef/>
      </w:r>
      <w:r>
        <w:t xml:space="preserve"> Katarina Kikas</w:t>
      </w:r>
    </w:p>
  </w:footnote>
  <w:footnote w:id="124">
    <w:p w:rsidR="0052619A" w:rsidRDefault="0052619A">
      <w:pPr>
        <w:pStyle w:val="FootnoteText"/>
      </w:pPr>
      <w:r>
        <w:rPr>
          <w:rStyle w:val="FootnoteReference"/>
        </w:rPr>
        <w:footnoteRef/>
      </w:r>
      <w:r>
        <w:t xml:space="preserve"> Brynjar Halldórsson</w:t>
      </w:r>
    </w:p>
  </w:footnote>
  <w:footnote w:id="125">
    <w:p w:rsidR="0052619A" w:rsidRDefault="0052619A">
      <w:pPr>
        <w:pStyle w:val="FootnoteText"/>
      </w:pPr>
      <w:r>
        <w:rPr>
          <w:rStyle w:val="FootnoteReference"/>
        </w:rPr>
        <w:footnoteRef/>
      </w:r>
      <w:r>
        <w:t xml:space="preserve"> Diagnostic and Statistical Manual of Mental Disorders</w:t>
      </w:r>
    </w:p>
  </w:footnote>
  <w:footnote w:id="126">
    <w:p w:rsidR="0052619A" w:rsidRDefault="0052619A">
      <w:pPr>
        <w:pStyle w:val="FootnoteText"/>
      </w:pPr>
      <w:r>
        <w:rPr>
          <w:rStyle w:val="FootnoteReference"/>
        </w:rPr>
        <w:footnoteRef/>
      </w:r>
      <w:r>
        <w:t xml:space="preserve"> American Psychiatric Association</w:t>
      </w:r>
    </w:p>
  </w:footnote>
  <w:footnote w:id="127">
    <w:p w:rsidR="0052619A" w:rsidRDefault="0052619A">
      <w:pPr>
        <w:pStyle w:val="FootnoteText"/>
      </w:pPr>
      <w:r>
        <w:rPr>
          <w:rStyle w:val="FootnoteReference"/>
        </w:rPr>
        <w:footnoteRef/>
      </w:r>
      <w:r>
        <w:t xml:space="preserve"> Paul Salkovskis</w:t>
      </w:r>
    </w:p>
  </w:footnote>
  <w:footnote w:id="128">
    <w:p w:rsidR="0052619A" w:rsidRDefault="0052619A">
      <w:pPr>
        <w:pStyle w:val="FootnoteText"/>
      </w:pPr>
      <w:r>
        <w:rPr>
          <w:rStyle w:val="FootnoteReference"/>
        </w:rPr>
        <w:footnoteRef/>
      </w:r>
      <w:r>
        <w:t xml:space="preserve"> Hilary Warwick</w:t>
      </w:r>
    </w:p>
  </w:footnote>
  <w:footnote w:id="129">
    <w:p w:rsidR="0052619A" w:rsidRDefault="0052619A">
      <w:pPr>
        <w:pStyle w:val="FootnoteText"/>
      </w:pPr>
      <w:r>
        <w:rPr>
          <w:rStyle w:val="FootnoteReference"/>
        </w:rPr>
        <w:footnoteRef/>
      </w:r>
      <w:r>
        <w:t xml:space="preserve"> Steven Taylor</w:t>
      </w:r>
    </w:p>
  </w:footnote>
  <w:footnote w:id="130">
    <w:p w:rsidR="0052619A" w:rsidRDefault="0052619A">
      <w:pPr>
        <w:pStyle w:val="FootnoteText"/>
      </w:pPr>
      <w:r>
        <w:rPr>
          <w:rStyle w:val="FootnoteReference"/>
        </w:rPr>
        <w:footnoteRef/>
      </w:r>
      <w:r>
        <w:t xml:space="preserve"> Gordon Asmundson</w:t>
      </w:r>
    </w:p>
  </w:footnote>
  <w:footnote w:id="131">
    <w:p w:rsidR="0052619A" w:rsidRDefault="0052619A">
      <w:pPr>
        <w:pStyle w:val="FootnoteText"/>
      </w:pPr>
      <w:r>
        <w:rPr>
          <w:rStyle w:val="FootnoteReference"/>
        </w:rPr>
        <w:footnoteRef/>
      </w:r>
      <w:r>
        <w:t xml:space="preserve"> Brynjar Halldórsson</w:t>
      </w:r>
    </w:p>
  </w:footnote>
  <w:footnote w:id="132">
    <w:p w:rsidR="0052619A" w:rsidRDefault="0052619A">
      <w:pPr>
        <w:pStyle w:val="FootnoteText"/>
      </w:pPr>
      <w:r>
        <w:rPr>
          <w:rStyle w:val="FootnoteReference"/>
        </w:rPr>
        <w:footnoteRef/>
      </w:r>
      <w:r>
        <w:t xml:space="preserve"> Katarina Kikas</w:t>
      </w:r>
    </w:p>
  </w:footnote>
  <w:footnote w:id="133">
    <w:p w:rsidR="0052619A" w:rsidRDefault="0052619A">
      <w:pPr>
        <w:pStyle w:val="FootnoteText"/>
      </w:pPr>
      <w:r>
        <w:rPr>
          <w:rStyle w:val="FootnoteReference"/>
        </w:rPr>
        <w:footnoteRef/>
      </w:r>
      <w:r>
        <w:t xml:space="preserve"> Jonathan Abramowitz</w:t>
      </w:r>
    </w:p>
  </w:footnote>
  <w:footnote w:id="134">
    <w:p w:rsidR="0052619A" w:rsidRDefault="0052619A">
      <w:pPr>
        <w:pStyle w:val="FootnoteText"/>
      </w:pPr>
      <w:r>
        <w:rPr>
          <w:rStyle w:val="FootnoteReference"/>
        </w:rPr>
        <w:footnoteRef/>
      </w:r>
      <w:r>
        <w:t xml:space="preserve"> Autumn Braddock</w:t>
      </w:r>
    </w:p>
  </w:footnote>
  <w:footnote w:id="135">
    <w:p w:rsidR="0052619A" w:rsidRDefault="0052619A">
      <w:pPr>
        <w:pStyle w:val="FootnoteText"/>
      </w:pPr>
      <w:r>
        <w:rPr>
          <w:rStyle w:val="FootnoteReference"/>
        </w:rPr>
        <w:footnoteRef/>
      </w:r>
      <w:r>
        <w:t xml:space="preserve"> Rebecca Gould</w:t>
      </w:r>
    </w:p>
  </w:footnote>
  <w:footnote w:id="136">
    <w:p w:rsidR="0052619A" w:rsidRDefault="0052619A">
      <w:pPr>
        <w:pStyle w:val="FootnoteText"/>
      </w:pPr>
      <w:r>
        <w:rPr>
          <w:rStyle w:val="FootnoteReference"/>
        </w:rPr>
        <w:footnoteRef/>
      </w:r>
      <w:r>
        <w:t xml:space="preserve"> American Psychological Association</w:t>
      </w:r>
    </w:p>
  </w:footnote>
  <w:footnote w:id="137">
    <w:p w:rsidR="0052619A" w:rsidRDefault="0052619A">
      <w:pPr>
        <w:pStyle w:val="FootnoteText"/>
      </w:pPr>
      <w:r>
        <w:rPr>
          <w:rStyle w:val="FootnoteReference"/>
        </w:rPr>
        <w:footnoteRef/>
      </w:r>
      <w:r>
        <w:t xml:space="preserve"> Judith Beck</w:t>
      </w:r>
    </w:p>
  </w:footnote>
  <w:footnote w:id="138">
    <w:p w:rsidR="0052619A" w:rsidRDefault="0052619A">
      <w:pPr>
        <w:pStyle w:val="FootnoteText"/>
      </w:pPr>
      <w:r>
        <w:rPr>
          <w:rStyle w:val="FootnoteReference"/>
        </w:rPr>
        <w:footnoteRef/>
      </w:r>
      <w:r>
        <w:t xml:space="preserve"> Emily Haigh</w:t>
      </w:r>
    </w:p>
  </w:footnote>
  <w:footnote w:id="139">
    <w:p w:rsidR="0052619A" w:rsidRDefault="0052619A">
      <w:pPr>
        <w:pStyle w:val="FootnoteText"/>
      </w:pPr>
      <w:r>
        <w:rPr>
          <w:rStyle w:val="FootnoteReference"/>
        </w:rPr>
        <w:footnoteRef/>
      </w:r>
      <w:r>
        <w:t xml:space="preserve"> Derek Bolton</w:t>
      </w:r>
    </w:p>
  </w:footnote>
  <w:footnote w:id="140">
    <w:p w:rsidR="0052619A" w:rsidRDefault="0052619A">
      <w:pPr>
        <w:pStyle w:val="FootnoteText"/>
      </w:pPr>
      <w:r>
        <w:rPr>
          <w:rStyle w:val="FootnoteReference"/>
        </w:rPr>
        <w:footnoteRef/>
      </w:r>
      <w:r>
        <w:t xml:space="preserve"> Grant Gillett</w:t>
      </w:r>
    </w:p>
  </w:footnote>
  <w:footnote w:id="141">
    <w:p w:rsidR="0052619A" w:rsidRDefault="0052619A">
      <w:pPr>
        <w:pStyle w:val="FootnoteText"/>
      </w:pPr>
      <w:r>
        <w:rPr>
          <w:rStyle w:val="FootnoteReference"/>
        </w:rPr>
        <w:footnoteRef/>
      </w:r>
      <w:r>
        <w:t xml:space="preserve"> World Health Organization</w:t>
      </w:r>
    </w:p>
  </w:footnote>
  <w:footnote w:id="142">
    <w:p w:rsidR="0052619A" w:rsidRDefault="0052619A">
      <w:pPr>
        <w:pStyle w:val="FootnoteText"/>
      </w:pPr>
      <w:r>
        <w:rPr>
          <w:rStyle w:val="FootnoteReference"/>
        </w:rPr>
        <w:footnoteRef/>
      </w:r>
      <w:r>
        <w:t xml:space="preserve"> Dilara Nihal Çarıkçı-Özgül</w:t>
      </w:r>
    </w:p>
  </w:footnote>
  <w:footnote w:id="143">
    <w:p w:rsidR="0052619A" w:rsidRDefault="0052619A">
      <w:pPr>
        <w:pStyle w:val="FootnoteText"/>
      </w:pPr>
      <w:r>
        <w:rPr>
          <w:rStyle w:val="FootnoteReference"/>
        </w:rPr>
        <w:footnoteRef/>
      </w:r>
      <w:r>
        <w:t xml:space="preserve"> Ümit Işık</w:t>
      </w:r>
    </w:p>
  </w:footnote>
  <w:footnote w:id="144">
    <w:p w:rsidR="0052619A" w:rsidRDefault="0052619A">
      <w:pPr>
        <w:pStyle w:val="FootnoteText"/>
      </w:pPr>
      <w:r>
        <w:rPr>
          <w:rStyle w:val="FootnoteReference"/>
        </w:rPr>
        <w:footnoteRef/>
      </w:r>
      <w:r>
        <w:t xml:space="preserve"> John Bowlby</w:t>
      </w:r>
    </w:p>
  </w:footnote>
  <w:footnote w:id="145">
    <w:p w:rsidR="0052619A" w:rsidRDefault="0052619A">
      <w:pPr>
        <w:pStyle w:val="FootnoteText"/>
      </w:pPr>
      <w:r>
        <w:rPr>
          <w:rStyle w:val="FootnoteReference"/>
        </w:rPr>
        <w:footnoteRef/>
      </w:r>
      <w:r>
        <w:t xml:space="preserve"> Scott Stuart</w:t>
      </w:r>
    </w:p>
  </w:footnote>
  <w:footnote w:id="146">
    <w:p w:rsidR="0052619A" w:rsidRDefault="0052619A">
      <w:pPr>
        <w:pStyle w:val="FootnoteText"/>
      </w:pPr>
      <w:r>
        <w:rPr>
          <w:rStyle w:val="FootnoteReference"/>
        </w:rPr>
        <w:footnoteRef/>
      </w:r>
      <w:r>
        <w:t xml:space="preserve"> Russell Noyes</w:t>
      </w:r>
    </w:p>
  </w:footnote>
  <w:footnote w:id="147">
    <w:p w:rsidR="0052619A" w:rsidRDefault="0052619A">
      <w:pPr>
        <w:pStyle w:val="FootnoteText"/>
      </w:pPr>
      <w:r>
        <w:rPr>
          <w:rStyle w:val="FootnoteReference"/>
        </w:rPr>
        <w:footnoteRef/>
      </w:r>
      <w:r>
        <w:t xml:space="preserve"> Paul Salkovskis</w:t>
      </w:r>
    </w:p>
  </w:footnote>
  <w:footnote w:id="148">
    <w:p w:rsidR="0052619A" w:rsidRDefault="0052619A">
      <w:pPr>
        <w:pStyle w:val="FootnoteText"/>
      </w:pPr>
      <w:r>
        <w:rPr>
          <w:rStyle w:val="FootnoteReference"/>
        </w:rPr>
        <w:footnoteRef/>
      </w:r>
      <w:r>
        <w:t xml:space="preserve"> Hilary Warwick</w:t>
      </w:r>
    </w:p>
  </w:footnote>
  <w:footnote w:id="149">
    <w:p w:rsidR="0052619A" w:rsidRDefault="0052619A">
      <w:pPr>
        <w:pStyle w:val="FootnoteText"/>
      </w:pPr>
      <w:r>
        <w:rPr>
          <w:rStyle w:val="FootnoteReference"/>
        </w:rPr>
        <w:footnoteRef/>
      </w:r>
      <w:r>
        <w:t xml:space="preserve"> American Psychiatric Association</w:t>
      </w:r>
    </w:p>
  </w:footnote>
  <w:footnote w:id="150">
    <w:p w:rsidR="0052619A" w:rsidRDefault="0052619A">
      <w:pPr>
        <w:pStyle w:val="FootnoteText"/>
      </w:pPr>
      <w:r>
        <w:rPr>
          <w:rStyle w:val="FootnoteReference"/>
        </w:rPr>
        <w:footnoteRef/>
      </w:r>
      <w:r>
        <w:t xml:space="preserve"> Thomas Fergus</w:t>
      </w:r>
    </w:p>
  </w:footnote>
  <w:footnote w:id="151">
    <w:p w:rsidR="0052619A" w:rsidRDefault="0052619A">
      <w:pPr>
        <w:pStyle w:val="FootnoteText"/>
      </w:pPr>
      <w:r>
        <w:rPr>
          <w:rStyle w:val="FootnoteReference"/>
        </w:rPr>
        <w:footnoteRef/>
      </w:r>
      <w:r>
        <w:t xml:space="preserve"> David Valentiner</w:t>
      </w:r>
    </w:p>
  </w:footnote>
  <w:footnote w:id="152">
    <w:p w:rsidR="0052619A" w:rsidRDefault="0052619A">
      <w:pPr>
        <w:pStyle w:val="FootnoteText"/>
      </w:pPr>
      <w:r>
        <w:rPr>
          <w:rStyle w:val="FootnoteReference"/>
        </w:rPr>
        <w:footnoteRef/>
      </w:r>
      <w:r>
        <w:t xml:space="preserve"> Sean Hill</w:t>
      </w:r>
    </w:p>
  </w:footnote>
  <w:footnote w:id="153">
    <w:p w:rsidR="0052619A" w:rsidRDefault="0052619A">
      <w:pPr>
        <w:pStyle w:val="FootnoteText"/>
      </w:pPr>
      <w:r>
        <w:rPr>
          <w:rStyle w:val="FootnoteReference"/>
        </w:rPr>
        <w:footnoteRef/>
      </w:r>
      <w:r>
        <w:t xml:space="preserve"> Daniel Watts</w:t>
      </w:r>
    </w:p>
  </w:footnote>
  <w:footnote w:id="154">
    <w:p w:rsidR="0052619A" w:rsidRDefault="0052619A">
      <w:pPr>
        <w:pStyle w:val="FootnoteText"/>
      </w:pPr>
      <w:r>
        <w:rPr>
          <w:rStyle w:val="FootnoteReference"/>
        </w:rPr>
        <w:footnoteRef/>
      </w:r>
      <w:r>
        <w:t xml:space="preserve"> Diana Matovic</w:t>
      </w:r>
    </w:p>
  </w:footnote>
  <w:footnote w:id="155">
    <w:p w:rsidR="0052619A" w:rsidRDefault="0052619A">
      <w:pPr>
        <w:pStyle w:val="FootnoteText"/>
      </w:pPr>
      <w:r>
        <w:rPr>
          <w:rStyle w:val="FootnoteReference"/>
        </w:rPr>
        <w:footnoteRef/>
      </w:r>
      <w:r>
        <w:t xml:space="preserve"> World Health Organization</w:t>
      </w:r>
    </w:p>
  </w:footnote>
  <w:footnote w:id="156">
    <w:p w:rsidR="0052619A" w:rsidRDefault="0052619A">
      <w:pPr>
        <w:pStyle w:val="FootnoteText"/>
      </w:pPr>
      <w:r>
        <w:rPr>
          <w:rStyle w:val="FootnoteReference"/>
        </w:rPr>
        <w:footnoteRef/>
      </w:r>
      <w:r>
        <w:t xml:space="preserve"> World Health Organization</w:t>
      </w:r>
    </w:p>
  </w:footnote>
  <w:footnote w:id="157">
    <w:p w:rsidR="0052619A" w:rsidRDefault="0052619A">
      <w:pPr>
        <w:pStyle w:val="FootnoteText"/>
      </w:pPr>
      <w:r>
        <w:rPr>
          <w:rStyle w:val="FootnoteReference"/>
        </w:rPr>
        <w:footnoteRef/>
      </w:r>
      <w:r>
        <w:t xml:space="preserve"> United Nations</w:t>
      </w:r>
    </w:p>
  </w:footnote>
  <w:footnote w:id="158">
    <w:p w:rsidR="0052619A" w:rsidRDefault="0052619A">
      <w:pPr>
        <w:pStyle w:val="FootnoteText"/>
      </w:pPr>
      <w:r>
        <w:rPr>
          <w:rStyle w:val="FootnoteReference"/>
        </w:rPr>
        <w:footnoteRef/>
      </w:r>
      <w:r>
        <w:t xml:space="preserve"> American Psychiatric Association</w:t>
      </w:r>
    </w:p>
  </w:footnote>
  <w:footnote w:id="159">
    <w:p w:rsidR="0052619A" w:rsidRDefault="0052619A">
      <w:pPr>
        <w:pStyle w:val="FootnoteText"/>
      </w:pPr>
      <w:r>
        <w:rPr>
          <w:rStyle w:val="FootnoteReference"/>
        </w:rPr>
        <w:footnoteRef/>
      </w:r>
      <w:r>
        <w:t xml:space="preserve"> World Health Organization</w:t>
      </w:r>
    </w:p>
  </w:footnote>
  <w:footnote w:id="160">
    <w:p w:rsidR="0052619A" w:rsidRDefault="0052619A">
      <w:pPr>
        <w:pStyle w:val="FootnoteText"/>
      </w:pPr>
      <w:r>
        <w:rPr>
          <w:rStyle w:val="FootnoteReference"/>
        </w:rPr>
        <w:footnoteRef/>
      </w:r>
      <w:r>
        <w:t xml:space="preserve"> United Nations</w:t>
      </w:r>
    </w:p>
  </w:footnote>
  <w:footnote w:id="161">
    <w:p w:rsidR="0052619A" w:rsidRDefault="0052619A">
      <w:pPr>
        <w:pStyle w:val="FootnoteText"/>
      </w:pPr>
      <w:r>
        <w:rPr>
          <w:rStyle w:val="FootnoteReference"/>
        </w:rPr>
        <w:footnoteRef/>
      </w:r>
      <w:r>
        <w:t xml:space="preserve"> American Psychiatric Association</w:t>
      </w:r>
    </w:p>
  </w:footnote>
  <w:footnote w:id="162">
    <w:p w:rsidR="0052619A" w:rsidRDefault="0052619A">
      <w:pPr>
        <w:pStyle w:val="FootnoteText"/>
      </w:pPr>
      <w:r>
        <w:rPr>
          <w:rStyle w:val="FootnoteReference"/>
        </w:rPr>
        <w:footnoteRef/>
      </w:r>
      <w:r>
        <w:t xml:space="preserve"> Jonathan Abramowitz</w:t>
      </w:r>
    </w:p>
  </w:footnote>
  <w:footnote w:id="163">
    <w:p w:rsidR="0052619A" w:rsidRDefault="0052619A">
      <w:pPr>
        <w:pStyle w:val="FootnoteText"/>
      </w:pPr>
      <w:r>
        <w:rPr>
          <w:rStyle w:val="FootnoteReference"/>
        </w:rPr>
        <w:footnoteRef/>
      </w:r>
      <w:r>
        <w:t xml:space="preserve"> Autumn Braddock</w:t>
      </w:r>
    </w:p>
  </w:footnote>
  <w:footnote w:id="164">
    <w:p w:rsidR="0052619A" w:rsidRDefault="0052619A">
      <w:pPr>
        <w:pStyle w:val="FootnoteText"/>
      </w:pPr>
      <w:r>
        <w:rPr>
          <w:rStyle w:val="FootnoteReference"/>
        </w:rPr>
        <w:footnoteRef/>
      </w:r>
      <w:r>
        <w:t xml:space="preserve"> American Psychiatric Association</w:t>
      </w:r>
    </w:p>
  </w:footnote>
  <w:footnote w:id="165">
    <w:p w:rsidR="0052619A" w:rsidRDefault="0052619A">
      <w:pPr>
        <w:pStyle w:val="FootnoteText"/>
      </w:pPr>
      <w:r>
        <w:rPr>
          <w:rStyle w:val="FootnoteReference"/>
        </w:rPr>
        <w:footnoteRef/>
      </w:r>
      <w:r>
        <w:t xml:space="preserve"> Steven Taylor</w:t>
      </w:r>
    </w:p>
  </w:footnote>
  <w:footnote w:id="166">
    <w:p w:rsidR="0052619A" w:rsidRDefault="0052619A">
      <w:pPr>
        <w:pStyle w:val="FootnoteText"/>
      </w:pPr>
      <w:r>
        <w:rPr>
          <w:rStyle w:val="FootnoteReference"/>
        </w:rPr>
        <w:footnoteRef/>
      </w:r>
      <w:r>
        <w:t xml:space="preserve"> World Health Organization</w:t>
      </w:r>
    </w:p>
  </w:footnote>
  <w:footnote w:id="167">
    <w:p w:rsidR="0052619A" w:rsidRDefault="0052619A">
      <w:pPr>
        <w:pStyle w:val="FootnoteText"/>
      </w:pPr>
      <w:r>
        <w:rPr>
          <w:rStyle w:val="FootnoteReference"/>
        </w:rPr>
        <w:footnoteRef/>
      </w:r>
      <w:r>
        <w:t xml:space="preserve"> National Institute on Aging</w:t>
      </w:r>
    </w:p>
  </w:footnote>
  <w:footnote w:id="168">
    <w:p w:rsidR="0052619A" w:rsidRDefault="0052619A">
      <w:pPr>
        <w:pStyle w:val="FootnoteText"/>
      </w:pPr>
      <w:r>
        <w:rPr>
          <w:rStyle w:val="FootnoteReference"/>
        </w:rPr>
        <w:footnoteRef/>
      </w:r>
      <w:r>
        <w:t xml:space="preserve"> Harold Koenig</w:t>
      </w:r>
    </w:p>
  </w:footnote>
  <w:footnote w:id="169">
    <w:p w:rsidR="0052619A" w:rsidRDefault="0052619A">
      <w:pPr>
        <w:pStyle w:val="FootnoteText"/>
      </w:pPr>
      <w:r>
        <w:rPr>
          <w:rStyle w:val="FootnoteReference"/>
        </w:rPr>
        <w:footnoteRef/>
      </w:r>
      <w:r>
        <w:t xml:space="preserve"> World Health Organization</w:t>
      </w:r>
    </w:p>
  </w:footnote>
  <w:footnote w:id="170">
    <w:p w:rsidR="0052619A" w:rsidRDefault="0052619A">
      <w:pPr>
        <w:pStyle w:val="FootnoteText"/>
      </w:pPr>
      <w:r>
        <w:rPr>
          <w:rStyle w:val="FootnoteReference"/>
        </w:rPr>
        <w:footnoteRef/>
      </w:r>
      <w:r>
        <w:t xml:space="preserve"> Wang</w:t>
      </w:r>
    </w:p>
  </w:footnote>
  <w:footnote w:id="171">
    <w:p w:rsidR="0052619A" w:rsidRDefault="0052619A">
      <w:pPr>
        <w:pStyle w:val="FootnoteText"/>
      </w:pPr>
      <w:r>
        <w:rPr>
          <w:rStyle w:val="FootnoteReference"/>
        </w:rPr>
        <w:footnoteRef/>
      </w:r>
      <w:r>
        <w:t xml:space="preserve"> Soto</w:t>
      </w:r>
    </w:p>
  </w:footnote>
  <w:footnote w:id="172">
    <w:p w:rsidR="0052619A" w:rsidRDefault="0052619A">
      <w:pPr>
        <w:pStyle w:val="FootnoteText"/>
      </w:pPr>
      <w:r>
        <w:rPr>
          <w:rStyle w:val="FootnoteReference"/>
        </w:rPr>
        <w:footnoteRef/>
      </w:r>
      <w:r>
        <w:t xml:space="preserve"> Chen</w:t>
      </w:r>
    </w:p>
  </w:footnote>
  <w:footnote w:id="173">
    <w:p w:rsidR="0052619A" w:rsidRDefault="0052619A">
      <w:pPr>
        <w:pStyle w:val="FootnoteText"/>
      </w:pPr>
      <w:r>
        <w:rPr>
          <w:rStyle w:val="FootnoteReference"/>
        </w:rPr>
        <w:footnoteRef/>
      </w:r>
      <w:r>
        <w:t xml:space="preserve"> Kaplan</w:t>
      </w:r>
    </w:p>
  </w:footnote>
  <w:footnote w:id="174">
    <w:p w:rsidR="0052619A" w:rsidRDefault="0052619A">
      <w:pPr>
        <w:pStyle w:val="FootnoteText"/>
      </w:pPr>
      <w:r>
        <w:rPr>
          <w:rStyle w:val="FootnoteReference"/>
        </w:rPr>
        <w:footnoteRef/>
      </w:r>
      <w:r>
        <w:t xml:space="preserve"> World Health Organization</w:t>
      </w:r>
    </w:p>
  </w:footnote>
  <w:footnote w:id="175">
    <w:p w:rsidR="0052619A" w:rsidRDefault="0052619A">
      <w:pPr>
        <w:pStyle w:val="FootnoteText"/>
      </w:pPr>
      <w:r>
        <w:rPr>
          <w:rStyle w:val="FootnoteReference"/>
        </w:rPr>
        <w:footnoteRef/>
      </w:r>
      <w:r>
        <w:t xml:space="preserve"> American Psychological Association</w:t>
      </w:r>
    </w:p>
  </w:footnote>
  <w:footnote w:id="176">
    <w:p w:rsidR="0052619A" w:rsidRDefault="0052619A">
      <w:pPr>
        <w:pStyle w:val="FootnoteText"/>
      </w:pPr>
      <w:r>
        <w:rPr>
          <w:rStyle w:val="FootnoteReference"/>
        </w:rPr>
        <w:footnoteRef/>
      </w:r>
      <w:r>
        <w:t xml:space="preserve"> Goldberg</w:t>
      </w:r>
    </w:p>
  </w:footnote>
  <w:footnote w:id="177">
    <w:p w:rsidR="0052619A" w:rsidRDefault="0052619A">
      <w:pPr>
        <w:pStyle w:val="FootnoteText"/>
      </w:pPr>
      <w:r>
        <w:rPr>
          <w:rStyle w:val="FootnoteReference"/>
        </w:rPr>
        <w:footnoteRef/>
      </w:r>
      <w:r>
        <w:t xml:space="preserve"> Judith Beck</w:t>
      </w:r>
    </w:p>
  </w:footnote>
  <w:footnote w:id="178">
    <w:p w:rsidR="0052619A" w:rsidRDefault="0052619A">
      <w:pPr>
        <w:pStyle w:val="FootnoteText"/>
      </w:pPr>
      <w:r>
        <w:rPr>
          <w:rStyle w:val="FootnoteReference"/>
        </w:rPr>
        <w:footnoteRef/>
      </w:r>
      <w:r>
        <w:t xml:space="preserve"> Emily Haigh</w:t>
      </w:r>
    </w:p>
  </w:footnote>
  <w:footnote w:id="179">
    <w:p w:rsidR="0052619A" w:rsidRDefault="0052619A">
      <w:pPr>
        <w:pStyle w:val="FootnoteText"/>
      </w:pPr>
      <w:r>
        <w:rPr>
          <w:rStyle w:val="FootnoteReference"/>
        </w:rPr>
        <w:footnoteRef/>
      </w:r>
      <w:r>
        <w:t xml:space="preserve"> Rebecca Gould</w:t>
      </w:r>
    </w:p>
  </w:footnote>
  <w:footnote w:id="180">
    <w:p w:rsidR="0052619A" w:rsidRDefault="0052619A">
      <w:pPr>
        <w:pStyle w:val="FootnoteText"/>
      </w:pPr>
      <w:r>
        <w:rPr>
          <w:rStyle w:val="FootnoteReference"/>
        </w:rPr>
        <w:footnoteRef/>
      </w:r>
      <w:r>
        <w:t xml:space="preserve"> Death Anxiety Scale (DAS)</w:t>
      </w:r>
    </w:p>
  </w:footnote>
  <w:footnote w:id="181">
    <w:p w:rsidR="0052619A" w:rsidRDefault="0052619A">
      <w:pPr>
        <w:pStyle w:val="FootnoteText"/>
      </w:pPr>
      <w:r>
        <w:rPr>
          <w:rStyle w:val="FootnoteReference"/>
        </w:rPr>
        <w:footnoteRef/>
      </w:r>
      <w:r>
        <w:t xml:space="preserve"> David King</w:t>
      </w:r>
    </w:p>
  </w:footnote>
  <w:footnote w:id="182">
    <w:p w:rsidR="0052619A" w:rsidRDefault="0052619A">
      <w:pPr>
        <w:pStyle w:val="FootnoteText"/>
      </w:pPr>
      <w:r>
        <w:rPr>
          <w:rStyle w:val="FootnoteReference"/>
        </w:rPr>
        <w:footnoteRef/>
      </w:r>
      <w:r>
        <w:t xml:space="preserve"> Carol Ryff</w:t>
      </w:r>
    </w:p>
  </w:footnote>
  <w:footnote w:id="183">
    <w:p w:rsidR="0052619A" w:rsidRDefault="0052619A">
      <w:pPr>
        <w:pStyle w:val="FootnoteText"/>
      </w:pPr>
      <w:r>
        <w:rPr>
          <w:rStyle w:val="FootnoteReference"/>
        </w:rPr>
        <w:footnoteRef/>
      </w:r>
      <w:r>
        <w:t xml:space="preserve"> Jinhong Lu</w:t>
      </w:r>
    </w:p>
  </w:footnote>
  <w:footnote w:id="184">
    <w:p w:rsidR="0052619A" w:rsidRDefault="0052619A">
      <w:pPr>
        <w:pStyle w:val="FootnoteText"/>
      </w:pPr>
      <w:r>
        <w:rPr>
          <w:rStyle w:val="FootnoteReference"/>
        </w:rPr>
        <w:footnoteRef/>
      </w:r>
      <w:r>
        <w:t xml:space="preserve"> Youzhuan Yang</w:t>
      </w:r>
    </w:p>
  </w:footnote>
  <w:footnote w:id="185">
    <w:p w:rsidR="0052619A" w:rsidRDefault="0052619A">
      <w:pPr>
        <w:pStyle w:val="FootnoteText"/>
      </w:pPr>
      <w:r>
        <w:rPr>
          <w:rStyle w:val="FootnoteReference"/>
        </w:rPr>
        <w:footnoteRef/>
      </w:r>
      <w:r>
        <w:t xml:space="preserve"> Hongchao Ma</w:t>
      </w:r>
    </w:p>
  </w:footnote>
  <w:footnote w:id="186">
    <w:p w:rsidR="0052619A" w:rsidRDefault="0052619A">
      <w:pPr>
        <w:pStyle w:val="FootnoteText"/>
      </w:pPr>
      <w:r>
        <w:rPr>
          <w:rStyle w:val="FootnoteReference"/>
        </w:rPr>
        <w:footnoteRef/>
      </w:r>
      <w:r>
        <w:t xml:space="preserve"> Rudy Younes</w:t>
      </w:r>
    </w:p>
  </w:footnote>
  <w:footnote w:id="187">
    <w:p w:rsidR="0052619A" w:rsidRDefault="0052619A">
      <w:pPr>
        <w:pStyle w:val="FootnoteText"/>
      </w:pPr>
      <w:r>
        <w:rPr>
          <w:rStyle w:val="FootnoteReference"/>
        </w:rPr>
        <w:footnoteRef/>
      </w:r>
      <w:r>
        <w:t xml:space="preserve"> Elias Rahme</w:t>
      </w:r>
    </w:p>
  </w:footnote>
  <w:footnote w:id="188">
    <w:p w:rsidR="0052619A" w:rsidRDefault="0052619A">
      <w:pPr>
        <w:pStyle w:val="FootnoteText"/>
      </w:pPr>
      <w:r>
        <w:rPr>
          <w:rStyle w:val="FootnoteReference"/>
        </w:rPr>
        <w:footnoteRef/>
      </w:r>
      <w:r>
        <w:t xml:space="preserve"> Ferial Rajha</w:t>
      </w:r>
    </w:p>
  </w:footnote>
  <w:footnote w:id="189">
    <w:p w:rsidR="0052619A" w:rsidRDefault="0052619A">
      <w:pPr>
        <w:pStyle w:val="FootnoteText"/>
      </w:pPr>
      <w:r>
        <w:rPr>
          <w:rStyle w:val="FootnoteReference"/>
        </w:rPr>
        <w:footnoteRef/>
      </w:r>
      <w:r>
        <w:t xml:space="preserve"> Mirna Abboud Mzawak</w:t>
      </w:r>
    </w:p>
  </w:footnote>
  <w:footnote w:id="190">
    <w:p w:rsidR="0052619A" w:rsidRDefault="0052619A">
      <w:pPr>
        <w:pStyle w:val="FootnoteText"/>
      </w:pPr>
      <w:r>
        <w:rPr>
          <w:rStyle w:val="FootnoteReference"/>
        </w:rPr>
        <w:footnoteRef/>
      </w:r>
      <w:r>
        <w:t xml:space="preserve"> Derek Killingsworth</w:t>
      </w:r>
    </w:p>
  </w:footnote>
  <w:footnote w:id="191">
    <w:p w:rsidR="0052619A" w:rsidRDefault="0052619A">
      <w:pPr>
        <w:pStyle w:val="FootnoteText"/>
      </w:pPr>
      <w:r>
        <w:rPr>
          <w:rStyle w:val="FootnoteReference"/>
        </w:rPr>
        <w:footnoteRef/>
      </w:r>
      <w:r>
        <w:t xml:space="preserve"> Wang</w:t>
      </w:r>
    </w:p>
  </w:footnote>
  <w:footnote w:id="192">
    <w:p w:rsidR="0052619A" w:rsidRDefault="0052619A">
      <w:pPr>
        <w:pStyle w:val="FootnoteText"/>
      </w:pPr>
      <w:r>
        <w:rPr>
          <w:rStyle w:val="FootnoteReference"/>
        </w:rPr>
        <w:footnoteRef/>
      </w:r>
      <w:r>
        <w:t xml:space="preserve"> Zhao</w:t>
      </w:r>
    </w:p>
  </w:footnote>
  <w:footnote w:id="193">
    <w:p w:rsidR="0052619A" w:rsidRDefault="0052619A">
      <w:pPr>
        <w:pStyle w:val="FootnoteText"/>
      </w:pPr>
      <w:r>
        <w:rPr>
          <w:rStyle w:val="FootnoteReference"/>
        </w:rPr>
        <w:footnoteRef/>
      </w:r>
      <w:r>
        <w:t xml:space="preserve"> Olga Stavrova</w:t>
      </w:r>
    </w:p>
  </w:footnote>
  <w:footnote w:id="194">
    <w:p w:rsidR="0052619A" w:rsidRDefault="0052619A">
      <w:pPr>
        <w:pStyle w:val="FootnoteText"/>
      </w:pPr>
      <w:r>
        <w:rPr>
          <w:rStyle w:val="FootnoteReference"/>
        </w:rPr>
        <w:footnoteRef/>
      </w:r>
      <w:r>
        <w:t xml:space="preserve"> Julie Yonker</w:t>
      </w:r>
    </w:p>
  </w:footnote>
  <w:footnote w:id="195">
    <w:p w:rsidR="0052619A" w:rsidRDefault="0052619A">
      <w:pPr>
        <w:pStyle w:val="FootnoteText"/>
      </w:pPr>
      <w:r>
        <w:rPr>
          <w:rStyle w:val="FootnoteReference"/>
        </w:rPr>
        <w:footnoteRef/>
      </w:r>
      <w:r>
        <w:t xml:space="preserve"> Carol Schnabelrauch</w:t>
      </w:r>
    </w:p>
  </w:footnote>
  <w:footnote w:id="196">
    <w:p w:rsidR="0052619A" w:rsidRDefault="0052619A">
      <w:pPr>
        <w:pStyle w:val="FootnoteText"/>
      </w:pPr>
      <w:r>
        <w:rPr>
          <w:rStyle w:val="FootnoteReference"/>
        </w:rPr>
        <w:footnoteRef/>
      </w:r>
      <w:r>
        <w:t xml:space="preserve"> Laura DeHaan</w:t>
      </w:r>
    </w:p>
  </w:footnote>
  <w:footnote w:id="197">
    <w:p w:rsidR="0052619A" w:rsidRDefault="0052619A">
      <w:pPr>
        <w:pStyle w:val="FootnoteText"/>
      </w:pPr>
      <w:r>
        <w:rPr>
          <w:rStyle w:val="FootnoteReference"/>
        </w:rPr>
        <w:footnoteRef/>
      </w:r>
      <w:r>
        <w:t xml:space="preserve"> Yi Zeng</w:t>
      </w:r>
    </w:p>
  </w:footnote>
  <w:footnote w:id="198">
    <w:p w:rsidR="0052619A" w:rsidRDefault="0052619A">
      <w:pPr>
        <w:pStyle w:val="FootnoteText"/>
      </w:pPr>
      <w:r>
        <w:rPr>
          <w:rStyle w:val="FootnoteReference"/>
        </w:rPr>
        <w:footnoteRef/>
      </w:r>
      <w:r>
        <w:t xml:space="preserve"> Danan Gu</w:t>
      </w:r>
    </w:p>
  </w:footnote>
  <w:footnote w:id="199">
    <w:p w:rsidR="0052619A" w:rsidRDefault="0052619A">
      <w:pPr>
        <w:pStyle w:val="FootnoteText"/>
      </w:pPr>
      <w:r>
        <w:rPr>
          <w:rStyle w:val="FootnoteReference"/>
        </w:rPr>
        <w:footnoteRef/>
      </w:r>
      <w:r>
        <w:t xml:space="preserve"> Linda George</w:t>
      </w:r>
    </w:p>
  </w:footnote>
  <w:footnote w:id="200">
    <w:p w:rsidR="0052619A" w:rsidRDefault="0052619A">
      <w:pPr>
        <w:pStyle w:val="FootnoteText"/>
      </w:pPr>
      <w:r>
        <w:rPr>
          <w:rStyle w:val="FootnoteReference"/>
        </w:rPr>
        <w:footnoteRef/>
      </w:r>
      <w:r>
        <w:t xml:space="preserve"> Jeffrey Levin</w:t>
      </w:r>
    </w:p>
  </w:footnote>
  <w:footnote w:id="201">
    <w:p w:rsidR="0052619A" w:rsidRDefault="0052619A">
      <w:pPr>
        <w:pStyle w:val="FootnoteText"/>
      </w:pPr>
      <w:r>
        <w:rPr>
          <w:rStyle w:val="FootnoteReference"/>
        </w:rPr>
        <w:footnoteRef/>
      </w:r>
      <w:r>
        <w:t xml:space="preserve"> Zarina Mat Saad</w:t>
      </w:r>
    </w:p>
  </w:footnote>
  <w:footnote w:id="202">
    <w:p w:rsidR="0052619A" w:rsidRDefault="0052619A">
      <w:pPr>
        <w:pStyle w:val="FootnoteText"/>
      </w:pPr>
      <w:r>
        <w:rPr>
          <w:rStyle w:val="FootnoteReference"/>
        </w:rPr>
        <w:footnoteRef/>
      </w:r>
      <w:r>
        <w:t xml:space="preserve"> Zulkarnain Hatta</w:t>
      </w:r>
    </w:p>
  </w:footnote>
  <w:footnote w:id="203">
    <w:p w:rsidR="0052619A" w:rsidRDefault="0052619A">
      <w:pPr>
        <w:pStyle w:val="FootnoteText"/>
      </w:pPr>
      <w:r>
        <w:rPr>
          <w:rStyle w:val="FootnoteReference"/>
        </w:rPr>
        <w:footnoteRef/>
      </w:r>
      <w:r>
        <w:t xml:space="preserve"> Noriah Mohamad</w:t>
      </w:r>
    </w:p>
  </w:footnote>
  <w:footnote w:id="204">
    <w:p w:rsidR="0052619A" w:rsidRDefault="0052619A">
      <w:pPr>
        <w:pStyle w:val="FootnoteText"/>
      </w:pPr>
      <w:r>
        <w:rPr>
          <w:rStyle w:val="FootnoteReference"/>
        </w:rPr>
        <w:footnoteRef/>
      </w:r>
      <w:r>
        <w:t xml:space="preserve"> Kathleen Chlan</w:t>
      </w:r>
    </w:p>
  </w:footnote>
  <w:footnote w:id="205">
    <w:p w:rsidR="0052619A" w:rsidRDefault="0052619A">
      <w:pPr>
        <w:pStyle w:val="FootnoteText"/>
      </w:pPr>
      <w:r>
        <w:rPr>
          <w:rStyle w:val="FootnoteReference"/>
        </w:rPr>
        <w:footnoteRef/>
      </w:r>
      <w:r>
        <w:t xml:space="preserve"> Kathleen Zebracki</w:t>
      </w:r>
    </w:p>
  </w:footnote>
  <w:footnote w:id="206">
    <w:p w:rsidR="0052619A" w:rsidRDefault="0052619A">
      <w:pPr>
        <w:pStyle w:val="FootnoteText"/>
      </w:pPr>
      <w:r>
        <w:rPr>
          <w:rStyle w:val="FootnoteReference"/>
        </w:rPr>
        <w:footnoteRef/>
      </w:r>
      <w:r>
        <w:t xml:space="preserve"> Lawrence Vogel</w:t>
      </w:r>
    </w:p>
  </w:footnote>
  <w:footnote w:id="207">
    <w:p w:rsidR="0052619A" w:rsidRDefault="0052619A">
      <w:pPr>
        <w:pStyle w:val="FootnoteText"/>
      </w:pPr>
      <w:r>
        <w:rPr>
          <w:rStyle w:val="FootnoteReference"/>
        </w:rPr>
        <w:footnoteRef/>
      </w:r>
      <w:r>
        <w:t xml:space="preserve"> David King</w:t>
      </w:r>
    </w:p>
  </w:footnote>
  <w:footnote w:id="208">
    <w:p w:rsidR="0052619A" w:rsidRDefault="0052619A">
      <w:pPr>
        <w:pStyle w:val="FootnoteText"/>
      </w:pPr>
      <w:r>
        <w:rPr>
          <w:rStyle w:val="FootnoteReference"/>
        </w:rPr>
        <w:footnoteRef/>
      </w:r>
      <w:r>
        <w:t xml:space="preserve"> Teresa DeCicco</w:t>
      </w:r>
    </w:p>
  </w:footnote>
  <w:footnote w:id="209">
    <w:p w:rsidR="0052619A" w:rsidRDefault="0052619A">
      <w:pPr>
        <w:pStyle w:val="FootnoteText"/>
      </w:pPr>
      <w:r>
        <w:rPr>
          <w:rStyle w:val="FootnoteReference"/>
        </w:rPr>
        <w:footnoteRef/>
      </w:r>
      <w:r>
        <w:t xml:space="preserve"> Madhu Jain</w:t>
      </w:r>
    </w:p>
  </w:footnote>
  <w:footnote w:id="210">
    <w:p w:rsidR="0052619A" w:rsidRDefault="0052619A">
      <w:pPr>
        <w:pStyle w:val="FootnoteText"/>
      </w:pPr>
      <w:r>
        <w:rPr>
          <w:rStyle w:val="FootnoteReference"/>
        </w:rPr>
        <w:footnoteRef/>
      </w:r>
      <w:r>
        <w:t xml:space="preserve"> Preeti Purohit</w:t>
      </w:r>
    </w:p>
  </w:footnote>
  <w:footnote w:id="211">
    <w:p w:rsidR="0052619A" w:rsidRDefault="0052619A">
      <w:pPr>
        <w:pStyle w:val="FootnoteText"/>
      </w:pPr>
      <w:r>
        <w:rPr>
          <w:rStyle w:val="FootnoteReference"/>
        </w:rPr>
        <w:footnoteRef/>
      </w:r>
      <w:r>
        <w:t xml:space="preserve"> Richard Harding</w:t>
      </w:r>
    </w:p>
  </w:footnote>
  <w:footnote w:id="212">
    <w:p w:rsidR="0052619A" w:rsidRDefault="0052619A">
      <w:pPr>
        <w:pStyle w:val="FootnoteText"/>
      </w:pPr>
      <w:r>
        <w:rPr>
          <w:rStyle w:val="FootnoteReference"/>
        </w:rPr>
        <w:footnoteRef/>
      </w:r>
      <w:r>
        <w:t xml:space="preserve"> James Thorson</w:t>
      </w:r>
    </w:p>
  </w:footnote>
  <w:footnote w:id="213">
    <w:p w:rsidR="0052619A" w:rsidRDefault="0052619A">
      <w:pPr>
        <w:pStyle w:val="FootnoteText"/>
      </w:pPr>
      <w:r>
        <w:rPr>
          <w:rStyle w:val="FootnoteReference"/>
        </w:rPr>
        <w:footnoteRef/>
      </w:r>
      <w:r>
        <w:t xml:space="preserve"> Frank C. Powell</w:t>
      </w:r>
    </w:p>
  </w:footnote>
  <w:footnote w:id="214">
    <w:p w:rsidR="0052619A" w:rsidRDefault="0052619A">
      <w:pPr>
        <w:pStyle w:val="FootnoteText"/>
      </w:pPr>
      <w:r>
        <w:rPr>
          <w:rStyle w:val="FootnoteReference"/>
        </w:rPr>
        <w:footnoteRef/>
      </w:r>
      <w:r>
        <w:t xml:space="preserve"> Alexander Moreira-Almeida</w:t>
      </w:r>
    </w:p>
  </w:footnote>
  <w:footnote w:id="215">
    <w:p w:rsidR="0052619A" w:rsidRDefault="0052619A">
      <w:pPr>
        <w:pStyle w:val="FootnoteText"/>
      </w:pPr>
      <w:r>
        <w:rPr>
          <w:rStyle w:val="FootnoteReference"/>
        </w:rPr>
        <w:footnoteRef/>
      </w:r>
      <w:r>
        <w:t xml:space="preserve"> Harold Koenig</w:t>
      </w:r>
    </w:p>
  </w:footnote>
  <w:footnote w:id="216">
    <w:p w:rsidR="0052619A" w:rsidRDefault="0052619A">
      <w:pPr>
        <w:pStyle w:val="FootnoteText"/>
      </w:pPr>
      <w:r>
        <w:rPr>
          <w:rStyle w:val="FootnoteReference"/>
        </w:rPr>
        <w:footnoteRef/>
      </w:r>
      <w:r>
        <w:t xml:space="preserve"> Russell Noyes</w:t>
      </w:r>
    </w:p>
  </w:footnote>
  <w:footnote w:id="217">
    <w:p w:rsidR="0052619A" w:rsidRDefault="0052619A">
      <w:pPr>
        <w:pStyle w:val="FootnoteText"/>
      </w:pPr>
      <w:r>
        <w:rPr>
          <w:rStyle w:val="FootnoteReference"/>
        </w:rPr>
        <w:footnoteRef/>
      </w:r>
      <w:r>
        <w:t xml:space="preserve"> Adrian Tomer</w:t>
      </w:r>
    </w:p>
  </w:footnote>
  <w:footnote w:id="218">
    <w:p w:rsidR="0052619A" w:rsidRDefault="0052619A">
      <w:pPr>
        <w:pStyle w:val="FootnoteText"/>
      </w:pPr>
      <w:r>
        <w:rPr>
          <w:rStyle w:val="FootnoteReference"/>
        </w:rPr>
        <w:footnoteRef/>
      </w:r>
      <w:r>
        <w:t xml:space="preserve"> Grafton Eliason</w:t>
      </w:r>
    </w:p>
  </w:footnote>
  <w:footnote w:id="219">
    <w:p w:rsidR="0052619A" w:rsidRDefault="0052619A">
      <w:pPr>
        <w:pStyle w:val="FootnoteText"/>
      </w:pPr>
      <w:r>
        <w:rPr>
          <w:rStyle w:val="FootnoteReference"/>
        </w:rPr>
        <w:footnoteRef/>
      </w:r>
      <w:r>
        <w:t xml:space="preserve"> Irvin Yalom</w:t>
      </w:r>
    </w:p>
  </w:footnote>
  <w:footnote w:id="220">
    <w:p w:rsidR="0052619A" w:rsidRDefault="0052619A">
      <w:pPr>
        <w:pStyle w:val="FootnoteText"/>
      </w:pPr>
      <w:r>
        <w:rPr>
          <w:rStyle w:val="FootnoteReference"/>
        </w:rPr>
        <w:footnoteRef/>
      </w:r>
      <w:r>
        <w:t xml:space="preserve"> Robert Krejcie</w:t>
      </w:r>
    </w:p>
  </w:footnote>
  <w:footnote w:id="221">
    <w:p w:rsidR="0052619A" w:rsidRDefault="0052619A">
      <w:pPr>
        <w:pStyle w:val="FootnoteText"/>
      </w:pPr>
      <w:r>
        <w:rPr>
          <w:rStyle w:val="FootnoteReference"/>
        </w:rPr>
        <w:footnoteRef/>
      </w:r>
      <w:r>
        <w:t xml:space="preserve"> Daryle Morgan</w:t>
      </w:r>
    </w:p>
  </w:footnote>
  <w:footnote w:id="222">
    <w:p w:rsidR="0052619A" w:rsidRDefault="0052619A">
      <w:pPr>
        <w:pStyle w:val="FootnoteText"/>
      </w:pPr>
      <w:r>
        <w:rPr>
          <w:rStyle w:val="FootnoteReference"/>
        </w:rPr>
        <w:footnoteRef/>
      </w:r>
      <w:r>
        <w:t xml:space="preserve"> David King</w:t>
      </w:r>
    </w:p>
  </w:footnote>
  <w:footnote w:id="223">
    <w:p w:rsidR="0052619A" w:rsidRDefault="0052619A">
      <w:pPr>
        <w:pStyle w:val="FootnoteText"/>
      </w:pPr>
      <w:r>
        <w:rPr>
          <w:rStyle w:val="FootnoteReference"/>
        </w:rPr>
        <w:footnoteRef/>
      </w:r>
      <w:r>
        <w:t xml:space="preserve"> Ian Marshall</w:t>
      </w:r>
    </w:p>
  </w:footnote>
  <w:footnote w:id="224">
    <w:p w:rsidR="0052619A" w:rsidRDefault="0052619A">
      <w:pPr>
        <w:pStyle w:val="FootnoteText"/>
      </w:pPr>
      <w:r>
        <w:rPr>
          <w:rStyle w:val="FootnoteReference"/>
        </w:rPr>
        <w:footnoteRef/>
      </w:r>
      <w:r>
        <w:t xml:space="preserve"> Donald Templer</w:t>
      </w:r>
    </w:p>
  </w:footnote>
  <w:footnote w:id="225">
    <w:p w:rsidR="0052619A" w:rsidRDefault="0052619A">
      <w:pPr>
        <w:pStyle w:val="FootnoteText"/>
      </w:pPr>
      <w:r>
        <w:rPr>
          <w:rStyle w:val="FootnoteReference"/>
        </w:rPr>
        <w:footnoteRef/>
      </w:r>
      <w:r>
        <w:t xml:space="preserve"> Health Anxiety Inventory (HAI)</w:t>
      </w:r>
    </w:p>
  </w:footnote>
  <w:footnote w:id="226">
    <w:p w:rsidR="0052619A" w:rsidRDefault="0052619A">
      <w:pPr>
        <w:pStyle w:val="FootnoteText"/>
      </w:pPr>
      <w:r>
        <w:rPr>
          <w:rStyle w:val="FootnoteReference"/>
        </w:rPr>
        <w:footnoteRef/>
      </w:r>
      <w:r>
        <w:t xml:space="preserve"> Paul Salkovskis</w:t>
      </w:r>
    </w:p>
  </w:footnote>
  <w:footnote w:id="227">
    <w:p w:rsidR="0052619A" w:rsidRDefault="0052619A">
      <w:pPr>
        <w:pStyle w:val="FootnoteText"/>
      </w:pPr>
      <w:r>
        <w:rPr>
          <w:rStyle w:val="FootnoteReference"/>
        </w:rPr>
        <w:footnoteRef/>
      </w:r>
      <w:r>
        <w:t xml:space="preserve"> Robert Krejcie</w:t>
      </w:r>
    </w:p>
  </w:footnote>
  <w:footnote w:id="228">
    <w:p w:rsidR="0052619A" w:rsidRDefault="0052619A">
      <w:pPr>
        <w:pStyle w:val="FootnoteText"/>
      </w:pPr>
      <w:r>
        <w:rPr>
          <w:rStyle w:val="FootnoteReference"/>
        </w:rPr>
        <w:footnoteRef/>
      </w:r>
      <w:r>
        <w:t xml:space="preserve"> Daryle Morgan</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5"/>
    <w:multiLevelType w:val="multilevel"/>
    <w:tmpl w:val="4C28E796"/>
    <w:name w:val="Bulleted_9e818a97-9a46-45b9-977f-83886b05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000014"/>
    <w:multiLevelType w:val="multilevel"/>
    <w:tmpl w:val="883609A8"/>
    <w:name w:val="Bulleted_238caa27-0d72-4316-9bb5-04feda70bfa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000015"/>
    <w:multiLevelType w:val="multilevel"/>
    <w:tmpl w:val="799CC8CE"/>
    <w:name w:val="Bulleted_a010fc74-0898-491f-b01d-f2f152efb46b"/>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Times New Roman" w:hAnsi="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drawingGridHorizontalSpacing w:val="110"/>
  <w:displayHorizontalDrawingGridEvery w:val="2"/>
  <w:displayVerticalDrawingGridEvery w:val="2"/>
  <w:characterSpacingControl w:val="doNotCompres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08D0"/>
    <w:rsid w:val="000065E5"/>
    <w:rsid w:val="00041273"/>
    <w:rsid w:val="00041919"/>
    <w:rsid w:val="0006117D"/>
    <w:rsid w:val="000B73CB"/>
    <w:rsid w:val="000C74E5"/>
    <w:rsid w:val="000E3BC2"/>
    <w:rsid w:val="000E52B9"/>
    <w:rsid w:val="00114256"/>
    <w:rsid w:val="00124848"/>
    <w:rsid w:val="0014372E"/>
    <w:rsid w:val="001556D9"/>
    <w:rsid w:val="00157F92"/>
    <w:rsid w:val="001C4E1F"/>
    <w:rsid w:val="002479FD"/>
    <w:rsid w:val="00254F2A"/>
    <w:rsid w:val="002700C9"/>
    <w:rsid w:val="002822AA"/>
    <w:rsid w:val="002929DB"/>
    <w:rsid w:val="002A4CFB"/>
    <w:rsid w:val="002D5E38"/>
    <w:rsid w:val="002D64E3"/>
    <w:rsid w:val="002E0597"/>
    <w:rsid w:val="002F7FCD"/>
    <w:rsid w:val="0030135F"/>
    <w:rsid w:val="00323012"/>
    <w:rsid w:val="003502D3"/>
    <w:rsid w:val="00351D88"/>
    <w:rsid w:val="0038158B"/>
    <w:rsid w:val="003960F0"/>
    <w:rsid w:val="004118A0"/>
    <w:rsid w:val="00413B95"/>
    <w:rsid w:val="00440D74"/>
    <w:rsid w:val="00444ED7"/>
    <w:rsid w:val="004A15EF"/>
    <w:rsid w:val="004A63FB"/>
    <w:rsid w:val="004E4BFB"/>
    <w:rsid w:val="0052619A"/>
    <w:rsid w:val="00542A18"/>
    <w:rsid w:val="005B67C1"/>
    <w:rsid w:val="005D44D0"/>
    <w:rsid w:val="00607AA4"/>
    <w:rsid w:val="006A73B3"/>
    <w:rsid w:val="006B422E"/>
    <w:rsid w:val="006B654A"/>
    <w:rsid w:val="006C2DAC"/>
    <w:rsid w:val="006E448F"/>
    <w:rsid w:val="00751210"/>
    <w:rsid w:val="0078041D"/>
    <w:rsid w:val="00785D06"/>
    <w:rsid w:val="007A0CC6"/>
    <w:rsid w:val="008052A2"/>
    <w:rsid w:val="008242C0"/>
    <w:rsid w:val="0087366E"/>
    <w:rsid w:val="008908D0"/>
    <w:rsid w:val="009138D8"/>
    <w:rsid w:val="00946522"/>
    <w:rsid w:val="00962CE9"/>
    <w:rsid w:val="00971726"/>
    <w:rsid w:val="00973D1C"/>
    <w:rsid w:val="009D4143"/>
    <w:rsid w:val="00A218BA"/>
    <w:rsid w:val="00A3590B"/>
    <w:rsid w:val="00A3619D"/>
    <w:rsid w:val="00A42952"/>
    <w:rsid w:val="00A42964"/>
    <w:rsid w:val="00A90A3D"/>
    <w:rsid w:val="00B024D3"/>
    <w:rsid w:val="00B7369E"/>
    <w:rsid w:val="00BC1F79"/>
    <w:rsid w:val="00C17338"/>
    <w:rsid w:val="00C20232"/>
    <w:rsid w:val="00CC3C7B"/>
    <w:rsid w:val="00CF3373"/>
    <w:rsid w:val="00D419F3"/>
    <w:rsid w:val="00D54C3F"/>
    <w:rsid w:val="00D63DDF"/>
    <w:rsid w:val="00DB6A18"/>
    <w:rsid w:val="00E84B95"/>
    <w:rsid w:val="00EC5F31"/>
    <w:rsid w:val="00EF6879"/>
    <w:rsid w:val="00F113F3"/>
    <w:rsid w:val="00F24684"/>
    <w:rsid w:val="00F54D83"/>
    <w:rsid w:val="00FB62D3"/>
    <w:rsid w:val="00FF2D3A"/>
  </w:rsids>
  <m:mathPr>
    <m:mathFont m:val="Cambria Math"/>
    <m:brkBin m:val="before"/>
    <m:brkBinSub m:val="--"/>
    <m:smallFrac/>
    <m:dispDef/>
    <m:lMargin m:val="0"/>
    <m:rMargin m:val="0"/>
    <m:defJc m:val="centerGroup"/>
    <m:wrapRight/>
    <m:intLim m:val="subSup"/>
    <m:naryLim m:val="undOvr"/>
  </m:mathPr>
  <w:themeFontLang w:val="en-US" w:eastAsia="en-US" w:bidi="fa-IR"/>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5:docId w15:val="{FEFA202A-76ED-4C4C-A5E2-88AC07673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B Lotus"/>
        <w:sz w:val="28"/>
        <w:szCs w:val="28"/>
        <w:rtl/>
        <w:cs/>
        <w:lang w:val="en-US" w:eastAsia="en-US" w:bidi="fa-IR"/>
      </w:rPr>
    </w:rPrDefault>
    <w:pPrDefault>
      <w:pPr>
        <w:bidi/>
        <w:jc w:val="right"/>
      </w:pPr>
    </w:pPrDefault>
  </w:docDefaults>
  <w:latentStyles w:defLockedState="0" w:defUIPriority="99" w:defSemiHidden="0" w:defUnhideWhenUsed="0" w:defQFormat="0" w:count="371">
    <w:lsdException w:name="Normal"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iPriority="0"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iPriority="0"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iPriority="0" w:unhideWhenUsed="1"/>
    <w:lsdException w:name="Table Classic 4" w:semiHidden="1" w:unhideWhenUsed="1"/>
    <w:lsdException w:name="Table Colorful 1" w:semiHidden="1" w:uiPriority="0" w:unhideWhenUsed="1"/>
    <w:lsdException w:name="Table Colorful 2" w:semiHidden="1" w:unhideWhenUsed="1"/>
    <w:lsdException w:name="Table Colorful 3" w:semiHidden="1" w:uiPriority="0"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iPriority="0" w:unhideWhenUsed="1"/>
    <w:lsdException w:name="Table Grid 2" w:semiHidden="1" w:unhideWhenUsed="1"/>
    <w:lsdException w:name="Table Grid 3" w:semiHidden="1" w:unhideWhenUsed="1"/>
    <w:lsdException w:name="Table Grid 4" w:semiHidden="1" w:uiPriority="0" w:unhideWhenUsed="1"/>
    <w:lsdException w:name="Table Grid 5" w:semiHidden="1" w:uiPriority="0" w:unhideWhenUsed="1"/>
    <w:lsdException w:name="Table Grid 6" w:semiHidden="1" w:unhideWhenUsed="1"/>
    <w:lsdException w:name="Table Grid 7" w:semiHidden="1" w:uiPriority="0" w:unhideWhenUsed="1"/>
    <w:lsdException w:name="Table Grid 8" w:semiHidden="1" w:uiPriority="0" w:unhideWhenUsed="1"/>
    <w:lsdException w:name="Table List 1" w:semiHidden="1" w:uiPriority="0" w:unhideWhenUsed="1"/>
    <w:lsdException w:name="Table List 2" w:semiHidden="1" w:uiPriority="0" w:unhideWhenUsed="1"/>
    <w:lsdException w:name="Table List 3" w:semiHidden="1" w:uiPriority="0" w:unhideWhenUsed="1"/>
    <w:lsdException w:name="Table List 4" w:semiHidden="1" w:unhideWhenUsed="1"/>
    <w:lsdException w:name="Table List 5" w:semiHidden="1" w:uiPriority="0" w:unhideWhenUsed="1"/>
    <w:lsdException w:name="Table List 6" w:semiHidden="1" w:uiPriority="0" w:unhideWhenUsed="1"/>
    <w:lsdException w:name="Table List 7" w:semiHidden="1" w:uiPriority="0" w:unhideWhenUsed="1"/>
    <w:lsdException w:name="Table List 8" w:semiHidden="1" w:uiPriority="0"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iPriority="0"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99"/>
    <w:qFormat/>
    <w:rsid w:val="002D5E38"/>
    <w:pPr>
      <w:autoSpaceDE w:val="0"/>
      <w:autoSpaceDN w:val="0"/>
      <w:adjustRightInd w:val="0"/>
      <w:spacing w:after="120" w:line="360" w:lineRule="auto"/>
      <w:jc w:val="left"/>
    </w:pPr>
    <w:rPr>
      <w:color w:val="000000"/>
    </w:rPr>
  </w:style>
  <w:style w:type="paragraph" w:styleId="Heading1">
    <w:name w:val="heading 1"/>
    <w:basedOn w:val="Normal"/>
    <w:next w:val="Normal"/>
    <w:qFormat/>
    <w:rsid w:val="009D4143"/>
    <w:pPr>
      <w:keepNext/>
      <w:spacing w:after="60" w:line="240" w:lineRule="auto"/>
      <w:outlineLvl w:val="0"/>
    </w:pPr>
    <w:rPr>
      <w:b/>
      <w:bCs/>
      <w:kern w:val="32"/>
      <w:sz w:val="56"/>
    </w:rPr>
  </w:style>
  <w:style w:type="paragraph" w:styleId="Heading2">
    <w:name w:val="heading 2"/>
    <w:basedOn w:val="Normal"/>
    <w:next w:val="Normal"/>
    <w:unhideWhenUsed/>
    <w:qFormat/>
    <w:rsid w:val="005B67C1"/>
    <w:pPr>
      <w:keepNext/>
      <w:keepLines/>
      <w:spacing w:after="0" w:line="276" w:lineRule="auto"/>
      <w:ind w:firstLine="397"/>
      <w:outlineLvl w:val="1"/>
    </w:pPr>
    <w:rPr>
      <w:b/>
      <w:bCs/>
      <w:sz w:val="30"/>
      <w:szCs w:val="30"/>
    </w:rPr>
  </w:style>
  <w:style w:type="paragraph" w:styleId="Heading3">
    <w:name w:val="heading 3"/>
    <w:basedOn w:val="Normal"/>
    <w:next w:val="Normal"/>
    <w:unhideWhenUsed/>
    <w:qFormat/>
    <w:rsid w:val="00B7369E"/>
    <w:pPr>
      <w:keepNext/>
      <w:keepLines/>
      <w:spacing w:after="0" w:line="276" w:lineRule="auto"/>
      <w:ind w:firstLine="397"/>
      <w:outlineLvl w:val="2"/>
    </w:pPr>
    <w:rPr>
      <w:sz w:val="30"/>
      <w:szCs w:val="30"/>
    </w:rPr>
  </w:style>
  <w:style w:type="paragraph" w:styleId="Heading4">
    <w:name w:val="heading 4"/>
    <w:basedOn w:val="Normal"/>
    <w:next w:val="Normal"/>
    <w:unhideWhenUsed/>
    <w:qFormat/>
    <w:rsid w:val="00751210"/>
    <w:pPr>
      <w:keepNext/>
      <w:spacing w:after="0" w:line="276" w:lineRule="auto"/>
      <w:ind w:firstLine="397"/>
      <w:outlineLvl w:val="3"/>
    </w:pPr>
    <w:rPr>
      <w:b/>
      <w:bCs/>
      <w:sz w:val="30"/>
    </w:rPr>
  </w:style>
  <w:style w:type="paragraph" w:styleId="Heading5">
    <w:name w:val="heading 5"/>
    <w:basedOn w:val="Normal"/>
    <w:next w:val="Normal"/>
    <w:unhideWhenUsed/>
    <w:qFormat/>
    <w:rsid w:val="0052619A"/>
    <w:pPr>
      <w:keepNext/>
      <w:spacing w:after="0" w:line="276" w:lineRule="auto"/>
      <w:ind w:firstLine="397"/>
      <w:outlineLvl w:val="4"/>
    </w:pPr>
    <w:rPr>
      <w:b/>
      <w:bCs/>
      <w:szCs w:val="26"/>
    </w:rPr>
  </w:style>
  <w:style w:type="paragraph" w:styleId="Heading6">
    <w:name w:val="heading 6"/>
    <w:basedOn w:val="Normal"/>
    <w:next w:val="Normal"/>
    <w:unhideWhenUsed/>
    <w:qFormat/>
    <w:pPr>
      <w:keepNext/>
      <w:spacing w:before="240" w:after="60"/>
      <w:jc w:val="right"/>
      <w:outlineLvl w:val="5"/>
    </w:pPr>
    <w:rPr>
      <w:rFonts w:cs="B Tit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qFormat/>
    <w:pPr>
      <w:bidi w:val="0"/>
      <w:spacing w:after="80" w:line="276" w:lineRule="auto"/>
    </w:pPr>
    <w:rPr>
      <w:rFonts w:cs="Times New Roman"/>
      <w:sz w:val="24"/>
      <w:szCs w:val="24"/>
      <w:rtl w:val="0"/>
      <w:cs w:val="0"/>
    </w:rPr>
  </w:style>
  <w:style w:type="paragraph" w:customStyle="1" w:styleId="EnglishText">
    <w:name w:val="English Text"/>
    <w:basedOn w:val="Normal"/>
    <w:qFormat/>
    <w:pPr>
      <w:bidi w:val="0"/>
    </w:pPr>
    <w:rPr>
      <w:rFonts w:cs="Times New Roman"/>
      <w:sz w:val="24"/>
      <w:szCs w:val="24"/>
      <w:rtl w:val="0"/>
      <w:cs w:val="0"/>
    </w:rPr>
  </w:style>
  <w:style w:type="paragraph" w:styleId="FootnoteText">
    <w:name w:val="footnote text"/>
    <w:basedOn w:val="Normal"/>
    <w:uiPriority w:val="99"/>
    <w:unhideWhenUsed/>
    <w:qFormat/>
    <w:pPr>
      <w:bidi w:val="0"/>
      <w:spacing w:after="0" w:line="240" w:lineRule="auto"/>
      <w:jc w:val="both"/>
    </w:pPr>
    <w:rPr>
      <w:rFonts w:cs="Times New Roman"/>
      <w:sz w:val="18"/>
      <w:szCs w:val="18"/>
      <w:rtl w:val="0"/>
      <w:cs w:val="0"/>
    </w:rPr>
  </w:style>
  <w:style w:type="character" w:styleId="FootnoteReference">
    <w:name w:val="footnote reference"/>
    <w:uiPriority w:val="99"/>
    <w:unhideWhenUsed/>
    <w:qFormat/>
    <w:rPr>
      <w:rFonts w:ascii="Times New Roman" w:eastAsia="Times New Roman" w:hAnsi="Times New Roman" w:cs="Times New Roman"/>
      <w:sz w:val="20"/>
      <w:szCs w:val="20"/>
      <w:vertAlign w:val="superscript"/>
    </w:rPr>
  </w:style>
  <w:style w:type="character" w:styleId="Hyperlink">
    <w:name w:val="Hyperlink"/>
    <w:uiPriority w:val="99"/>
    <w:unhideWhenUsed/>
    <w:rPr>
      <w:color w:val="000000"/>
    </w:rPr>
  </w:style>
  <w:style w:type="paragraph" w:styleId="Header">
    <w:name w:val="header"/>
    <w:basedOn w:val="Normal"/>
    <w:uiPriority w:val="99"/>
    <w:unhideWhenUsed/>
    <w:pPr>
      <w:tabs>
        <w:tab w:val="center" w:pos="4513"/>
        <w:tab w:val="right" w:pos="9026"/>
      </w:tabs>
      <w:spacing w:after="0" w:line="240" w:lineRule="auto"/>
      <w:jc w:val="right"/>
    </w:pPr>
  </w:style>
  <w:style w:type="paragraph" w:styleId="Footer">
    <w:name w:val="footer"/>
    <w:basedOn w:val="Normal"/>
    <w:link w:val="FooterChar"/>
    <w:uiPriority w:val="99"/>
    <w:unhideWhenUsed/>
    <w:qFormat/>
    <w:pPr>
      <w:tabs>
        <w:tab w:val="center" w:pos="4513"/>
        <w:tab w:val="right" w:pos="9026"/>
      </w:tabs>
      <w:spacing w:after="0" w:line="240" w:lineRule="auto"/>
      <w:jc w:val="center"/>
    </w:pPr>
  </w:style>
  <w:style w:type="character" w:styleId="PageNumber">
    <w:name w:val="page number"/>
  </w:style>
  <w:style w:type="paragraph" w:styleId="TOC1">
    <w:name w:val="toc 1"/>
    <w:basedOn w:val="Normal"/>
    <w:next w:val="Normal"/>
    <w:autoRedefine/>
    <w:uiPriority w:val="39"/>
    <w:unhideWhenUsed/>
    <w:qFormat/>
    <w:rsid w:val="004118A0"/>
    <w:pPr>
      <w:tabs>
        <w:tab w:val="right" w:leader="dot" w:pos="9058"/>
      </w:tabs>
      <w:spacing w:before="120" w:line="240" w:lineRule="auto"/>
    </w:pPr>
    <w:rPr>
      <w:rFonts w:asciiTheme="minorHAnsi" w:hAnsiTheme="minorHAnsi"/>
      <w:b/>
      <w:bCs/>
      <w:caps/>
      <w:noProof/>
      <w:sz w:val="18"/>
      <w:szCs w:val="22"/>
      <w:rtl w:val="0"/>
      <w:cs w:val="0"/>
    </w:rPr>
  </w:style>
  <w:style w:type="paragraph" w:styleId="TOC2">
    <w:name w:val="toc 2"/>
    <w:basedOn w:val="Normal"/>
    <w:next w:val="Normal"/>
    <w:autoRedefine/>
    <w:uiPriority w:val="39"/>
    <w:unhideWhenUsed/>
    <w:qFormat/>
    <w:rsid w:val="004118A0"/>
    <w:pPr>
      <w:tabs>
        <w:tab w:val="right" w:leader="dot" w:pos="9058"/>
      </w:tabs>
      <w:spacing w:after="0" w:line="240" w:lineRule="auto"/>
      <w:ind w:left="284"/>
    </w:pPr>
    <w:rPr>
      <w:rFonts w:asciiTheme="minorHAnsi" w:hAnsiTheme="minorHAnsi"/>
      <w:smallCaps/>
      <w:noProof/>
      <w:sz w:val="20"/>
      <w:szCs w:val="22"/>
      <w:rtl w:val="0"/>
      <w:cs w:val="0"/>
    </w:rPr>
  </w:style>
  <w:style w:type="paragraph" w:styleId="TOC3">
    <w:name w:val="toc 3"/>
    <w:basedOn w:val="Normal"/>
    <w:next w:val="Normal"/>
    <w:autoRedefine/>
    <w:uiPriority w:val="39"/>
    <w:unhideWhenUsed/>
    <w:qFormat/>
    <w:rsid w:val="004118A0"/>
    <w:pPr>
      <w:tabs>
        <w:tab w:val="right" w:leader="dot" w:pos="9058"/>
      </w:tabs>
      <w:spacing w:after="0" w:line="240" w:lineRule="auto"/>
      <w:ind w:left="567"/>
    </w:pPr>
    <w:rPr>
      <w:rFonts w:ascii="B Lotus" w:hAnsi="B Lotus"/>
      <w:i/>
      <w:iCs/>
      <w:noProof/>
      <w:sz w:val="20"/>
      <w:szCs w:val="20"/>
      <w:rtl w:val="0"/>
      <w:cs w:val="0"/>
    </w:rPr>
  </w:style>
  <w:style w:type="paragraph" w:styleId="TOC4">
    <w:name w:val="toc 4"/>
    <w:basedOn w:val="Normal"/>
    <w:next w:val="Normal"/>
    <w:autoRedefine/>
    <w:uiPriority w:val="39"/>
    <w:unhideWhenUsed/>
    <w:pPr>
      <w:spacing w:after="0"/>
      <w:ind w:left="840"/>
    </w:pPr>
    <w:rPr>
      <w:rFonts w:asciiTheme="minorHAnsi" w:hAnsiTheme="minorHAnsi" w:cstheme="minorHAnsi"/>
      <w:sz w:val="18"/>
      <w:szCs w:val="21"/>
    </w:rPr>
  </w:style>
  <w:style w:type="paragraph" w:styleId="TOC5">
    <w:name w:val="toc 5"/>
    <w:basedOn w:val="Normal"/>
    <w:next w:val="Normal"/>
    <w:autoRedefine/>
    <w:uiPriority w:val="39"/>
    <w:unhideWhenUsed/>
    <w:pPr>
      <w:spacing w:after="0"/>
      <w:ind w:left="1120"/>
    </w:pPr>
    <w:rPr>
      <w:rFonts w:asciiTheme="minorHAnsi" w:hAnsiTheme="minorHAnsi" w:cstheme="minorHAnsi"/>
      <w:sz w:val="18"/>
      <w:szCs w:val="21"/>
    </w:rPr>
  </w:style>
  <w:style w:type="paragraph" w:styleId="Caption">
    <w:name w:val="caption"/>
    <w:basedOn w:val="Normal"/>
    <w:next w:val="Normal"/>
    <w:uiPriority w:val="35"/>
    <w:unhideWhenUsed/>
    <w:qFormat/>
    <w:rsid w:val="0052619A"/>
    <w:pPr>
      <w:keepLines/>
      <w:spacing w:after="0" w:line="720" w:lineRule="auto"/>
      <w:ind w:firstLine="397"/>
    </w:pPr>
    <w:rPr>
      <w:b/>
      <w:bCs/>
      <w:sz w:val="24"/>
      <w:szCs w:val="24"/>
    </w:rPr>
  </w:style>
  <w:style w:type="paragraph" w:styleId="TableofFigures">
    <w:name w:val="table of figures"/>
    <w:basedOn w:val="Normal"/>
    <w:next w:val="Normal"/>
    <w:uiPriority w:val="99"/>
    <w:qFormat/>
    <w:pPr>
      <w:tabs>
        <w:tab w:val="right" w:leader="dot" w:pos="8778"/>
      </w:tabs>
      <w:spacing w:after="40"/>
      <w:jc w:val="right"/>
    </w:pPr>
    <w:rPr>
      <w:sz w:val="24"/>
      <w:szCs w:val="24"/>
    </w:rPr>
  </w:style>
  <w:style w:type="character" w:styleId="FollowedHyperlink">
    <w:name w:val="FollowedHyperlink"/>
    <w:basedOn w:val="DefaultParagraphFont"/>
    <w:uiPriority w:val="99"/>
    <w:semiHidden/>
    <w:unhideWhenUsed/>
    <w:rsid w:val="00D63DDF"/>
    <w:rPr>
      <w:color w:val="96607D" w:themeColor="followedHyperlink"/>
      <w:u w:val="single"/>
    </w:rPr>
  </w:style>
  <w:style w:type="paragraph" w:customStyle="1" w:styleId="References">
    <w:name w:val="References"/>
    <w:basedOn w:val="Normal"/>
    <w:qFormat/>
    <w:pPr>
      <w:bidi w:val="0"/>
      <w:spacing w:after="80" w:line="276" w:lineRule="auto"/>
      <w:ind w:left="720" w:hanging="720"/>
    </w:pPr>
    <w:rPr>
      <w:rFonts w:cs="Times New Roman"/>
      <w:sz w:val="24"/>
      <w:szCs w:val="24"/>
      <w:rtl w:val="0"/>
      <w:cs w:val="0"/>
    </w:rPr>
  </w:style>
  <w:style w:type="paragraph" w:customStyle="1" w:styleId="PersianReferences">
    <w:name w:val="Persian References"/>
    <w:basedOn w:val="Normal"/>
    <w:qFormat/>
    <w:pPr>
      <w:spacing w:after="80" w:line="276" w:lineRule="auto"/>
      <w:ind w:right="720" w:hanging="720"/>
      <w:jc w:val="right"/>
    </w:pPr>
    <w:rPr>
      <w:sz w:val="24"/>
      <w:szCs w:val="24"/>
    </w:rPr>
  </w:style>
  <w:style w:type="paragraph" w:styleId="TOC6">
    <w:name w:val="toc 6"/>
    <w:basedOn w:val="Normal"/>
    <w:next w:val="Normal"/>
    <w:autoRedefine/>
    <w:uiPriority w:val="39"/>
    <w:unhideWhenUsed/>
    <w:rsid w:val="0038158B"/>
    <w:pPr>
      <w:spacing w:after="0"/>
      <w:ind w:left="1400"/>
    </w:pPr>
    <w:rPr>
      <w:rFonts w:asciiTheme="minorHAnsi" w:hAnsiTheme="minorHAnsi" w:cstheme="minorHAnsi"/>
      <w:sz w:val="18"/>
      <w:szCs w:val="21"/>
    </w:rPr>
  </w:style>
  <w:style w:type="paragraph" w:styleId="TOC7">
    <w:name w:val="toc 7"/>
    <w:basedOn w:val="Normal"/>
    <w:next w:val="Normal"/>
    <w:autoRedefine/>
    <w:uiPriority w:val="39"/>
    <w:unhideWhenUsed/>
    <w:rsid w:val="0038158B"/>
    <w:pPr>
      <w:spacing w:after="0"/>
      <w:ind w:left="1680"/>
    </w:pPr>
    <w:rPr>
      <w:rFonts w:asciiTheme="minorHAnsi" w:hAnsiTheme="minorHAnsi" w:cstheme="minorHAnsi"/>
      <w:sz w:val="18"/>
      <w:szCs w:val="21"/>
    </w:rPr>
  </w:style>
  <w:style w:type="paragraph" w:styleId="TOC8">
    <w:name w:val="toc 8"/>
    <w:basedOn w:val="Normal"/>
    <w:next w:val="Normal"/>
    <w:autoRedefine/>
    <w:uiPriority w:val="39"/>
    <w:unhideWhenUsed/>
    <w:rsid w:val="0038158B"/>
    <w:pPr>
      <w:spacing w:after="0"/>
      <w:ind w:left="1960"/>
    </w:pPr>
    <w:rPr>
      <w:rFonts w:asciiTheme="minorHAnsi" w:hAnsiTheme="minorHAnsi" w:cstheme="minorHAnsi"/>
      <w:sz w:val="18"/>
      <w:szCs w:val="21"/>
    </w:rPr>
  </w:style>
  <w:style w:type="paragraph" w:styleId="TOC9">
    <w:name w:val="toc 9"/>
    <w:basedOn w:val="Normal"/>
    <w:next w:val="Normal"/>
    <w:autoRedefine/>
    <w:uiPriority w:val="39"/>
    <w:unhideWhenUsed/>
    <w:rsid w:val="0038158B"/>
    <w:pPr>
      <w:spacing w:after="0"/>
      <w:ind w:left="2240"/>
    </w:pPr>
    <w:rPr>
      <w:rFonts w:asciiTheme="minorHAnsi" w:hAnsiTheme="minorHAnsi" w:cstheme="minorHAnsi"/>
      <w:sz w:val="18"/>
      <w:szCs w:val="21"/>
    </w:rPr>
  </w:style>
  <w:style w:type="paragraph" w:styleId="Revision">
    <w:name w:val="Revision"/>
    <w:hidden/>
    <w:uiPriority w:val="99"/>
    <w:semiHidden/>
    <w:rsid w:val="002F7FCD"/>
    <w:pPr>
      <w:bidi w:val="0"/>
      <w:jc w:val="left"/>
    </w:pPr>
    <w:rPr>
      <w:color w:val="000000"/>
    </w:rPr>
  </w:style>
  <w:style w:type="paragraph" w:styleId="NoSpacing">
    <w:name w:val="No Spacing"/>
    <w:link w:val="NoSpacingChar"/>
    <w:uiPriority w:val="1"/>
    <w:qFormat/>
    <w:rsid w:val="002F7FCD"/>
    <w:pPr>
      <w:bidi w:val="0"/>
      <w:jc w:val="left"/>
    </w:pPr>
    <w:rPr>
      <w:rFonts w:asciiTheme="minorHAnsi" w:eastAsiaTheme="minorEastAsia" w:hAnsiTheme="minorHAnsi" w:cstheme="minorBidi"/>
      <w:sz w:val="22"/>
      <w:szCs w:val="22"/>
      <w:lang w:bidi="ar-SA"/>
    </w:rPr>
  </w:style>
  <w:style w:type="character" w:customStyle="1" w:styleId="NoSpacingChar">
    <w:name w:val="No Spacing Char"/>
    <w:basedOn w:val="DefaultParagraphFont"/>
    <w:link w:val="NoSpacing"/>
    <w:uiPriority w:val="1"/>
    <w:rsid w:val="002F7FCD"/>
    <w:rPr>
      <w:rFonts w:asciiTheme="minorHAnsi" w:eastAsiaTheme="minorEastAsia" w:hAnsiTheme="minorHAnsi" w:cstheme="minorBidi"/>
      <w:sz w:val="22"/>
      <w:szCs w:val="22"/>
      <w:lang w:bidi="ar-SA"/>
    </w:rPr>
  </w:style>
  <w:style w:type="character" w:customStyle="1" w:styleId="FooterChar">
    <w:name w:val="Footer Char"/>
    <w:basedOn w:val="DefaultParagraphFont"/>
    <w:link w:val="Footer"/>
    <w:uiPriority w:val="99"/>
    <w:rsid w:val="00D419F3"/>
    <w:rPr>
      <w:color w:val="000000"/>
    </w:rPr>
  </w:style>
  <w:style w:type="character" w:styleId="PlaceholderText">
    <w:name w:val="Placeholder Text"/>
    <w:basedOn w:val="DefaultParagraphFont"/>
    <w:uiPriority w:val="99"/>
    <w:semiHidden/>
    <w:rsid w:val="00444ED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37/0003-066X.54.3.165" TargetMode="External"/><Relationship Id="rId21" Type="http://schemas.openxmlformats.org/officeDocument/2006/relationships/hyperlink" Target="https://doi.org/10.1093/ageing/afae122" TargetMode="External"/><Relationship Id="rId42" Type="http://schemas.openxmlformats.org/officeDocument/2006/relationships/hyperlink" Target="https://doi.org/10.1017/S1754470X20000215" TargetMode="External"/><Relationship Id="rId47" Type="http://schemas.openxmlformats.org/officeDocument/2006/relationships/hyperlink" Target="https://doi.org/10.1093/geronb/gbv025" TargetMode="External"/><Relationship Id="rId63" Type="http://schemas.openxmlformats.org/officeDocument/2006/relationships/hyperlink" Target="https://www.who.int/news-room/fact-sheets/detail/mental-health-of-older-adults" TargetMode="External"/><Relationship Id="rId68"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hyperlink" Target="https://doi.org/10.34172/hpp.42354" TargetMode="External"/><Relationship Id="rId11" Type="http://schemas.openxmlformats.org/officeDocument/2006/relationships/footer" Target="footer2.xml"/><Relationship Id="rId24" Type="http://schemas.openxmlformats.org/officeDocument/2006/relationships/hyperlink" Target="https://doi.org/10.1126/science.1127488" TargetMode="External"/><Relationship Id="rId32" Type="http://schemas.openxmlformats.org/officeDocument/2006/relationships/hyperlink" Target="https://doi.org/10.1002/ccr3.9316" TargetMode="External"/><Relationship Id="rId37" Type="http://schemas.openxmlformats.org/officeDocument/2006/relationships/hyperlink" Target="https://doi.org/10.1007/s11920-024-01507-2" TargetMode="External"/><Relationship Id="rId40" Type="http://schemas.openxmlformats.org/officeDocument/2006/relationships/hyperlink" Target="https://pubmed.ncbi.nlm.nih.gov/39900466/" TargetMode="External"/><Relationship Id="rId45" Type="http://schemas.openxmlformats.org/officeDocument/2006/relationships/hyperlink" Target="https://doi.org/10.1177/0022167820959488" TargetMode="External"/><Relationship Id="rId53" Type="http://schemas.openxmlformats.org/officeDocument/2006/relationships/hyperlink" Target="https://doi.org/10.1080/16549716.2024.2362310" TargetMode="External"/><Relationship Id="rId58" Type="http://schemas.openxmlformats.org/officeDocument/2006/relationships/hyperlink" Target="https://iran.unfpa.org/en/topics/population-ageing-and-disabilities" TargetMode="External"/><Relationship Id="rId66" Type="http://schemas.openxmlformats.org/officeDocument/2006/relationships/hyperlink" Target="https://doi.org/10.1177/0164027510383584" TargetMode="External"/><Relationship Id="rId5" Type="http://schemas.openxmlformats.org/officeDocument/2006/relationships/webSettings" Target="webSettings.xml"/><Relationship Id="rId61" Type="http://schemas.openxmlformats.org/officeDocument/2006/relationships/hyperlink" Target="https://doi.org/10.1111/phn.13266" TargetMode="Externa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hyperlink" Target="https://doi.org/10.1093/geront/29.2.183" TargetMode="External"/><Relationship Id="rId27" Type="http://schemas.openxmlformats.org/officeDocument/2006/relationships/hyperlink" Target="https://doi.org/10.1038/s41562-018-0307-6" TargetMode="External"/><Relationship Id="rId30" Type="http://schemas.openxmlformats.org/officeDocument/2006/relationships/hyperlink" Target="https://doi.org/10.1016/j.jocrd.2023.100783" TargetMode="External"/><Relationship Id="rId35" Type="http://schemas.openxmlformats.org/officeDocument/2006/relationships/hyperlink" Target="https://doi.org/10.1016/j.psc.2024.04.015" TargetMode="External"/><Relationship Id="rId43" Type="http://schemas.openxmlformats.org/officeDocument/2006/relationships/hyperlink" Target="https://doi.org/10.1097/MS9.0000000000002100" TargetMode="External"/><Relationship Id="rId48" Type="http://schemas.openxmlformats.org/officeDocument/2006/relationships/hyperlink" Target="https://doi.org/10.1016/S0033-3182(99)71269-7" TargetMode="External"/><Relationship Id="rId56" Type="http://schemas.openxmlformats.org/officeDocument/2006/relationships/hyperlink" Target="https://doi.org/10.1002/jgf2.750" TargetMode="External"/><Relationship Id="rId64" Type="http://schemas.openxmlformats.org/officeDocument/2006/relationships/hyperlink" Target="https://doi.org/10.1177/00302228241272578" TargetMode="External"/><Relationship Id="rId69"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hyperlink" Target="https://doi.org/10.1007/s12144-024-05659-5" TargetMode="Externa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yperlink" Target="https://doi.org/10.1093/geront/gnab116" TargetMode="External"/><Relationship Id="rId33" Type="http://schemas.openxmlformats.org/officeDocument/2006/relationships/hyperlink" Target="https://doi.org/10.1016/j.cpr.2014.09.002" TargetMode="External"/><Relationship Id="rId38" Type="http://schemas.openxmlformats.org/officeDocument/2006/relationships/hyperlink" Target="https://doi.org/10.1177/001316447003000308" TargetMode="External"/><Relationship Id="rId46" Type="http://schemas.openxmlformats.org/officeDocument/2006/relationships/hyperlink" Target="https://doi.org/10.1037/a0035194" TargetMode="External"/><Relationship Id="rId59" Type="http://schemas.openxmlformats.org/officeDocument/2006/relationships/hyperlink" Target="https://doi.org/10.1177/0022167819830517" TargetMode="External"/><Relationship Id="rId67" Type="http://schemas.openxmlformats.org/officeDocument/2006/relationships/image" Target="media/image3.jpeg"/><Relationship Id="rId20" Type="http://schemas.openxmlformats.org/officeDocument/2006/relationships/footer" Target="footer11.xml"/><Relationship Id="rId41" Type="http://schemas.openxmlformats.org/officeDocument/2006/relationships/hyperlink" Target="https://doi.org/10.1016/j.cell.2022.11.001" TargetMode="External"/><Relationship Id="rId54" Type="http://schemas.openxmlformats.org/officeDocument/2006/relationships/hyperlink" Target="https://doi.org/10.3389/fpsyg.2024.1293943" TargetMode="External"/><Relationship Id="rId62" Type="http://schemas.openxmlformats.org/officeDocument/2006/relationships/hyperlink" Target="https://www.who.int/news-room/fact-sheets/detail/ageing-and-health"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hyperlink" Target="https://doi.org/10.1007/978-3-030-11899-0" TargetMode="External"/><Relationship Id="rId28" Type="http://schemas.openxmlformats.org/officeDocument/2006/relationships/hyperlink" Target="https://doi.org/10.1038/s41574-018-0059-4" TargetMode="External"/><Relationship Id="rId36" Type="http://schemas.openxmlformats.org/officeDocument/2006/relationships/hyperlink" Target="https://doi.org/10.2307/3090197" TargetMode="External"/><Relationship Id="rId49" Type="http://schemas.openxmlformats.org/officeDocument/2006/relationships/hyperlink" Target="https://doi.org/10.1016/0005-7967(90)90023-c" TargetMode="External"/><Relationship Id="rId57" Type="http://schemas.openxmlformats.org/officeDocument/2006/relationships/hyperlink" Target="https://doi.org/10.1080/00221309.1970.9920634" TargetMode="External"/><Relationship Id="rId10" Type="http://schemas.openxmlformats.org/officeDocument/2006/relationships/footer" Target="footer1.xml"/><Relationship Id="rId31" Type="http://schemas.openxmlformats.org/officeDocument/2006/relationships/hyperlink" Target="https://doi.org/10.1093/geront/1.1.8" TargetMode="External"/><Relationship Id="rId44" Type="http://schemas.openxmlformats.org/officeDocument/2006/relationships/hyperlink" Target="https://doi.org/10.4103/ijnmr.ijnmr_260_23" TargetMode="External"/><Relationship Id="rId52" Type="http://schemas.openxmlformats.org/officeDocument/2006/relationships/hyperlink" Target="https://doi.org/10.1097/00005053-200208000-00002" TargetMode="External"/><Relationship Id="rId60" Type="http://schemas.openxmlformats.org/officeDocument/2006/relationships/hyperlink" Target="https://doi.org/10.1093/oxfordhb/9780190905538.013.18" TargetMode="External"/><Relationship Id="rId65" Type="http://schemas.openxmlformats.org/officeDocument/2006/relationships/hyperlink" Target="https://doi.org/10.1186/s12877-025-06040-2"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hyperlink" Target="https://doi.org/10.1016/j.jamda.2024.105334" TargetMode="External"/><Relationship Id="rId34" Type="http://schemas.openxmlformats.org/officeDocument/2006/relationships/hyperlink" Target="https://doi.org/10.1186/s12877-024-04947-w" TargetMode="External"/><Relationship Id="rId50" Type="http://schemas.openxmlformats.org/officeDocument/2006/relationships/hyperlink" Target="https://doi.org/10.1093/geronb/gbv062" TargetMode="External"/><Relationship Id="rId55" Type="http://schemas.openxmlformats.org/officeDocument/2006/relationships/hyperlink" Target="https://doi.org/10.1177/0963721424126681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639C4452-2FBB-492B-9385-26FEF5624C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91</Pages>
  <Words>22093</Words>
  <Characters>125932</Characters>
  <Application>Microsoft Office Word</Application>
  <DocSecurity>0</DocSecurity>
  <Lines>1049</Lines>
  <Paragraphs>295</Paragraphs>
  <ScaleCrop>false</ScaleCrop>
  <HeadingPairs>
    <vt:vector size="2" baseType="variant">
      <vt:variant>
        <vt:lpstr>Title</vt:lpstr>
      </vt:variant>
      <vt:variant>
        <vt:i4>1</vt:i4>
      </vt:variant>
    </vt:vector>
  </HeadingPairs>
  <TitlesOfParts>
    <vt:vector size="1" baseType="lpstr">
      <vt:lpstr>رابطه هوش معنوی و اضطراب سلامتی با اضطراب مرگ سالمندان</vt:lpstr>
    </vt:vector>
  </TitlesOfParts>
  <Company/>
  <LinksUpToDate>false</LinksUpToDate>
  <CharactersWithSpaces>147730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رابطه هوش معنوی و اضطراب سلامتی با اضطراب مرگ سالمندان</dc:title>
  <dc:creator>فاطمه بیات</dc:creator>
  <cp:lastModifiedBy>Paymaun Tavassoli</cp:lastModifiedBy>
  <cp:revision>45</cp:revision>
  <dcterms:created xsi:type="dcterms:W3CDTF">2026-08-29T21:31:00Z</dcterms:created>
  <dcterms:modified xsi:type="dcterms:W3CDTF">2026-09-04T22:40:00Z</dcterms:modified>
</cp:coreProperties>
</file>