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12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r>
        <w:fldChar w:fldCharType="end"/>
      </w:r>
    </w:p>
    <w:p>
      <w:pPr>
        <w:spacing w:after="120" w:line="276" w:lineRule="auto" w:before="240"/>
        <w:jc w:val="center"/>
        <w:rPr>
          <w:cs w:val="0"/>
        </w:rPr>
      </w:pPr>
      <w:r>
        <w:rPr>
          <w:rFonts w:cs="B Titr"/>
          <w:sz w:val="32"/>
          <w:szCs w:val="32"/>
          <w:cs w:val="0"/>
        </w:rPr>
        <w:t>فهرست اشکال</w:t>
      </w:r>
    </w:p>
    <w:p>
      <w:pPr>
        <w:pStyle w:val="TableofFigures"/>
        <w:tabs>
          <w:tab w:val="right" w:leader="dot" w:pos="8788"/>
        </w:tabs>
      </w:pPr>
      <w:hyperlink w:anchor="_TocFig001" w:history="1">
        <w:r>
          <w:rPr>
            <w:rStyle w:val="Hyperlink"/>
            <w:noProof/>
          </w:rPr>
          <w:t xml:space="preserve">شکل ۱- درختواره نظریه‌های سالمندی (شاخه زیست‌شناختی، روان‌شناختی و جامعه‌شناختی)</w:t>
        </w:r>
        <w:r>
          <w:rPr>
            <w:noProof/>
            <w:webHidden/>
          </w:rPr>
          <w:tab/>
        </w:r>
        <w:r>
          <w:rPr>
            <w:noProof/>
            <w:webHidden/>
            <w:rtl w:val="0"/>
          </w:rPr>
          <w:fldChar w:fldCharType="begin" w:dirty="true"/>
        </w:r>
        <w:r>
          <w:rPr>
            <w:noProof/>
            <w:webHidden/>
            <w:rtl w:val="0"/>
          </w:rPr>
          <w:instrText xml:space="preserve"> PAGEREF _TocFig001 \h </w:instrText>
        </w:r>
        <w:r>
          <w:rPr>
            <w:noProof/>
            <w:webHidden/>
            <w:rtl w:val="0"/>
          </w:rPr>
          <w:fldChar w:fldCharType="separate"/>
        </w:r>
        <w:r>
          <w:rPr>
            <w:noProof/>
            <w:webHidden/>
          </w:rPr>
          <w:t>14</w:t>
        </w:r>
        <w:r>
          <w:rPr>
            <w:noProof/>
            <w:webHidden/>
            <w:rtl w:val="0"/>
          </w:rPr>
          <w:fldChar w:fldCharType="end"/>
        </w:r>
      </w:hyperlink>
    </w:p>
    <w:p>
      <w:pPr>
        <w:pStyle w:val="TableofFigures"/>
        <w:tabs>
          <w:tab w:val="right" w:leader="dot" w:pos="8788"/>
        </w:tabs>
      </w:pPr>
      <w:hyperlink w:anchor="_TocFig002" w:history="1">
        <w:r>
          <w:rPr>
            <w:rStyle w:val="Hyperlink"/>
            <w:noProof/>
          </w:rPr>
          <w:t xml:space="preserve">شکل ۲- درختواره اضطراب مرگ (نظریه‌ها، ابعاد، عوامل و پیامدها)</w:t>
        </w:r>
        <w:r>
          <w:rPr>
            <w:noProof/>
            <w:webHidden/>
          </w:rPr>
          <w:tab/>
        </w:r>
        <w:r>
          <w:rPr>
            <w:noProof/>
            <w:webHidden/>
            <w:rtl w:val="0"/>
          </w:rPr>
          <w:fldChar w:fldCharType="begin" w:dirty="true"/>
        </w:r>
        <w:r>
          <w:rPr>
            <w:noProof/>
            <w:webHidden/>
            <w:rtl w:val="0"/>
          </w:rPr>
          <w:instrText xml:space="preserve"> PAGEREF _TocFig002 \h </w:instrText>
        </w:r>
        <w:r>
          <w:rPr>
            <w:noProof/>
            <w:webHidden/>
            <w:rtl w:val="0"/>
          </w:rPr>
          <w:fldChar w:fldCharType="separate"/>
        </w:r>
        <w:r>
          <w:rPr>
            <w:noProof/>
            <w:webHidden/>
          </w:rPr>
          <w:t>21</w:t>
        </w:r>
        <w:r>
          <w:rPr>
            <w:noProof/>
            <w:webHidden/>
            <w:rtl w:val="0"/>
          </w:rPr>
          <w:fldChar w:fldCharType="end"/>
        </w:r>
      </w:hyperlink>
    </w:p>
    <w:p>
      <w:pPr>
        <w:pStyle w:val="TableofFigures"/>
        <w:tabs>
          <w:tab w:val="right" w:leader="dot" w:pos="8788"/>
        </w:tabs>
      </w:pPr>
      <w:hyperlink w:anchor="_TocFig003" w:history="1">
        <w:r>
          <w:rPr>
            <w:rStyle w:val="Hyperlink"/>
            <w:noProof/>
          </w:rPr>
          <w:t xml:space="preserve">شکل ۳- درختواره هوش معنوی (مفهوم، فضیلت‌گرایی، عوامل و مدل چهارعاملی کینگ)</w:t>
        </w:r>
        <w:r>
          <w:rPr>
            <w:noProof/>
            <w:webHidden/>
          </w:rPr>
          <w:tab/>
        </w:r>
        <w:r>
          <w:rPr>
            <w:noProof/>
            <w:webHidden/>
            <w:rtl w:val="0"/>
          </w:rPr>
          <w:fldChar w:fldCharType="begin" w:dirty="true"/>
        </w:r>
        <w:r>
          <w:rPr>
            <w:noProof/>
            <w:webHidden/>
            <w:rtl w:val="0"/>
          </w:rPr>
          <w:instrText xml:space="preserve"> PAGEREF _TocFig003 \h </w:instrText>
        </w:r>
        <w:r>
          <w:rPr>
            <w:noProof/>
            <w:webHidden/>
            <w:rtl w:val="0"/>
          </w:rPr>
          <w:fldChar w:fldCharType="separate"/>
        </w:r>
        <w:r>
          <w:rPr>
            <w:noProof/>
            <w:webHidden/>
          </w:rPr>
          <w:t>26</w:t>
        </w:r>
        <w:r>
          <w:rPr>
            <w:noProof/>
            <w:webHidden/>
            <w:rtl w:val="0"/>
          </w:rPr>
          <w:fldChar w:fldCharType="end"/>
        </w:r>
      </w:hyperlink>
    </w:p>
    <w:p>
      <w:pPr>
        <w:pStyle w:val="TableofFigures"/>
        <w:tabs>
          <w:tab w:val="right" w:leader="dot" w:pos="8788"/>
        </w:tabs>
      </w:pPr>
      <w:hyperlink w:anchor="_TocFig004" w:history="1">
        <w:r>
          <w:rPr>
            <w:rStyle w:val="Hyperlink"/>
            <w:noProof/>
          </w:rPr>
          <w:t xml:space="preserve">شکل ۴- درختواره اضطراب سلامت (مفهوم، مدل‌های نظری، عوامل و مداخلات)</w:t>
        </w:r>
        <w:r>
          <w:rPr>
            <w:noProof/>
            <w:webHidden/>
          </w:rPr>
          <w:tab/>
        </w:r>
        <w:r>
          <w:rPr>
            <w:noProof/>
            <w:webHidden/>
            <w:rtl w:val="0"/>
          </w:rPr>
          <w:fldChar w:fldCharType="begin" w:dirty="true"/>
        </w:r>
        <w:r>
          <w:rPr>
            <w:noProof/>
            <w:webHidden/>
            <w:rtl w:val="0"/>
          </w:rPr>
          <w:instrText xml:space="preserve"> PAGEREF _TocFig004 \h </w:instrText>
        </w:r>
        <w:r>
          <w:rPr>
            <w:noProof/>
            <w:webHidden/>
            <w:rtl w:val="0"/>
          </w:rPr>
          <w:fldChar w:fldCharType="separate"/>
        </w:r>
        <w:r>
          <w:rPr>
            <w:noProof/>
            <w:webHidden/>
          </w:rPr>
          <w:t>33</w:t>
        </w:r>
        <w:r>
          <w:rPr>
            <w:noProof/>
            <w:webHidden/>
            <w:rtl w:val="0"/>
          </w:rPr>
          <w:fldChar w:fldCharType="end"/>
        </w:r>
      </w:hyperlink>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 xml:space="preserve">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xml:space="preserve">،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از این رو،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 xml:space="preserve">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7" w:name="_TocFig001"/>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bookmarkEnd w:id="207"/>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 xml:space="preserve">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8" w:name="_TocFig002"/>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bookmarkEnd w:id="208"/>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9" w:name="_TocFig003"/>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bookmarkEnd w:id="209"/>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10" w:name="_TocFig004"/>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bookmarkEnd w:id="210"/>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 xml:space="preserve">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خروجی تحلیل‌های آماری حاکی از آن بود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 xml:space="preserve">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 xml:space="preserve">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 xml:space="preserve">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 xml:space="preserve">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عامل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cs w:val="0"/>
          </w:rPr>
          <w:t>https://doi.org/10.1093/ageing/afae122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cs w:val="0"/>
          </w:rPr>
          <w:t>https://doi.org/10.1093/geront/29.2.183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cs w:val="0"/>
          </w:rPr>
          <w:t>https://doi.org/10.1007/978-3-030-11899-0</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cs w:val="0"/>
          </w:rPr>
          <w:t>https://doi.org/10.1126/science.1127488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cs w:val="0"/>
          </w:rPr>
          <w:t>https://doi.org/10.1093/geront/gnab116</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cs w:val="0"/>
          </w:rPr>
          <w:t>https://doi.org/10.1037/0003-066X.54.3.165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Cumming, E., &amp; Henry, W. E. (1961). Growing Old: The Process of Disengagement. New York: Basic Books.</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cs w:val="0"/>
          </w:rPr>
          <w:t>https://doi.org/10.1038/s41562-018-0307-6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Dowd, J. J. (1975). Aging as Exchange: A Preface to Theory. Journal of Gerontology, 30(5), 584–594.</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(1982). The Life Cycle Completed. New York: W. W. Norton.</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Erikson, E. H., Erikson, J. M., &amp; Kivnick, H. Q. (1986). Vital Involvement in Old Age. New York: W. W. Norton.</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cs w:val="0"/>
          </w:rPr>
          <w:t>https://doi.org/10.1038/s41574-018-0059-4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cs w:val="0"/>
          </w:rPr>
          <w:t>https://doi.org/10.34172/hpp.42354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cs w:val="0"/>
          </w:rPr>
          <w:t>https://doi.org/10.1016/j.jocrd.2023.100783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(1961). Successful aging. The Gerontologist, 1(1), 8–13. </w:t>
      </w:r>
      <w:hyperlink r:id="rId46" w:history="1">
        <w:r>
          <w:rPr>
            <w:rStyle w:val="Hyperlink"/>
            <w:rFonts w:ascii="Times New Roman" w:hAnsi="Times New Roman" w:eastAsia="Times New Roman" w:cs="Times New Roman"/>
            <w:rtl w:val="0"/>
            <w:cs w:val="0"/>
          </w:rPr>
          <w:t>https://doi.org/10.1093/geront/1.1.8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cs w:val="0"/>
          </w:rPr>
          <w:t>https://doi.org/10.1002/ccr3.9316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Hooyman, N. R., &amp; Kiyak, H. A. (2015). Social Gerontology: A Multidisciplinary Perspective (10th ed.).</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cs w:val="0"/>
          </w:rPr>
          <w:t>https://doi.org/10.1016/j.cpr.2014.09.002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cs w:val="0"/>
          </w:rPr>
          <w:t>https://doi.org/10.1186/s12877-024-04947-w</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cs w:val="0"/>
          </w:rPr>
          <w:t>https://doi.org/10.1016/j.psc.2024.04.015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cs w:val="0"/>
          </w:rPr>
          <w:t>https://doi.org/10.2307/3090197</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cs w:val="0"/>
          </w:rPr>
          <w:t>https://doi.org/10.1007/s11920-024-01507-2</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cs w:val="0"/>
          </w:rPr>
          <w:t>https://doi.org/10.1177/001316447003000308</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cs w:val="0"/>
          </w:rPr>
          <w:t>https://doi.org/10.1016/j.jamda.2024.105334</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cs w:val="0"/>
          </w:rPr>
          <w:t>https://pubmed.ncbi.nlm.nih.gov/39900466/</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cs w:val="0"/>
          </w:rPr>
          <w:t>https://doi.org/10.1016/j.cell.2022.11.001</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Mayer, J. D., &amp; Salovey, P. (2020). The Intelligence of Emotional Intelligence.</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cs w:val="0"/>
          </w:rPr>
          <w:t>https://doi.org/10.1017/S1754470X20000215</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cs w:val="0"/>
          </w:rPr>
          <w:t>https://doi.org/10.1097/MS9.0000000000002100</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cs w:val="0"/>
          </w:rPr>
          <w:t>https://doi.org/10.4103/ijnmr.ijnmr_260_23</w:t>
        </w:r>
      </w:hyperlink>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cs w:val="0"/>
          </w:rPr>
          <w:t>https://doi.org/10.1177/0022167820959488</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cs w:val="0"/>
          </w:rPr>
          <w:t>https://doi.org/10.1037/a0035194</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cs w:val="0"/>
          </w:rPr>
          <w:t>https://doi.org/10.1093/geronb/gbv025</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cs w:val="0"/>
          </w:rPr>
          <w:t>https://doi.org/10.1016/S0033-3182(99)71269-7</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cs w:val="0"/>
          </w:rPr>
          <w:t>https://doi.org/10.1016/0005-7967(90)90023-c</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cs w:val="0"/>
          </w:rPr>
          <w:t>https://doi.org/10.1093/geronb/gbv062</w:t>
        </w:r>
      </w:hyperlink>
    </w:p>
    <w:p w:rsidR="008908D0" w:rsidRDefault="002D5E38" w:rsidP="00FF2D3A">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spacing w:after="80" w:line="276" w:lineRule="auto"/>
        <w:ind w:left="720" w:hanging="720"/>
        <w:jc w:val="left"/>
      </w:pPr>
      <w:r>
        <w:rPr>
          <w:rFonts w:ascii="Times New Roman" w:hAnsi="Times New Roman" w:eastAsia="Times New Roman" w:cs="Times New Roman"/>
          <w:rtl w:val="0"/>
          <w:cs w:val="0"/>
          <w:lang w:val="en-US"/>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cs w:val="0"/>
          </w:rPr>
          <w:t>https://doi.org/10.1007/s12144-024-05659-5</w:t>
        </w:r>
      </w:hyperlink>
    </w:p>
    <w:p w:rsidR="008908D0" w:rsidRDefault="002D5E38">
      <w:pPr>
        <w:pStyle w:val="References"/>
        <w:bidi w:val="0"/>
        <w:spacing w:before="240" w:after="80" w:line="276" w:lineRule="auto"/>
        <w:ind w:left="720" w:hanging="720"/>
        <w:jc w:val="left"/>
      </w:pPr>
      <w:r>
        <w:rPr>
          <w:rFonts w:ascii="Times New Roman" w:hAnsi="Times New Roman" w:eastAsia="Times New Roman" w:cs="Times New Roman"/>
          <w:rtl w:val="0"/>
          <w:cs w:val="0"/>
          <w:lang w:val="en-US"/>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cs w:val="0"/>
          </w:rPr>
          <w:t>https://doi.org/10.1097/00005053-200208000-00002</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cs w:val="0"/>
          </w:rPr>
          <w:t>https://doi.org/10.1080/16549716.2024.2362310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cs w:val="0"/>
          </w:rPr>
          <w:t>https://doi.org/10.3389/fpsyg.2024.1293943</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Ryan, R. M., &amp; Deci, E. L. (2017). Self-determination theory: Basic psychological needs in motivation, development, and wellness.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cs w:val="0"/>
          </w:rPr>
          <w:t>https://doi.org/10.1177/09637214241266818</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cs w:val="0"/>
          </w:rPr>
          <w:t>https://doi.org/10.1002/jgf2.750</w:t>
        </w:r>
      </w:hyperlink>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Stavrova, O., Fetchenhauer, D., &amp; Schlosser, T. (2012). Why are religious people happy? The effect of the social norm of religiosity across countries. Social Science Research, 3.</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Sternberg, R. J. (2021). Adaptive Intelligence: Surviving and Thriving in Times of Uncertainty. Cambridge University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Taylor, S., &amp; Asmundson, G. J. G. (2021). Treating Health Anxiety: A Cognitive-Behavioral Approach. Guilford Press.</w:t>
      </w:r>
    </w:p>
    <w:p w:rsidR="008908D0" w:rsidRDefault="002D5E38">
      <w:pPr>
        <w:pStyle w:val="References"/>
        <w:bidi w:val="0"/>
        <w:spacing w:after="160" w:line="276" w:lineRule="auto"/>
        <w:ind w:left="720" w:hanging="720"/>
        <w:jc w:val="left"/>
      </w:pPr>
      <w:r>
        <w:rPr>
          <w:rFonts w:ascii="Times New Roman" w:hAnsi="Times New Roman" w:eastAsia="Times New Roman" w:cs="Times New Roman"/>
          <w:rtl w:val="0"/>
          <w:cs w:val="0"/>
          <w:lang w:val="en-US"/>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cs w:val="0"/>
          </w:rPr>
          <w:t>https://doi.org/10.1080/00221309.1970.9920634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Tomer, A., &amp; Eliason, G. (2000). Attitudes toward death: A developmental perspective. Springer Publishing Company.</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cs w:val="0"/>
          </w:rPr>
          <w:t>https://iran.unfpa.org/en/topics/population-ageing-and-disabilities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United Nations. (2023). World Social Report 2023: Leaving No One Behind in an Ageing World.</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cs w:val="0"/>
          </w:rPr>
          <w:t>https://doi.org/10.1177/0022167819830517</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cs w:val="0"/>
          </w:rPr>
          <w:t>https://doi.org/10.1093/oxfordhb/9780190905538.013.18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cs w:val="0"/>
          </w:rPr>
          <w:t>https://doi.org/10.1111/phn.13266</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1). Ageing and health. </w:t>
      </w:r>
      <w:hyperlink r:id="rId34" w:history="1">
        <w:r>
          <w:rPr>
            <w:rStyle w:val="Hyperlink"/>
            <w:rFonts w:ascii="Times New Roman" w:hAnsi="Times New Roman" w:eastAsia="Times New Roman" w:cs="Times New Roman"/>
            <w:rtl w:val="0"/>
            <w:cs w:val="0"/>
          </w:rPr>
          <w:t>https://www.who.int/news-room/fact-sheets/detail/ageing-and-health</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(2022). World mental health report: Transforming mental health for all.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(2023). Healthy ageing: A priority for delivering universal health coverage. Geneva: World Health Organization.</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World Health Organization. (2025, October 8). Mental health of older adults. </w:t>
      </w:r>
      <w:hyperlink r:id="rId35" w:history="1">
        <w:r>
          <w:rPr>
            <w:rStyle w:val="Hyperlink"/>
            <w:rFonts w:ascii="Times New Roman" w:hAnsi="Times New Roman" w:eastAsia="Times New Roman" w:cs="Times New Roman"/>
            <w:rtl w:val="0"/>
            <w:cs w:val="0"/>
          </w:rPr>
          <w:t>https://www.who.int/news-room/fact-sheets/detail/mental-health-of-older-adults</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Yalom, I. D. (1980). Existential Psychotherapy. New York: Basic Books.</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cs w:val="0"/>
          </w:rPr>
          <w:t>https://doi.org/10.1177/00302228241272578</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cs w:val="0"/>
          </w:rPr>
          <w:t>https://doi.org/10.1186/s12877-025-06040-2</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cs w:val="0"/>
          </w:rPr>
          <w:t>https://doi.org/10.1177/0164027510383584</w:t>
        </w:r>
      </w:hyperlink>
    </w:p>
    <w:p w:rsidR="008908D0" w:rsidRDefault="002D5E38">
      <w:pPr>
        <w:pStyle w:val="References"/>
        <w:autoSpaceDE/>
        <w:autoSpaceDN/>
        <w:bidi w:val="0"/>
        <w:adjustRightInd/>
        <w:spacing w:after="80" w:line="276" w:lineRule="auto"/>
        <w:ind w:left="720" w:hanging="720"/>
        <w:jc w:val="left"/>
        <w:rPr>
          <w:rFonts w:ascii="Times New Roman" w:hAnsi="Times New Roman" w:eastAsia="Times New Roman" w:cs="Times New Roman"/>
          <w:color w:val="auto"/>
          <w:rtl w:val="0"/>
          <w:cs w:val="0"/>
          <w:lang w:val="en-US"/>
        </w:rPr>
      </w:pPr>
      <w:r>
        <w:rPr>
          <w:rFonts w:ascii="Times New Roman" w:hAnsi="Times New Roman" w:eastAsia="Times New Roman" w:cs="Times New Roman"/>
          <w:rtl w:val="0"/>
          <w:cs w:val="0"/>
          <w:lang w:val="en-US"/>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