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tl w:val="0"/>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tl w:val="0"/>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tl w:val="0"/>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12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r>
        <w:fldChar w:fldCharType="end"/>
      </w:r>
    </w:p>
    <w:p>
      <w:pPr>
        <w:spacing w:after="120" w:line="276" w:lineRule="auto" w:before="240"/>
        <w:jc w:val="center"/>
        <w:rPr>
          <w:cs w:val="0"/>
        </w:rPr>
      </w:pPr>
      <w:r>
        <w:rPr>
          <w:rFonts w:cs="B Titr"/>
          <w:sz w:val="32"/>
          <w:szCs w:val="32"/>
          <w:cs w:val="0"/>
        </w:rPr>
        <w:t>فهرست اشکال</w:t>
      </w:r>
    </w:p>
    <w:p>
      <w:pPr>
        <w:pStyle w:val="TableofFigures"/>
        <w:tabs>
          <w:tab w:val="right" w:leader="dot" w:pos="8788"/>
        </w:tabs>
      </w:pPr>
      <w:hyperlink w:anchor="_TocFig001" w:history="1">
        <w:r>
          <w:rPr>
            <w:rStyle w:val="Hyperlink"/>
            <w:noProof/>
          </w:rPr>
          <w:t xml:space="preserve">شکل ۱- درختواره نظریه‌های سالمندی (شاخه زیست‌شناختی، روان‌شناختی و جامعه‌شناختی)</w:t>
        </w:r>
        <w:r>
          <w:rPr>
            <w:noProof/>
            <w:webHidden/>
          </w:rPr>
          <w:tab/>
        </w:r>
        <w:r>
          <w:rPr>
            <w:noProof/>
            <w:webHidden/>
            <w:rtl w:val="0"/>
          </w:rPr>
          <w:fldChar w:fldCharType="begin" w:dirty="true"/>
        </w:r>
        <w:r>
          <w:rPr>
            <w:noProof/>
            <w:webHidden/>
            <w:rtl w:val="0"/>
          </w:rPr>
          <w:instrText xml:space="preserve"> PAGEREF _TocFig001 \h </w:instrText>
        </w:r>
        <w:r>
          <w:rPr>
            <w:noProof/>
            <w:webHidden/>
            <w:rtl w:val="0"/>
          </w:rPr>
          <w:fldChar w:fldCharType="separate"/>
        </w:r>
        <w:r>
          <w:rPr>
            <w:noProof/>
            <w:webHidden/>
          </w:rPr>
          <w:t>14</w:t>
        </w:r>
        <w:r>
          <w:rPr>
            <w:noProof/>
            <w:webHidden/>
            <w:rtl w:val="0"/>
          </w:rPr>
          <w:fldChar w:fldCharType="end"/>
        </w:r>
      </w:hyperlink>
    </w:p>
    <w:p>
      <w:pPr>
        <w:pStyle w:val="TableofFigures"/>
        <w:tabs>
          <w:tab w:val="right" w:leader="dot" w:pos="8788"/>
        </w:tabs>
      </w:pPr>
      <w:hyperlink w:anchor="_TocFig002" w:history="1">
        <w:r>
          <w:rPr>
            <w:rStyle w:val="Hyperlink"/>
            <w:noProof/>
          </w:rPr>
          <w:t xml:space="preserve">شکل ۲- درختواره اضطراب مرگ (نظریه‌ها، ابعاد، عوامل و پیامدها)</w:t>
        </w:r>
        <w:r>
          <w:rPr>
            <w:noProof/>
            <w:webHidden/>
          </w:rPr>
          <w:tab/>
        </w:r>
        <w:r>
          <w:rPr>
            <w:noProof/>
            <w:webHidden/>
            <w:rtl w:val="0"/>
          </w:rPr>
          <w:fldChar w:fldCharType="begin" w:dirty="true"/>
        </w:r>
        <w:r>
          <w:rPr>
            <w:noProof/>
            <w:webHidden/>
            <w:rtl w:val="0"/>
          </w:rPr>
          <w:instrText xml:space="preserve"> PAGEREF _TocFig002 \h </w:instrText>
        </w:r>
        <w:r>
          <w:rPr>
            <w:noProof/>
            <w:webHidden/>
            <w:rtl w:val="0"/>
          </w:rPr>
          <w:fldChar w:fldCharType="separate"/>
        </w:r>
        <w:r>
          <w:rPr>
            <w:noProof/>
            <w:webHidden/>
          </w:rPr>
          <w:t>21</w:t>
        </w:r>
        <w:r>
          <w:rPr>
            <w:noProof/>
            <w:webHidden/>
            <w:rtl w:val="0"/>
          </w:rPr>
          <w:fldChar w:fldCharType="end"/>
        </w:r>
      </w:hyperlink>
    </w:p>
    <w:p>
      <w:pPr>
        <w:pStyle w:val="TableofFigures"/>
        <w:tabs>
          <w:tab w:val="right" w:leader="dot" w:pos="8788"/>
        </w:tabs>
      </w:pPr>
      <w:hyperlink w:anchor="_TocFig003" w:history="1">
        <w:r>
          <w:rPr>
            <w:rStyle w:val="Hyperlink"/>
            <w:noProof/>
          </w:rPr>
          <w:t xml:space="preserve">شکل ۳- درختواره هوش معنوی (مفهوم، فضیلت‌گرایی، عوامل و مدل چهارعاملی کینگ)</w:t>
        </w:r>
        <w:r>
          <w:rPr>
            <w:noProof/>
            <w:webHidden/>
          </w:rPr>
          <w:tab/>
        </w:r>
        <w:r>
          <w:rPr>
            <w:noProof/>
            <w:webHidden/>
            <w:rtl w:val="0"/>
          </w:rPr>
          <w:fldChar w:fldCharType="begin" w:dirty="true"/>
        </w:r>
        <w:r>
          <w:rPr>
            <w:noProof/>
            <w:webHidden/>
            <w:rtl w:val="0"/>
          </w:rPr>
          <w:instrText xml:space="preserve"> PAGEREF _TocFig003 \h </w:instrText>
        </w:r>
        <w:r>
          <w:rPr>
            <w:noProof/>
            <w:webHidden/>
            <w:rtl w:val="0"/>
          </w:rPr>
          <w:fldChar w:fldCharType="separate"/>
        </w:r>
        <w:r>
          <w:rPr>
            <w:noProof/>
            <w:webHidden/>
          </w:rPr>
          <w:t>26</w:t>
        </w:r>
        <w:r>
          <w:rPr>
            <w:noProof/>
            <w:webHidden/>
            <w:rtl w:val="0"/>
          </w:rPr>
          <w:fldChar w:fldCharType="end"/>
        </w:r>
      </w:hyperlink>
    </w:p>
    <w:p>
      <w:pPr>
        <w:pStyle w:val="TableofFigures"/>
        <w:tabs>
          <w:tab w:val="right" w:leader="dot" w:pos="8788"/>
        </w:tabs>
      </w:pPr>
      <w:hyperlink w:anchor="_TocFig004" w:history="1">
        <w:r>
          <w:rPr>
            <w:rStyle w:val="Hyperlink"/>
            <w:noProof/>
          </w:rPr>
          <w:t xml:space="preserve">شکل ۴- درختواره اضطراب سلامت (مفهوم، مدل‌های نظری، عوامل و مداخلات)</w:t>
        </w:r>
        <w:r>
          <w:rPr>
            <w:noProof/>
            <w:webHidden/>
          </w:rPr>
          <w:tab/>
        </w:r>
        <w:r>
          <w:rPr>
            <w:noProof/>
            <w:webHidden/>
            <w:rtl w:val="0"/>
          </w:rPr>
          <w:fldChar w:fldCharType="begin" w:dirty="true"/>
        </w:r>
        <w:r>
          <w:rPr>
            <w:noProof/>
            <w:webHidden/>
            <w:rtl w:val="0"/>
          </w:rPr>
          <w:instrText xml:space="preserve"> PAGEREF _TocFig004 \h </w:instrText>
        </w:r>
        <w:r>
          <w:rPr>
            <w:noProof/>
            <w:webHidden/>
            <w:rtl w:val="0"/>
          </w:rPr>
          <w:fldChar w:fldCharType="separate"/>
        </w:r>
        <w:r>
          <w:rPr>
            <w:noProof/>
            <w:webHidden/>
          </w:rPr>
          <w:t>33</w:t>
        </w:r>
        <w:r>
          <w:rPr>
            <w:noProof/>
            <w:webHidden/>
            <w:rtl w:val="0"/>
          </w:rPr>
          <w:fldChar w:fldCharType="end"/>
        </w:r>
      </w:hyperlink>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 xml:space="preserve">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ascii="Times New Roman" w:hAnsi="Times New Roman" w:eastAsia="Times New Roman"/>
          <w:lang w:val="en-US"/>
          <w:rtl w:val="0"/>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tl w:val="0"/>
        </w:rPr>
        <w:t xml:space="preserve">(r=۰.۵۸, p&lt;۰.۰۱)</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tl w:val="0"/>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xml:space="preserve">،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r>
      <w:r>
        <w:rPr>
          <w:rFonts w:ascii="Times New Roman" w:hAnsi="Times New Roman" w:eastAsia="Times New Roman" w:cs="Times New Roman"/>
          <w:rStyle w:val="FootnoteReference"/>
          <w:lang w:bidi="fa-IR"/>
        </w:rPr>
      </w:r>
      <w:r>
        <w:rPr>
          <w:rFonts w:hint="cs"/>
          <w:cs w:val="0"/>
        </w:rPr>
      </w:r>
      <w:r>
        <w:rPr>
          <w:rFonts w:hint="cs"/>
          <w:cs w:val="0"/>
        </w:rPr>
      </w:r>
      <w:r>
        <w:rPr>
          <w:i w:val="0"/>
          <w:strike w:val="0"/>
        </w:rPr>
      </w:r>
      <w:r>
        <w:rPr>
          <w:i w:val="0"/>
          <w:strike/>
          <w:color w:val="C00000"/>
        </w:rPr>
        <w:t>سالمندی فرایندی طبیعی و چندبعدی است که با تغییرات تدریجی در ابعاد جسمی، روانی، شناختی و اجتماعی زندگی همراه می‌باشد.</w:t>
      </w:r>
      <w:r>
        <w:rPr>
          <w:i/>
          <w:strike w:val="0"/>
          <w:color w:val="666666"/>
          <w:sz w:val="20"/>
        </w:rPr>
        <w:t xml:space="preserve"> (بازنویسی شد تا جمله مستقیماً به متغیرهای روان‌شناختی و موضوع پژوهش مرتبط شود.)</w:t>
      </w:r>
      <w:r>
        <w:rPr>
          <w:i w:val="0"/>
          <w:strike w:val="0"/>
          <w:color w:val="008000"/>
        </w:rPr>
        <w:t>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w:t>
      </w:r>
      <w:r>
        <w:rPr>
          <w:i/>
          <w:strike w:val="0"/>
          <w:color w:val="666666"/>
          <w:sz w:val="20"/>
        </w:rPr>
        <w:t xml:space="preserve"> (بازنویسی شد تا جمله مستقیماً به متغیرهای روان‌شناختی و موضوع پژوهش مرتبط شود.)</w:t>
      </w:r>
      <w:r>
        <w:rPr>
          <w:i w:val="0"/>
          <w:strike w:val="0"/>
        </w:rPr>
        <w:t xml:space="preserve">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tl w:val="0"/>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 xml:space="preserve">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r>
        <w:rPr>
          <w:rFonts w:ascii="Times New Roman" w:hAnsi="Times New Roman" w:eastAsia="Times New Roman" w:cs="Times New Roman"/>
          <w:rStyle w:val="FootnoteReference"/>
          <w:lang w:bidi="fa-IR"/>
        </w:rPr>
      </w:r>
      <w:r>
        <w:rPr>
          <w:rFonts w:hint="cs"/>
          <w:cs w:val="0"/>
        </w:rPr>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7" w:name="_TocFig001"/>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bookmarkEnd w:id="207"/>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tl w:val="0"/>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 xml:space="preserve">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8" w:name="_TocFig002"/>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bookmarkEnd w:id="208"/>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tl w:val="0"/>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9" w:name="_TocFig003"/>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bookmarkEnd w:id="209"/>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10" w:name="_TocFig004"/>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bookmarkEnd w:id="210"/>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 xml:space="preserve">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 xml:space="preserve">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 xml:space="preserve">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 xml:space="preserve">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hAnsi="Times New Roman" w:eastAsia="Times New Roman" w:cs="Times New Roman"/>
          <w:rStyle w:val="FootnoteReference"/>
          <w:lang w:bidi="fa-IR"/>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r>
      <w:r>
        <w:rPr>
          <w:rFonts w:ascii="Times New Roman" w:hAnsi="Times New Roman" w:eastAsia="Times New Roman" w:cs="Times New Roman"/>
          <w:rStyle w:val="FootnoteReference"/>
          <w:lang w:bidi="fa-IR"/>
        </w:rPr>
      </w:r>
      <w:r>
        <w:rPr>
          <w:rFonts w:hint="cs"/>
          <w:cs w:val="0"/>
        </w:rPr>
      </w:r>
      <w:r>
        <w:rPr>
          <w:i w:val="0"/>
          <w:strike w:val="0"/>
        </w:rPr>
      </w:r>
      <w:r>
        <w:rPr>
          <w:i w:val="0"/>
          <w:strike/>
          <w:color w:val="C00000"/>
        </w:rPr>
        <w:t>لوین و همکاران (۲۰۱۱) نتایج این تحقیق نشان داد که</w:t>
      </w:r>
      <w:r>
        <w:rPr>
          <w:i/>
          <w:strike w:val="0"/>
          <w:color w:val="666666"/>
          <w:sz w:val="20"/>
        </w:rPr>
        <w:t xml:space="preserve"> (اصلاح شد برای رفع ساختار دستوری و کاهش تکرار فعل گزارش‌دهی.)</w:t>
      </w:r>
      <w:r>
        <w:rPr>
          <w:i w:val="0"/>
          <w:strike w:val="0"/>
          <w:color w:val="008000"/>
        </w:rPr>
        <w:t>لوین و همکاران (۲۰۱۱) گزارش کردند که</w:t>
      </w:r>
      <w:r>
        <w:rPr>
          <w:i/>
          <w:strike w:val="0"/>
          <w:color w:val="666666"/>
          <w:sz w:val="20"/>
        </w:rPr>
        <w:t xml:space="preserve"> (اصلاح شد برای رفع ساختار دستوری و کاهش تکرار فعل گزارش‌دهی.)</w:t>
      </w:r>
      <w:r>
        <w:rPr>
          <w:i w:val="0"/>
          <w:strike w:val="0"/>
        </w:rPr>
        <w:t xml:space="preserve"> 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r>
        <w:rPr>
          <w:rFonts w:ascii="Times New Roman" w:hAnsi="Times New Roman" w:eastAsia="Times New Roman" w:cs="Times New Roman"/>
          <w:rStyle w:val="FootnoteReference"/>
          <w:lang w:bidi="fa-IR"/>
        </w:rPr>
      </w:r>
      <w:r>
        <w:rPr>
          <w:rFonts w:hint="cs"/>
          <w:cs w:val="0"/>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r>
        <w:rPr>
          <w:rFonts w:ascii="Times New Roman" w:hAnsi="Times New Roman" w:eastAsia="Times New Roman" w:cs="Times New Roman"/>
          <w:rStyle w:val="FootnoteReference"/>
          <w:lang w:bidi="fa-IR"/>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r>
      <w:r>
        <w:rPr>
          <w:cs w:val="0"/>
        </w:rPr>
      </w:r>
      <w:r>
        <w:rPr>
          <w:rFonts w:ascii="Times New Roman" w:hAnsi="Times New Roman" w:eastAsia="Times New Roman" w:cs="Times New Roman"/>
          <w:rStyle w:val="FootnoteReference"/>
          <w:lang w:bidi="fa-IR"/>
        </w:rPr>
      </w:r>
      <w:r>
        <w:rPr>
          <w:cs w:val="0"/>
        </w:rPr>
      </w:r>
      <w:r>
        <w:rPr>
          <w:i w:val="0"/>
          <w:strike w:val="0"/>
        </w:rPr>
        <w:t xml:space="preserve">در مجموع، پیشینه داخلی و خارجی از رابطه منفی هوش معنوی با اضطراب مرگ و از پیوند اضطراب سلامت با اضطراب مرگ حمایت می‌کند. </w:t>
      </w:r>
      <w:r>
        <w:rPr>
          <w:i w:val="0"/>
          <w:strike/>
          <w:color w:val="C00000"/>
        </w:rPr>
        <w:t>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w:t>
      </w:r>
      <w:r>
        <w:rPr>
          <w:i/>
          <w:strike w:val="0"/>
          <w:color w:val="666666"/>
          <w:sz w:val="20"/>
        </w:rPr>
        <w:t xml:space="preserve"> (بازنویسی شد تا نوآوری پژوهش محدود، روشن و متناسب با طرح همبستگی بیان شود.)</w:t>
      </w:r>
      <w:r>
        <w:rPr>
          <w:i w:val="0"/>
          <w:strike w:val="0"/>
          <w:color w:val="008000"/>
        </w:rPr>
        <w:t>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w:t>
      </w:r>
      <w:r>
        <w:rPr>
          <w:i/>
          <w:strike w:val="0"/>
          <w:color w:val="666666"/>
          <w:sz w:val="20"/>
        </w:rPr>
        <w:t xml:space="preserve"> (بازنویسی شد تا نوآوری پژوهش محدود، روشن و متناسب با طرح همبستگی بیان شود.)</w:t>
      </w:r>
      <w:r>
        <w:rPr>
          <w:i w:val="0"/>
          <w:strike w:val="0"/>
        </w:rPr>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r>
      <w:r>
        <w:rPr>
          <w:i w:val="0"/>
          <w:strike w:val="0"/>
        </w:rPr>
        <w:t>پژوهش حاضر نظر به موضوع و اهداف پژوهش، از لحاظ ماهیت و روش بکار رفته از نوع توصیفی – همبستگی و از نظر هدف از نوع کاربردی است.</w:t>
      </w:r>
      <w:r>
        <w:rPr>
          <w:i w:val="0"/>
          <w:strike w:val="0"/>
          <w:color w:val="008000"/>
        </w:rPr>
        <w:t xml:space="preserve"> این طرح، به دلیل مقطعی و همبستگی بودن، برای بررسی رابطه آماری متغیرها مناسب است؛ بااین‌حال، امکان استنباط رابطه علّی را فراهم نمی‌کند.</w:t>
      </w:r>
      <w:r>
        <w:rPr>
          <w:i/>
          <w:strike w:val="0"/>
          <w:color w:val="666666"/>
          <w:sz w:val="20"/>
        </w:rPr>
        <w:t xml:space="preserve"> (افزوده شد برای شفاف‌سازی نوع طرح و حدود استنباط)</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tl w:val="0"/>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tl w:val="0"/>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r>
      <w:r>
        <w:rPr>
          <w:rFonts w:hint="cs"/>
          <w:rtl w:val="0"/>
          <w:cs w:val="0"/>
        </w:rPr>
      </w:r>
      <w:r>
        <w:rPr>
          <w:rFonts w:hint="cs"/>
          <w:cs w:val="0"/>
        </w:rPr>
      </w:r>
      <w:r>
        <w:rPr>
          <w:i w:val="0"/>
          <w:strike w:val="0"/>
        </w:rPr>
      </w:r>
      <w:r>
        <w:rPr>
          <w:i w:val="0"/>
          <w:strike/>
          <w:color w:val="C00000"/>
        </w:rPr>
      </w:r>
      <w:r>
        <w:rPr>
          <w:i/>
          <w:strike w:val="0"/>
          <w:color w:val="666666"/>
          <w:sz w:val="20"/>
        </w:rPr>
      </w:r>
      <w:r>
        <w:rPr>
          <w:i w:val="0"/>
          <w:strike w:val="0"/>
          <w:color w:val="008000"/>
        </w:rPr>
      </w:r>
      <w:r>
        <w:rPr>
          <w:i/>
          <w:strike w:val="0"/>
          <w:color w:val="666666"/>
          <w:sz w:val="20"/>
        </w:rPr>
      </w:r>
      <w:r>
        <w:rPr>
          <w:i w:val="0"/>
          <w:strike w:val="0"/>
        </w:rPr>
      </w:r>
      <w:r>
        <w:rPr>
          <w:i w:val="0"/>
          <w:strike w:val="0"/>
        </w:rPr>
      </w:r>
      <w:r>
        <w:rPr>
          <w:i w:val="0"/>
          <w:strike w:val="0"/>
          <w:color w:val="008000"/>
        </w:rPr>
      </w:r>
      <w:r>
        <w:rPr>
          <w:i/>
          <w:strike w:val="0"/>
          <w:color w:val="666666"/>
          <w:sz w:val="20"/>
        </w:rPr>
      </w:r>
      <w:r>
        <w:rPr>
          <w:i w:val="0"/>
          <w:strike w:val="0"/>
        </w:rPr>
      </w:r>
      <w:r>
        <w:rPr>
          <w:i w:val="0"/>
          <w:strike w:val="0"/>
          <w:color w:val="008000"/>
        </w:rPr>
      </w:r>
      <w:r>
        <w:rPr>
          <w:i/>
          <w:strike w:val="0"/>
          <w:color w:val="666666"/>
          <w:sz w:val="20"/>
        </w:rPr>
      </w:r>
      <w:r>
        <w:rPr>
          <w:i w:val="0"/>
          <w:strike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Pr>
          <w:i w:val="0"/>
          <w:strike/>
          <w:color w:val="C00000"/>
        </w:rPr>
        <w:t>و از آزمون های مقایسه ای (در صورت نیاز) مانند آزمون t مستقل یا آنالیز واریانس برای بررسی تفاوت ها گروهی (جنسیت یا وضعیت تاهل) استفاده شد.</w:t>
      </w:r>
      <w:r>
        <w:rPr>
          <w:i/>
          <w:strike w:val="0"/>
          <w:color w:val="666666"/>
          <w:sz w:val="20"/>
        </w:rPr>
        <w:t xml:space="preserve"> (حذف شد؛ آزمون‌های مذکور در فصل یافته‌ها گزارش نشده‌اند و ذکر آن‌ها بدون ارائه نتیجه، روش‌شناسی را مبهم می‌کند.)</w:t>
      </w:r>
      <w:r>
        <w:rPr>
          <w:i w:val="0"/>
          <w:strike w:val="0"/>
        </w:rPr>
      </w:r>
      <w:r>
        <w:rPr>
          <w:i w:val="0"/>
          <w:strike w:val="0"/>
          <w:color w:val="008000"/>
        </w:rPr>
        <w:t xml:space="preserve"> در گزارش روش، خطی بودن روابط، همسانی واریانس خطاها و داده‌های پرت نیز باید بررسی و در صورت انجام گزارش شود.</w:t>
      </w:r>
      <w:r>
        <w:rPr>
          <w:i/>
          <w:strike w:val="0"/>
          <w:color w:val="666666"/>
          <w:sz w:val="20"/>
        </w:rPr>
        <w:t xml:space="preserve"> (افزوده شد برای تکمیل پیش‌فرض‌های رگرسیون؛ فقط در صورت اجرای این بررسی‌ها باقی بماند.)</w:t>
      </w:r>
      <w:r>
        <w:rPr>
          <w:i w:val="0"/>
          <w:strike w:val="0"/>
          <w:color w:val="008000"/>
        </w:rPr>
        <w:t xml:space="preserve"> رضایت آگاهانه شرکت‌کنندگان، محرمانگی اطلاعات و امکان انصراف از پژوهش رعایت شد.</w:t>
      </w:r>
      <w:r>
        <w:rPr>
          <w:i/>
          <w:strike w:val="0"/>
          <w:color w:val="666666"/>
          <w:sz w:val="20"/>
        </w:rPr>
        <w:t xml:space="preserve"> (افزوده شد برای شفاف‌سازی ملاحظات اخلاقی؛ فقط در صورت تحقق و وجود مستندات باقی بماند.)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tl w:val="0"/>
        </w:rPr>
        <w:t xml:space="preserve">(۳۴/۰-=r)</w:t>
      </w:r>
      <w:r>
        <w:rPr>
          <w:rFonts w:hint="cs"/>
          <w:cs w:val="0"/>
        </w:rPr>
        <w:t xml:space="preserve">، ایجاد معنای شخصی </w:t>
      </w:r>
      <w:r>
        <w:rPr>
          <w:rFonts w:hint="cs" w:ascii="Times New Roman" w:hAnsi="Times New Roman" w:eastAsia="Times New Roman"/>
          <w:lang w:val="en-US"/>
          <w:rtl w:val="0"/>
        </w:rPr>
        <w:t xml:space="preserve">(۴۵/۰-=r)</w:t>
      </w:r>
      <w:r>
        <w:rPr>
          <w:rFonts w:hint="cs"/>
          <w:cs w:val="0"/>
        </w:rPr>
        <w:t xml:space="preserve">، آگاهی متعالی </w:t>
      </w:r>
      <w:r>
        <w:rPr>
          <w:rFonts w:hint="cs" w:ascii="Times New Roman" w:hAnsi="Times New Roman" w:eastAsia="Times New Roman"/>
          <w:lang w:val="en-US"/>
          <w:rtl w:val="0"/>
        </w:rPr>
        <w:t xml:space="preserve">(۳۱/۰-=r)</w:t>
      </w:r>
      <w:r>
        <w:rPr>
          <w:rFonts w:hint="cs"/>
          <w:cs w:val="0"/>
        </w:rPr>
        <w:t xml:space="preserve">، و گسترش حالت هوشیاری </w:t>
      </w:r>
      <w:r>
        <w:rPr>
          <w:rFonts w:hint="cs" w:ascii="Times New Roman" w:hAnsi="Times New Roman" w:eastAsia="Times New Roman"/>
          <w:lang w:val="en-US"/>
          <w:rtl w:val="0"/>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tl w:val="0"/>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tl w:val="0"/>
        </w:rPr>
        <w:t xml:space="preserve">(۴۹/۰=r)</w:t>
      </w:r>
      <w:r>
        <w:rPr>
          <w:rFonts w:hint="cs"/>
          <w:cs w:val="0"/>
        </w:rPr>
        <w:t xml:space="preserve">، پیامدهای منفی بیماری </w:t>
      </w:r>
      <w:r>
        <w:rPr>
          <w:rFonts w:hint="cs" w:ascii="Times New Roman" w:hAnsi="Times New Roman" w:eastAsia="Times New Roman"/>
          <w:lang w:val="en-US"/>
          <w:rtl w:val="0"/>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tl w:val="0"/>
        </w:rPr>
        <w:t xml:space="preserve">(۵۸/۰=r)</w:t>
      </w:r>
      <w:r>
        <w:rPr>
          <w:rFonts w:hint="cs"/>
          <w:cs w:val="0"/>
        </w:rPr>
        <w:t xml:space="preserve"> </w:t>
      </w:r>
      <w:r>
        <w:rPr>
          <w:rFonts w:hint="cs"/>
          <w:cs w:val="0"/>
        </w:rPr>
        <w:t xml:space="preserve">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tl w:val="0"/>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r>
      <w:r>
        <w:rPr>
          <w:rFonts w:hint="cs"/>
          <w:rtl w:val="0"/>
          <w:cs w:val="0"/>
        </w:rPr>
      </w:r>
      <w:r>
        <w:rPr>
          <w:rFonts w:hint="cs"/>
          <w:cs w:val="0"/>
        </w:rPr>
      </w:r>
      <w:r>
        <w:rPr>
          <w:rFonts w:hint="cs"/>
          <w:rtl w:val="0"/>
          <w:cs w:val="0"/>
        </w:rPr>
      </w:r>
      <w:r>
        <w:rPr>
          <w:rFonts w:hint="cs"/>
          <w:cs w:val="0"/>
        </w:rPr>
      </w:r>
      <w:r>
        <w:rPr>
          <w:i w:val="0"/>
          <w:strike w:val="0"/>
        </w:rPr>
      </w:r>
      <w:r>
        <w:rPr>
          <w:i w:val="0"/>
          <w:strike/>
          <w:color w:val="C00000"/>
        </w:rPr>
        <w:t>نتایج مندرج در جدول ۴-۸ نشان می‌دهد که</w:t>
      </w:r>
      <w:r>
        <w:rPr>
          <w:i/>
          <w:strike w:val="0"/>
          <w:color w:val="666666"/>
          <w:sz w:val="20"/>
        </w:rPr>
        <w:t xml:space="preserve"> (کوتاه‌سازی عبارت قالبی بدون تغییر نتیجه آماری.)</w:t>
      </w:r>
      <w:r>
        <w:rPr>
          <w:i w:val="0"/>
          <w:strike w:val="0"/>
          <w:color w:val="008000"/>
        </w:rPr>
        <w:t>جدول ۴-۸ نشان می‌دهد که</w:t>
      </w:r>
      <w:r>
        <w:rPr>
          <w:i/>
          <w:strike w:val="0"/>
          <w:color w:val="666666"/>
          <w:sz w:val="20"/>
        </w:rPr>
        <w:t xml:space="preserve"> (کوتاه‌سازی عبارت قالبی بدون تغییر نتیجه آماری.)</w:t>
      </w:r>
      <w:r>
        <w:rPr>
          <w:i w:val="0"/>
          <w:strike w:val="0"/>
        </w:rPr>
        <w:t xml:space="preserve">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r>
      <w:r>
        <w:rPr>
          <w:rFonts w:hint="cs"/>
          <w:cs w:val="0"/>
        </w:rPr>
      </w:r>
      <w:r>
        <w:rPr>
          <w:i w:val="0"/>
          <w:strike w:val="0"/>
        </w:rPr>
        <w:t xml:space="preserve">به بیان دیگر، نتایج تحلیل رگرسیون آشکار ساخت که </w:t>
      </w:r>
      <w:r>
        <w:rPr>
          <w:i w:val="0"/>
          <w:strike/>
          <w:color w:val="C00000"/>
        </w:rPr>
        <w:t>هوش معنوی و ابعاد آن به عنوان یک عامل محافظتی عمل کرده و رابطه معکوس با اضطراب مرگ دارند</w:t>
      </w:r>
      <w:r>
        <w:rPr>
          <w:i/>
          <w:strike w:val="0"/>
          <w:color w:val="666666"/>
          <w:sz w:val="20"/>
        </w:rPr>
        <w:t xml:space="preserve"> (جایگزینی زبان علّی با بیان همبستگی و متناسب با طرح پژوهش.)</w:t>
      </w:r>
      <w:r>
        <w:rPr>
          <w:i w:val="0"/>
          <w:strike w:val="0"/>
          <w:color w:val="008000"/>
        </w:rPr>
        <w:t>هوش معنوی و ابعاد آن با سطح پایین‌تر اضطراب مرگ همراه بودند</w:t>
      </w:r>
      <w:r>
        <w:rPr>
          <w:i/>
          <w:strike w:val="0"/>
          <w:color w:val="666666"/>
          <w:sz w:val="20"/>
        </w:rPr>
        <w:t xml:space="preserve"> (جایگزینی زبان علّی با بیان همبستگی و متناسب با طرح پژوهش.)</w:t>
      </w:r>
      <w:r>
        <w:rPr>
          <w:i w:val="0"/>
          <w:strike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i w:val="0"/>
          <w:strike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Pr>
          <w:i w:val="0"/>
          <w:strike w:val="0"/>
          <w:color w:val="00800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strike w:val="0"/>
          <w:color w:val="666666"/>
          <w:sz w:val="20"/>
        </w:rPr>
        <w:t xml:space="preserve"> (افزوده شد برای مقایسه تحلیلی با مطالعات مشابه و بیان محدودیت تعمیم.)</w:t>
      </w:r>
    </w:p>
    <w:p w:rsidR="008908D0" w:rsidRDefault="002D5E38">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ascii="Times New Roman" w:hAnsi="Times New Roman" w:eastAsia="Times New Roman" w:cs="Times New Roman"/>
          <w:rStyle w:val="FootnoteReference"/>
          <w:lang w:bidi="fa-IR"/>
        </w:rPr>
      </w:r>
      <w:r>
        <w:rPr>
          <w:rFonts w:hint="cs"/>
          <w:cs w:val="0"/>
        </w:rPr>
      </w:r>
      <w:r>
        <w:rPr>
          <w:rFonts w:hint="cs"/>
          <w:cs w:val="0"/>
        </w:rPr>
      </w:r>
    </w:p>
    <w:p w:rsidR="008908D0" w:rsidRDefault="002D5E38">
      <w:pPr>
        <w:autoSpaceDE/>
        <w:autoSpaceDN/>
        <w:adjustRightInd/>
        <w:spacing w:after="0" w:line="276" w:lineRule="auto"/>
        <w:ind w:firstLine="397"/>
        <w:jc w:val="both"/>
        <w:rPr>
          <w:color w:val="auto"/>
          <w:cs w:val="0"/>
        </w:rPr>
      </w:pPr>
      <w:r>
        <w:rPr>
          <w:rFonts w:hint="cs"/>
          <w:cs w:val="0"/>
        </w:rPr>
      </w:r>
      <w:r>
        <w:rPr>
          <w:i w:val="0"/>
          <w:strike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Pr>
          <w:i w:val="0"/>
          <w:strike/>
          <w:color w:val="C00000"/>
        </w:rPr>
        <w:t>عامل تشدید اضطراب مرگ گردد</w:t>
      </w:r>
      <w:r>
        <w:rPr>
          <w:i/>
          <w:strike w:val="0"/>
          <w:color w:val="666666"/>
          <w:sz w:val="20"/>
        </w:rPr>
        <w:t xml:space="preserve"> (اصلاح برای پرهیز از استنباط علّی.)</w:t>
      </w:r>
      <w:r>
        <w:rPr>
          <w:i w:val="0"/>
          <w:strike w:val="0"/>
          <w:color w:val="008000"/>
        </w:rPr>
        <w:t>با سطح بالاتر اضطراب مرگ همراه باشد</w:t>
      </w:r>
      <w:r>
        <w:rPr>
          <w:i/>
          <w:strike w:val="0"/>
          <w:color w:val="666666"/>
          <w:sz w:val="20"/>
        </w:rPr>
        <w:t xml:space="preserve"> (اصلاح برای پرهیز از استنباط علّی.)</w:t>
      </w:r>
      <w:r>
        <w:rPr>
          <w:i w:val="0"/>
          <w:strike w:val="0"/>
        </w:rPr>
        <w:t>.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cs w:val="0"/>
          </w:rPr>
          <w:t>https://doi.org/10.1093/ageing/afae122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cs w:val="0"/>
          </w:rPr>
          <w:t>https://doi.org/10.1093/geront/29.2.183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cs w:val="0"/>
          </w:rPr>
          <w:t>https://doi.org/10.1007/978-3-030-11899-0</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cs w:val="0"/>
          </w:rPr>
          <w:t>https://doi.org/10.1126/science.1127488</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cs w:val="0"/>
          </w:rPr>
          <w:t>https://doi.org/10.1093/geront/gnab116</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cs w:val="0"/>
          </w:rPr>
          <w:t>https://doi.org/10.1037/0003-066X.54.3.165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Cumming, E., &amp; Henry, W. E. (1961). Growing Old: The Process of Disengagement. New York: Basic Books.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cs w:val="0"/>
          </w:rPr>
          <w:t>https://doi.org/10.1038/s41562-018-0307-6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Dowd, J. J. (1975). Aging as Exchange: A Preface to Theory. Journal of Gerontology, 30(5), 584–594.</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Erikson, E. H. (1982). The Life Cycle Completed. New York: W. W. Norton.</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Erikson, E. H., Erikson, J. M., &amp; Kivnick, H. Q. (1986). Vital Involvement in Old Age. New York: W. W. Norton.</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cs w:val="0"/>
          </w:rPr>
          <w:t>https://doi.org/10.1038/s41574-018-0059-4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cs w:val="0"/>
          </w:rPr>
          <w:t>https://doi.org/10.34172/hpp.42354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cs w:val="0"/>
          </w:rPr>
          <w:t>https://doi.org/10.1016/j.jocrd.2023.100783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Havighurst, R. J. (1961). Successful aging. The Gerontologist, 1(1), 8–13. </w:t>
      </w:r>
      <w:hyperlink r:id="rId46" w:history="1">
        <w:r>
          <w:rPr>
            <w:rStyle w:val="Hyperlink"/>
            <w:rFonts w:ascii="Times New Roman" w:hAnsi="Times New Roman" w:eastAsia="Times New Roman" w:cs="Times New Roman"/>
            <w:rtl w:val="0"/>
            <w:cs w:val="0"/>
          </w:rPr>
          <w:t>https://doi.org/10.1093/geront/1.1.8</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cs w:val="0"/>
          </w:rPr>
          <w:t>https://doi.org/10.1002/ccr3.9316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Hooyman, N. R., &amp; Kiyak, H. A. (2015). Social Gerontology: A Multidisciplinary Perspective (10th ed.).</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cs w:val="0"/>
          </w:rPr>
          <w:t>https://doi.org/10.1016/j.cpr.2014.09.002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cs w:val="0"/>
          </w:rPr>
          <w:t>https://doi.org/10.1186/s12877-024-04947-w</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cs w:val="0"/>
          </w:rPr>
          <w:t>https://doi.org/10.1016/j.psc.2024.04.015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cs w:val="0"/>
          </w:rPr>
          <w:t>https://doi.org/10.2307/3090197</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cs w:val="0"/>
          </w:rPr>
          <w:t>https://doi.org/10.1007/s11920-024-01507-2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cs w:val="0"/>
          </w:rPr>
          <w:t>https://doi.org/10.1177/001316447003000308</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cs w:val="0"/>
          </w:rPr>
          <w:t>https://doi.org/10.1016/j.jamda.2024.105334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cs w:val="0"/>
          </w:rPr>
          <w:t>https://pubmed.ncbi.nlm.nih.gov/39900466/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cs w:val="0"/>
          </w:rPr>
          <w:t>https://doi.org/10.1016/j.cell.2022.11.001</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Mayer, J. D., &amp; Salovey, P. (2020). The Intelligence of Emotional Intelligence.</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cs w:val="0"/>
          </w:rPr>
          <w:t>https://doi.org/10.1017/S1754470X20000215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cs w:val="0"/>
          </w:rPr>
          <w:t>https://doi.org/10.1097/MS9.0000000000002100</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cs w:val="0"/>
          </w:rPr>
          <w:t>https://doi.org/10.4103/ijnmr.ijnmr_260_23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cs w:val="0"/>
          </w:rPr>
          <w:t>https://doi.org/10.1177/0022167820959488</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cs w:val="0"/>
          </w:rPr>
          <w:t>https://doi.org/10.1037/a0035194</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cs w:val="0"/>
          </w:rPr>
          <w:t>https://doi.org/10.1093/geronb/gbv025</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cs w:val="0"/>
          </w:rPr>
          <w:t>https://doi.org/10.1016/S0033-3182(99)71269-7</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cs w:val="0"/>
          </w:rPr>
          <w:t>https://doi.org/10.1016/0005-7967(90)90023-c</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cs w:val="0"/>
          </w:rPr>
          <w:t>https://doi.org/10.1093/geronb/gbv062</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cs w:val="0"/>
          </w:rPr>
          <w:t>https://doi.org/10.1007/s12144-024-05659-5</w:t>
        </w:r>
      </w:hyperlink>
    </w:p>
    <w:p w:rsidR="008908D0" w:rsidRDefault="002D5E38">
      <w:pPr>
        <w:pStyle w:val="References"/>
        <w:bidi w:val="0"/>
        <w:spacing w:before="240" w:after="80" w:line="276" w:lineRule="auto"/>
        <w:ind w:left="720" w:hanging="720"/>
        <w:jc w:val="left"/>
      </w:pPr>
      <w:r>
        <w:rPr>
          <w:rFonts w:ascii="Times New Roman" w:hAnsi="Times New Roman" w:eastAsia="Times New Roman" w:cs="Times New Roman"/>
          <w:rtl w:val="0"/>
          <w:cs w:val="0"/>
          <w:lang w:val="en-US"/>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cs w:val="0"/>
          </w:rPr>
          <w:t>https://doi.org/10.1097/00005053-200208000-00002</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cs w:val="0"/>
          </w:rPr>
          <w:t>https://doi.org/10.1080/16549716.2024.2362310</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cs w:val="0"/>
          </w:rPr>
          <w:t>https://doi.org/10.3389/fpsyg.2024.1293943</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Ryan, R. M., &amp; Deci, E. L. (2017). Self-determination theory: Basic psychological needs in motivation, development, and wellness. Guilford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cs w:val="0"/>
          </w:rPr>
          <w:t>https://doi.org/10.1177/09637214241266818</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cs w:val="0"/>
          </w:rPr>
          <w:t>https://doi.org/10.1002/jgf2.750</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Stavrova, O., Fetchenhauer, D., &amp; Schlosser, T. (2012). Why are religious people happy? The effect of the social norm of religiosity across countries. Social Science Research, 3.</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Sternberg, R. J. (2021). Adaptive Intelligence: Surviving and Thriving in Times of Uncertainty. Cambridge University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Taylor, S., &amp; Asmundson, G. J. G. (2021). Treating Health Anxiety: A Cognitive-Behavioral Approach. Guilford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cs w:val="0"/>
          </w:rPr>
          <w:t>https://doi.org/10.1080/00221309.1970.9920634</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Tomer, A., &amp; Eliason, G. (2000). Attitudes toward death: A developmental perspective. Springer Publishing Company.</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cs w:val="0"/>
          </w:rPr>
          <w:t>https://iran.unfpa.org/en/topics/population-ageing-and-disabilities</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(2023). World Social Report 2023: Leaving No One Behind in an Ageing World.</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cs w:val="0"/>
          </w:rPr>
          <w:t>https://doi.org/10.1177/0022167819830517</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cs w:val="0"/>
          </w:rPr>
          <w:t>https://doi.org/10.1093/oxfordhb/9780190905538.013.18</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cs w:val="0"/>
          </w:rPr>
          <w:t>https://doi.org/10.1111/phn.13266</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(2025, October 1). Ageing and health. </w:t>
      </w:r>
      <w:hyperlink r:id="rId34" w:history="1">
        <w:r>
          <w:rPr>
            <w:rStyle w:val="Hyperlink"/>
            <w:rFonts w:ascii="Times New Roman" w:hAnsi="Times New Roman" w:eastAsia="Times New Roman" w:cs="Times New Roman"/>
            <w:rtl w:val="0"/>
            <w:cs w:val="0"/>
          </w:rPr>
          <w:t>https://www.who.int/news-room/fact-sheets/detail/ageing-and-health</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(2022). World mental health report: Transforming mental health for all. World Health Organization.</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(2023). Healthy ageing: A priority for delivering universal health coverage. Geneva: World Health Organization.</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(2025, October 8). Mental health of older adults. </w:t>
      </w:r>
      <w:hyperlink r:id="rId35" w:history="1">
        <w:r>
          <w:rPr>
            <w:rStyle w:val="Hyperlink"/>
            <w:rFonts w:ascii="Times New Roman" w:hAnsi="Times New Roman" w:eastAsia="Times New Roman" w:cs="Times New Roman"/>
            <w:rtl w:val="0"/>
            <w:cs w:val="0"/>
          </w:rPr>
          <w:t>https://www.who.int/news-room/fact-sheets/detail/mental-health-of-older-adults</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Yalom, I. D. (1980). Existential Psychotherapy. New York: Basic Books.</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cs w:val="0"/>
          </w:rPr>
          <w:t>https://doi.org/10.1177/00302228241272578</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cs w:val="0"/>
          </w:rPr>
          <w:t>https://doi.org/10.1186/s12877-025-06040-2</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cs w:val="0"/>
          </w:rPr>
          <w:t>https://doi.org/10.1177/0164027510383584</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numFmt w:val="decimal"/>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