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b/>
          <w:bCs/>
          <w:color w:val="12201E"/>
          <w:sz w:val="24"/>
          <w:szCs w:val="24"/>
        </w:rPr>
        <w:t xml:space="preserve">Integrate-CKD risk engine — where every displayed figure comes from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4180"/>
        <w:gridCol w:w="4200"/>
        <w:gridCol w:w="4400"/>
      </w:tblGrid>
      <w:tr>
        <w:trPr>
          <w:tblHeader/>
        </w:trPr>
        <w:tc>
          <w:tcPr>
            <w:tcW w:type="dxa" w:w="162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shd w:fill="0E7C7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Outcome</w:t>
            </w:r>
          </w:p>
        </w:tc>
        <w:tc>
          <w:tcPr>
            <w:tcW w:type="dxa" w:w="418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shd w:fill="0E7C7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Baseline risk — where it comes from and how</w:t>
            </w:r>
          </w:p>
        </w:tc>
        <w:tc>
          <w:tcPr>
            <w:tcW w:type="dxa" w:w="420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shd w:fill="0E7C7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Risk reduction, single drug — where it comes from</w:t>
            </w:r>
          </w:p>
        </w:tc>
        <w:tc>
          <w:tcPr>
            <w:tcW w:type="dxa" w:w="440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shd w:fill="0E7C7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Combined risk reduction — where it comes from and how</w:t>
            </w:r>
          </w:p>
        </w:tc>
      </w:tr>
      <w:tr>
        <w:trPr>
          <w:cantSplit w:val="false"/>
        </w:trPr>
        <w:tc>
          <w:tcPr>
            <w:tcW w:type="dxa" w:w="162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8"/>
                <w:szCs w:val="18"/>
              </w:rPr>
              <w:t xml:space="preserve">Kidney failure</w:t>
            </w:r>
          </w:p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B69"/>
                <w:sz w:val="17"/>
                <w:szCs w:val="17"/>
              </w:rPr>
              <w:t xml:space="preserve">Dialysis, transplant, or death from kidney failure</w:t>
            </w:r>
          </w:p>
        </w:tc>
        <w:tc>
          <w:tcPr>
            <w:tcW w:type="dxa" w:w="418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Kidney Failure Risk Equation (KFRE), 4-variable.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Inputs: age, sex, eGFR, urine ACR. Output: 2- and 5-year probability of treated kidney failure (dialysis or transplantation). Intended for CKD G3–G5.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Region-specific baseline survival: North America S₀ 0.9750 (2 yr) / 0.9240 (5 yr); other regions 0.9832 / 0.9365.</w:t>
            </w:r>
          </w:p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B2A28"/>
                <w:sz w:val="17"/>
                <w:szCs w:val="17"/>
              </w:rPr>
              <w:t xml:space="preserve">Tangri et al. JAMA 2011;305:1553–1559; multinational recalibration JAMA 2016;315:164–174.</w:t>
            </w:r>
          </w:p>
        </w:tc>
        <w:tc>
          <w:tcPr>
            <w:tcW w:type="dxa" w:w="420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SGLT2i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2"/>
                <w:sz w:val="17"/>
                <w:szCs w:val="17"/>
              </w:rPr>
              <w:t xml:space="preserve">0.67 (0.59–0.77)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— kidney-failure subcomponent of the four CKD trials. Nuffield Dept of Population Health Renal Studies Group / SMART-C, Lancet 2022;400:1788–1801 (13 trials, n = 90,409).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ns-MRA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2"/>
                <w:sz w:val="17"/>
                <w:szCs w:val="17"/>
              </w:rPr>
              <w:t xml:space="preserve">0.77 (0.67–0.88)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— Neuen et al. Circulation 2024;149:450–462, Figure 2.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GLP-1 RA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2"/>
                <w:sz w:val="17"/>
                <w:szCs w:val="17"/>
              </w:rPr>
              <w:t xml:space="preserve">0.86 (0.72–1.02)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— Neuen et al., Figure 2.</w:t>
            </w:r>
          </w:p>
        </w:tc>
        <w:tc>
          <w:tcPr>
            <w:tcW w:type="dxa" w:w="440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SGLT2i + ns-MRA 0.52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(0.41–0.65)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SGLT2i + GLP-1 RA 0.57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(0.45–0.74)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All three 0.45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(0.33–0.60)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Each is Neuen's Figure 2 combination re-anchored by × 1.0635 (= 0.67 ÷ 0.63, the SGLT2i value now used over Neuen's).</w:t>
            </w:r>
          </w:p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ns-MRA + GLP-1 RA 0.66 (0.53–0.83) contains no SGLT2i and is Neuen's value unchanged.</w:t>
            </w:r>
          </w:p>
        </w:tc>
      </w:tr>
      <w:tr>
        <w:trPr>
          <w:cantSplit w:val="false"/>
        </w:trPr>
        <w:tc>
          <w:tcPr>
            <w:tcW w:type="dxa" w:w="162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shd w:fill="F1F7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8"/>
                <w:szCs w:val="18"/>
              </w:rPr>
              <w:t xml:space="preserve">Heart failure</w:t>
            </w:r>
          </w:p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B69"/>
                <w:sz w:val="17"/>
                <w:szCs w:val="17"/>
              </w:rPr>
              <w:t xml:space="preserve">Hospitalization for heart failure</w:t>
            </w:r>
          </w:p>
        </w:tc>
        <w:tc>
          <w:tcPr>
            <w:tcW w:type="dxa" w:w="418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shd w:fill="F1F7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AHA PREVENT, heart-failure equation.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Inputs: age, sex, SBP, total cholesterol, HDL, BMI, eGFR, diabetes, smoking, BP therapy, statin. Output: 10- and 30-year risk of incident heart failure.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Ages 30–79, no known CVD. The 30-year estimate is defined only for ages 30–59.</w:t>
            </w:r>
          </w:p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B2A28"/>
                <w:sz w:val="17"/>
                <w:szCs w:val="17"/>
              </w:rPr>
              <w:t xml:space="preserve">Khan et al. Circulation 2024;149:430–449.</w:t>
            </w:r>
          </w:p>
        </w:tc>
        <w:tc>
          <w:tcPr>
            <w:tcW w:type="dxa" w:w="420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shd w:fill="F1F7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SGLT2i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2"/>
                <w:sz w:val="17"/>
                <w:szCs w:val="17"/>
              </w:rPr>
              <w:t xml:space="preserve">0.68 (0.61–0.76)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— hospitalization for heart failure alone. McGuire et al. JAMA Cardiol 2021;6:148–158 (6 trials, n = 46,969). Used because neither SMART-C paper reports heart failure on its own — both give only the composite of HHF or CV death (0.77).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ns-MRA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2"/>
                <w:sz w:val="17"/>
                <w:szCs w:val="17"/>
              </w:rPr>
              <w:t xml:space="preserve">0.78 (0.66–0.92)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— Neuen et al. Circulation 2024;149:450–462, Figure 1.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GLP-1 RA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2"/>
                <w:sz w:val="17"/>
                <w:szCs w:val="17"/>
              </w:rPr>
              <w:t xml:space="preserve">0.89 (0.82–0.98)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— Neuen et al., Figure 1.</w:t>
            </w:r>
          </w:p>
        </w:tc>
        <w:tc>
          <w:tcPr>
            <w:tcW w:type="dxa" w:w="440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shd w:fill="F1F7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SGLT2i + ns-MRA 0.53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(0.41–0.68)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SGLT2i + GLP-1 RA 0.61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(0.49–0.74)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All three 0.48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(0.36–0.62)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Each is Neuen's Figure 1 combination re-anchored by × 1.0625 (= 0.68 ÷ 0.64).</w:t>
            </w:r>
          </w:p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ns-MRA + GLP-1 RA 0.69 (0.58–0.84) is Neuen's value unchanged.</w:t>
            </w:r>
          </w:p>
        </w:tc>
      </w:tr>
      <w:tr>
        <w:trPr>
          <w:cantSplit w:val="false"/>
        </w:trPr>
        <w:tc>
          <w:tcPr>
            <w:tcW w:type="dxa" w:w="162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8"/>
                <w:szCs w:val="18"/>
              </w:rPr>
              <w:t xml:space="preserve">MACE</w:t>
            </w:r>
          </w:p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B69"/>
                <w:sz w:val="17"/>
                <w:szCs w:val="17"/>
              </w:rPr>
              <w:t xml:space="preserve">Non-fatal MI, non-fatal stroke, or CV death</w:t>
            </w:r>
          </w:p>
        </w:tc>
        <w:tc>
          <w:tcPr>
            <w:tcW w:type="dxa" w:w="418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AHA PREVENT, ASCVD equation — used as an interim stand-in.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Same inputs as heart failure. Output: 10- and 30-year risk of coronary heart disease (MI, fatal CHD) or stroke.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This understates MACE: PREVENT's ASCVD excludes heart-failure death and sudden cardiac death, which are the cardiovascular deaths driving the SGLT2i effect. A matched baseline needs SCORE2 (MI, stroke, CV death), not yet implemented.</w:t>
            </w:r>
          </w:p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B2A28"/>
                <w:sz w:val="17"/>
                <w:szCs w:val="17"/>
              </w:rPr>
              <w:t xml:space="preserve">Khan et al. Circulation 2024;149:430–449.</w:t>
            </w:r>
          </w:p>
        </w:tc>
        <w:tc>
          <w:tcPr>
            <w:tcW w:type="dxa" w:w="420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SGLT2i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2"/>
                <w:sz w:val="17"/>
                <w:szCs w:val="17"/>
              </w:rPr>
              <w:t xml:space="preserve">0.89 (0.85–0.94)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— Apperloo, Neuen et al. Lancet Diabetes Endocrinol 2024;12:545–557 (12 trials, n = 73,238 with diabetes).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ns-MRA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2"/>
                <w:sz w:val="17"/>
                <w:szCs w:val="17"/>
              </w:rPr>
              <w:t xml:space="preserve">0.90 (0.81–1.00)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— Neuen et al. Circulation 2024;149:450–462, Figure 1.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GLP-1 RA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2"/>
                <w:sz w:val="17"/>
                <w:szCs w:val="17"/>
              </w:rPr>
              <w:t xml:space="preserve">0.86 (0.80–0.93)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— Neuen et al., Figure 1.</w:t>
            </w:r>
          </w:p>
        </w:tc>
        <w:tc>
          <w:tcPr>
            <w:tcW w:type="dxa" w:w="440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SGLT2i + ns-MRA 0.80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(0.69–0.93)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SGLT2i + GLP-1 RA 0.77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(0.68–0.87)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All three 0.70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(0.59–0.81)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Each is Neuen's Figure 1 combination re-anchored by × 1.0723 (= 0.89 ÷ 0.83).</w:t>
            </w:r>
          </w:p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ns-MRA + GLP-1 RA 0.77 (0.68–0.88) is Neuen's value unchanged.</w:t>
            </w:r>
          </w:p>
        </w:tc>
      </w:tr>
      <w:tr>
        <w:trPr>
          <w:cantSplit w:val="false"/>
        </w:trPr>
        <w:tc>
          <w:tcPr>
            <w:tcW w:type="dxa" w:w="162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shd w:fill="F1F7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8"/>
                <w:szCs w:val="18"/>
              </w:rPr>
              <w:t xml:space="preserve">All-cause mortality</w:t>
            </w:r>
          </w:p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B69"/>
                <w:sz w:val="17"/>
                <w:szCs w:val="17"/>
              </w:rPr>
              <w:t xml:space="preserve">Death from any cause</w:t>
            </w:r>
          </w:p>
        </w:tc>
        <w:tc>
          <w:tcPr>
            <w:tcW w:type="dxa" w:w="418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shd w:fill="F1F7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None available.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Neither KFRE nor PREVENT produces an all-cause mortality risk, and no published equation computes one for a general CKD population from the inputs collected. RECODe requires HbA1c and covers type 2 diabetes only; the CKD-PC advanced tool applies only below eGFR 30.</w:t>
            </w:r>
          </w:p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Shown as a relative reduction only — there is no absolute-risk card for this outcome.</w:t>
            </w:r>
          </w:p>
        </w:tc>
        <w:tc>
          <w:tcPr>
            <w:tcW w:type="dxa" w:w="420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shd w:fill="F1F7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SGLT2i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2"/>
                <w:sz w:val="17"/>
                <w:szCs w:val="17"/>
              </w:rPr>
              <w:t xml:space="preserve">0.89 (0.84–0.93)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— Apperloo, Neuen et al. Lancet Diabetes Endocrinol 2024;12:545–557 (12 trials, n = 73,238 with diabetes).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ns-MRA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2"/>
                <w:sz w:val="17"/>
                <w:szCs w:val="17"/>
              </w:rPr>
              <w:t xml:space="preserve">0.89 (0.79–1.00)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— Neuen et al. Circulation 2024;149:450–462, Figure 2.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GLP-1 RA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2"/>
                <w:sz w:val="17"/>
                <w:szCs w:val="17"/>
              </w:rPr>
              <w:t xml:space="preserve">0.88 (0.82–0.94)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— Neuen et al., Figure 2.</w:t>
            </w:r>
          </w:p>
        </w:tc>
        <w:tc>
          <w:tcPr>
            <w:tcW w:type="dxa" w:w="440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shd w:fill="F1F7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SGLT2i + ns-MRA 0.80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(0.67–0.94)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SGLT2i + GLP-1 RA 0.79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(0.68–0.90)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All three 0.70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(0.58–0.84)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Each is Neuen's Figure 2 combination re-anchored by × 1.0471 (= 0.89 ÷ 0.85).</w:t>
            </w:r>
          </w:p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ns-MRA + GLP-1 RA 0.78 (0.68–0.90) is Neuen's value unchanged.</w:t>
            </w:r>
          </w:p>
        </w:tc>
      </w:tr>
      <w:tr>
        <w:trPr>
          <w:cantSplit w:val="false"/>
        </w:trPr>
        <w:tc>
          <w:tcPr>
            <w:tcW w:type="dxa" w:w="162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8"/>
                <w:szCs w:val="18"/>
              </w:rPr>
              <w:t xml:space="preserve">Total CVD</w:t>
            </w:r>
          </w:p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6B69"/>
                <w:sz w:val="17"/>
                <w:szCs w:val="17"/>
              </w:rPr>
              <w:t xml:space="preserve">ASCVD plus heart failure</w:t>
            </w:r>
          </w:p>
        </w:tc>
        <w:tc>
          <w:tcPr>
            <w:tcW w:type="dxa" w:w="418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AHA PREVENT, total CVD equation.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Same inputs as heart failure. Output: 10- and 30-year risk of ASCVD and heart failure combined.</w:t>
            </w:r>
          </w:p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B2A28"/>
                <w:sz w:val="17"/>
                <w:szCs w:val="17"/>
              </w:rPr>
              <w:t xml:space="preserve">Khan et al. Circulation 2024;149:430–449.</w:t>
            </w:r>
          </w:p>
        </w:tc>
        <w:tc>
          <w:tcPr>
            <w:tcW w:type="dxa" w:w="420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None.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2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— No SGLT2i, ns-MRA or GLP-1 RA trial reports this composite as an endpoint.</w:t>
            </w:r>
          </w:p>
        </w:tc>
        <w:tc>
          <w:tcPr>
            <w:tcW w:type="dxa" w:w="440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None.</w:t>
            </w:r>
          </w:p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Displayed as a baseline figure only, with no treated bar.</w:t>
            </w:r>
          </w:p>
        </w:tc>
      </w:tr>
      <w:tr>
        <w:tc>
          <w:tcPr>
            <w:tcW w:type="dxa" w:w="1620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shd w:fill="3B4A4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Applies to every row</w:t>
            </w:r>
          </w:p>
        </w:tc>
        <w:tc>
          <w:tcPr>
            <w:tcW w:type="dxa" w:w="12780"/>
            <w:gridSpan w:val="3"/>
            <w:tcBorders>
              <w:top w:val="single" w:color="C9D8D6" w:sz="4"/>
              <w:left w:val="single" w:color="C9D8D6" w:sz="4"/>
              <w:bottom w:val="single" w:color="C9D8D6" w:sz="4"/>
              <w:right w:val="single" w:color="C9D8D6" w:sz="4"/>
            </w:tcBorders>
            <w:shd w:fill="EDF2F1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How a hazard ratio becomes an absolute risk.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Treated risk = 1 − (1 − baseline risk)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  <w:vertAlign w:val="superscript"/>
              </w:rPr>
              <w:t xml:space="preserve">HR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. The confidence interval on the treated figure is the same transform applied to each bound of the hazard ratio's interval.</w:t>
            </w:r>
          </w:p>
          <w:p>
            <w:pPr>
              <w:spacing w:after="4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How the combinations are re-anchored.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HR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  <w:vertAlign w:val="subscript"/>
              </w:rPr>
              <w:t xml:space="preserve">combo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 = HR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  <w:vertAlign w:val="subscript"/>
              </w:rPr>
              <w:t xml:space="preserve">combo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(Neuen) × [ HR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  <w:vertAlign w:val="subscript"/>
              </w:rPr>
              <w:t xml:space="preserve">SGLT2i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(now) ÷ HR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  <w:vertAlign w:val="subscript"/>
              </w:rPr>
              <w:t xml:space="preserve">SGLT2i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(Neuen) ]. This keeps Neuen's estimate of what ns-MRA and GLP-1 RA add on top of SGLT2i, while the SGLT2i component rests on the larger meta-analyses. Without it, a combination would not decompose into the single-drug values shown beside it. Combinations without SGLT2i are unchanged.</w:t>
            </w:r>
          </w:p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28"/>
                <w:sz w:val="17"/>
                <w:szCs w:val="17"/>
              </w:rPr>
              <w:t xml:space="preserve">What the baseline already includes.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28"/>
                <w:sz w:val="17"/>
                <w:szCs w:val="17"/>
              </w:rPr>
              <w:t xml:space="preserve">Every hazard ratio is relative to conventional care that already contains a renin–angiotensin system inhibitor. RASi is therefore inside the baseline risk and is never shown as a separate reduction.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2026-09-03T21:44:27.407Z</dcterms:created>
  <dcterms:modified xsi:type="dcterms:W3CDTF">2026-09-03T21:44:27.408Z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