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pPr>
      <w:r>
        <w:rPr>
          <w:rFonts w:ascii="Calibri" w:cs="Calibri" w:eastAsia="Calibri" w:hAnsi="Calibri"/>
          <w:b/>
          <w:bCs/>
          <w:color w:val="0F5C6B"/>
          <w:sz w:val="19"/>
          <w:szCs w:val="19"/>
        </w:rPr>
        <w:t xml:space="preserve">P R O J E C T   R E C O R D</w:t>
      </w:r>
    </w:p>
    <w:p>
      <w:pPr>
        <w:pBdr>
          <w:bottom w:val="single" w:color="0F5C6B" w:sz="14"/>
        </w:pBdr>
        <w:spacing w:after="200"/>
      </w:pPr>
    </w:p>
    <w:p>
      <w:pPr>
        <w:spacing w:after="110"/>
      </w:pPr>
      <w:r>
        <w:rPr>
          <w:rFonts w:ascii="Calibri" w:cs="Calibri" w:eastAsia="Calibri" w:hAnsi="Calibri"/>
          <w:b/>
          <w:bCs/>
          <w:color w:val="1B2A3A"/>
          <w:sz w:val="50"/>
          <w:szCs w:val="50"/>
        </w:rPr>
        <w:t xml:space="preserve">Integrate-CKD Algorithm</w:t>
      </w:r>
    </w:p>
    <w:p>
      <w:pPr>
        <w:spacing w:after="520" w:line="300"/>
      </w:pPr>
      <w:r>
        <w:rPr>
          <w:rFonts w:ascii="Calibri" w:cs="Calibri" w:eastAsia="Calibri" w:hAnsi="Calibri"/>
          <w:color w:val="5A6875"/>
          <w:sz w:val="24"/>
          <w:szCs w:val="24"/>
        </w:rPr>
        <w:t xml:space="preserve">A clinical decision-support website for combination treatment of chronic kidney disease with type 2 diabetes</w:t>
      </w:r>
    </w:p>
    <w:p>
      <w:pPr>
        <w:spacing w:after="50" w:line="278"/>
      </w:pPr>
      <w:r>
        <w:rPr>
          <w:rFonts w:ascii="Calibri" w:cs="Calibri" w:eastAsia="Calibri" w:hAnsi="Calibri"/>
          <w:color w:val="1B2A3A"/>
          <w:sz w:val="22"/>
          <w:szCs w:val="22"/>
        </w:rPr>
        <w:t xml:space="preserve">Design record, implemented decision rules, and technical specification</w:t>
      </w:r>
    </w:p>
    <w:p>
      <w:pPr>
        <w:spacing w:after="760" w:line="278"/>
      </w:pPr>
      <w:r>
        <w:rPr>
          <w:rFonts w:ascii="Calibri" w:cs="Calibri" w:eastAsia="Calibri" w:hAnsi="Calibri"/>
          <w:i/>
          <w:iCs/>
          <w:color w:val="5A6875"/>
          <w:sz w:val="22"/>
          <w:szCs w:val="22"/>
        </w:rPr>
        <w:t xml:space="preserve">Prepared for internal record keeping and clinical review</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00"/>
        <w:gridCol w:w="6340"/>
      </w:tblGrid>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Document</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 Algorithm — Project Record</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Version</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Status</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Issued</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Prepared by</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Parsa Naderian</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Date of issue</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27 August 2026</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Classification</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Internal — for the project team and invited clinical reviewers</w:t>
            </w:r>
          </w:p>
        </w:tc>
      </w:tr>
    </w:tbl>
    <w:p>
      <w:pPr>
        <w:spacing w:after="360"/>
      </w:pP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pPr>
            <w:r>
              <w:rPr>
                <w:rFonts w:ascii="Calibri" w:cs="Calibri" w:eastAsia="Calibri" w:hAnsi="Calibri"/>
                <w:b/>
                <w:bCs/>
                <w:color w:val="0F5C6B"/>
                <w:sz w:val="20"/>
                <w:szCs w:val="20"/>
              </w:rPr>
              <w:t xml:space="preserve">Intended use</w:t>
            </w:r>
          </w:p>
          <w:p>
            <w:pPr>
              <w:spacing w:after="0" w:line="270"/>
            </w:pPr>
            <w:r>
              <w:rPr>
                <w:rFonts w:ascii="Calibri" w:cs="Calibri" w:eastAsia="Calibri" w:hAnsi="Calibri"/>
                <w:color w:val="1B2A3A"/>
                <w:sz w:val="20"/>
                <w:szCs w:val="20"/>
              </w:rPr>
              <w:t xml:space="preserve">The website described in this record is a visual aid for clinicians. It is not a regulated medical device, it stores no patient data, and it does not replace the medical record, published clinical practice guidelines, or clinical judgement.</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Contents</w:t>
      </w:r>
    </w:p>
    <w:p>
      <w:pPr>
        <w:spacing w:after="80"/>
      </w:pPr>
    </w:p>
    <w:p>
      <w:pPr>
        <w:tabs>
          <w:tab w:val="right" w:pos="9360" w:leader="dot"/>
        </w:tabs>
        <w:spacing w:after="40" w:before="150" w:line="264"/>
      </w:pPr>
      <w:r>
        <w:rPr>
          <w:rFonts w:ascii="Calibri" w:cs="Calibri" w:eastAsia="Calibri" w:hAnsi="Calibri"/>
          <w:b/>
          <w:bCs/>
          <w:color w:val="1B2A3A"/>
          <w:sz w:val="21"/>
          <w:szCs w:val="21"/>
        </w:rPr>
        <w:t xml:space="preserve">Document control</w:t>
      </w:r>
      <w:r>
        <w:rPr>
          <w:rFonts w:ascii="Calibri" w:cs="Calibri" w:eastAsia="Calibri" w:hAnsi="Calibri"/>
          <w:color w:val="5A6875"/>
          <w:sz w:val="21"/>
          <w:szCs w:val="21"/>
        </w:rPr>
        <w:tab/>
      </w:r>
      <w:r>
        <w:rPr>
          <w:rFonts w:ascii="Calibri" w:cs="Calibri" w:eastAsia="Calibri" w:hAnsi="Calibri"/>
          <w:b/>
          <w:bCs/>
          <w:color w:val="1B2A3A"/>
          <w:sz w:val="21"/>
          <w:szCs w:val="21"/>
        </w:rPr>
        <w:t xml:space="preserve">3</w:t>
      </w:r>
    </w:p>
    <w:p>
      <w:pPr>
        <w:spacing w:after="40" w:line="250"/>
        <w:ind w:left="260" w:right="500"/>
      </w:pPr>
      <w:r>
        <w:rPr>
          <w:rFonts w:ascii="Calibri" w:cs="Calibri" w:eastAsia="Calibri" w:hAnsi="Calibri"/>
          <w:color w:val="5A6875"/>
          <w:sz w:val="18"/>
          <w:szCs w:val="18"/>
        </w:rPr>
        <w:t xml:space="preserve">Revision history   ·   How to read this document</w:t>
      </w:r>
    </w:p>
    <w:p>
      <w:pPr>
        <w:tabs>
          <w:tab w:val="right" w:pos="9360" w:leader="dot"/>
        </w:tabs>
        <w:spacing w:after="40" w:before="150" w:line="264"/>
      </w:pPr>
      <w:r>
        <w:rPr>
          <w:rFonts w:ascii="Calibri" w:cs="Calibri" w:eastAsia="Calibri" w:hAnsi="Calibri"/>
          <w:b/>
          <w:bCs/>
          <w:color w:val="1B2A3A"/>
          <w:sz w:val="21"/>
          <w:szCs w:val="21"/>
        </w:rPr>
        <w:t xml:space="preserve">1. Purpose and scope</w:t>
      </w:r>
      <w:r>
        <w:rPr>
          <w:rFonts w:ascii="Calibri" w:cs="Calibri" w:eastAsia="Calibri" w:hAnsi="Calibri"/>
          <w:color w:val="5A6875"/>
          <w:sz w:val="21"/>
          <w:szCs w:val="21"/>
        </w:rPr>
        <w:tab/>
      </w:r>
      <w:r>
        <w:rPr>
          <w:rFonts w:ascii="Calibri" w:cs="Calibri" w:eastAsia="Calibri" w:hAnsi="Calibri"/>
          <w:b/>
          <w:bCs/>
          <w:color w:val="1B2A3A"/>
          <w:sz w:val="21"/>
          <w:szCs w:val="21"/>
        </w:rPr>
        <w:t xml:space="preserve">4</w:t>
      </w:r>
    </w:p>
    <w:p>
      <w:pPr>
        <w:spacing w:after="40" w:line="250"/>
        <w:ind w:left="260" w:right="500"/>
      </w:pPr>
      <w:r>
        <w:rPr>
          <w:rFonts w:ascii="Calibri" w:cs="Calibri" w:eastAsia="Calibri" w:hAnsi="Calibri"/>
          <w:color w:val="5A6875"/>
          <w:sz w:val="18"/>
          <w:szCs w:val="18"/>
        </w:rPr>
        <w:t xml:space="preserve">1.1 Purpose of this record   ·   1.2 Scope   ·   1.3 Intended use, and limits on that use</w:t>
      </w:r>
    </w:p>
    <w:p>
      <w:pPr>
        <w:tabs>
          <w:tab w:val="right" w:pos="9360" w:leader="dot"/>
        </w:tabs>
        <w:spacing w:after="40" w:before="150" w:line="264"/>
      </w:pPr>
      <w:r>
        <w:rPr>
          <w:rFonts w:ascii="Calibri" w:cs="Calibri" w:eastAsia="Calibri" w:hAnsi="Calibri"/>
          <w:b/>
          <w:bCs/>
          <w:color w:val="1B2A3A"/>
          <w:sz w:val="21"/>
          <w:szCs w:val="21"/>
        </w:rPr>
        <w:t xml:space="preserve">2. Product description</w:t>
      </w:r>
      <w:r>
        <w:rPr>
          <w:rFonts w:ascii="Calibri" w:cs="Calibri" w:eastAsia="Calibri" w:hAnsi="Calibri"/>
          <w:color w:val="5A6875"/>
          <w:sz w:val="21"/>
          <w:szCs w:val="21"/>
        </w:rPr>
        <w:tab/>
      </w:r>
      <w:r>
        <w:rPr>
          <w:rFonts w:ascii="Calibri" w:cs="Calibri" w:eastAsia="Calibri" w:hAnsi="Calibri"/>
          <w:b/>
          <w:bCs/>
          <w:color w:val="1B2A3A"/>
          <w:sz w:val="21"/>
          <w:szCs w:val="21"/>
        </w:rPr>
        <w:t xml:space="preserve">5</w:t>
      </w:r>
    </w:p>
    <w:p>
      <w:pPr>
        <w:spacing w:after="40" w:line="250"/>
        <w:ind w:left="260" w:right="500"/>
      </w:pPr>
      <w:r>
        <w:rPr>
          <w:rFonts w:ascii="Calibri" w:cs="Calibri" w:eastAsia="Calibri" w:hAnsi="Calibri"/>
          <w:color w:val="5A6875"/>
          <w:sz w:val="18"/>
          <w:szCs w:val="18"/>
        </w:rPr>
        <w:t xml:space="preserve">2.1 Overview   ·   2.2 Deployment and access   ·   2.3 Data handling</w:t>
      </w:r>
    </w:p>
    <w:p>
      <w:pPr>
        <w:tabs>
          <w:tab w:val="right" w:pos="9360" w:leader="dot"/>
        </w:tabs>
        <w:spacing w:after="40" w:before="150" w:line="264"/>
      </w:pPr>
      <w:r>
        <w:rPr>
          <w:rFonts w:ascii="Calibri" w:cs="Calibri" w:eastAsia="Calibri" w:hAnsi="Calibri"/>
          <w:b/>
          <w:bCs/>
          <w:color w:val="1B2A3A"/>
          <w:sz w:val="21"/>
          <w:szCs w:val="21"/>
        </w:rPr>
        <w:t xml:space="preserve">3. Clinical basis and provenance</w:t>
      </w:r>
      <w:r>
        <w:rPr>
          <w:rFonts w:ascii="Calibri" w:cs="Calibri" w:eastAsia="Calibri" w:hAnsi="Calibri"/>
          <w:color w:val="5A6875"/>
          <w:sz w:val="21"/>
          <w:szCs w:val="21"/>
        </w:rPr>
        <w:tab/>
      </w:r>
      <w:r>
        <w:rPr>
          <w:rFonts w:ascii="Calibri" w:cs="Calibri" w:eastAsia="Calibri" w:hAnsi="Calibri"/>
          <w:b/>
          <w:bCs/>
          <w:color w:val="1B2A3A"/>
          <w:sz w:val="21"/>
          <w:szCs w:val="21"/>
        </w:rPr>
        <w:t xml:space="preserve">7</w:t>
      </w:r>
    </w:p>
    <w:p>
      <w:pPr>
        <w:spacing w:after="40" w:line="250"/>
        <w:ind w:left="260" w:right="500"/>
      </w:pPr>
      <w:r>
        <w:rPr>
          <w:rFonts w:ascii="Calibri" w:cs="Calibri" w:eastAsia="Calibri" w:hAnsi="Calibri"/>
          <w:color w:val="5A6875"/>
          <w:sz w:val="18"/>
          <w:szCs w:val="18"/>
        </w:rPr>
        <w:t xml:space="preserve">3.1 Source publication   ·   3.2 Aims of the source paper   ·   3.3 The clinical reasoning the implementation depends on   ·   3.4 Evidence cited as the basis for each class   ·   3.5 Guideline context   ·   3.6 Acknowledged uncertainty</w:t>
      </w:r>
    </w:p>
    <w:p>
      <w:pPr>
        <w:tabs>
          <w:tab w:val="right" w:pos="9360" w:leader="dot"/>
        </w:tabs>
        <w:spacing w:after="40" w:before="150" w:line="264"/>
      </w:pPr>
      <w:r>
        <w:rPr>
          <w:rFonts w:ascii="Calibri" w:cs="Calibri" w:eastAsia="Calibri" w:hAnsi="Calibri"/>
          <w:b/>
          <w:bCs/>
          <w:color w:val="1B2A3A"/>
          <w:sz w:val="21"/>
          <w:szCs w:val="21"/>
        </w:rPr>
        <w:t xml:space="preserve">4. Implemented decision rules</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10</w:t>
      </w:r>
    </w:p>
    <w:p>
      <w:pPr>
        <w:spacing w:after="40" w:line="250"/>
        <w:ind w:left="260" w:right="500"/>
      </w:pPr>
      <w:r>
        <w:rPr>
          <w:rFonts w:ascii="Calibri" w:cs="Calibri" w:eastAsia="Calibri" w:hAnsi="Calibri"/>
          <w:color w:val="5A6875"/>
          <w:sz w:val="18"/>
          <w:szCs w:val="18"/>
        </w:rPr>
        <w:t xml:space="preserve">4.1 Governing principles   ·   4.2 Serum potassium bands   ·   4.3 Indication criteria   ·   4.4 Dosing as implemented   ·   4.5 Safety stops   ·   4.6 Sequential initiation logic   ·   4.7 Conditional notes   ·   4.8 Clinical considerations shown on the Chart only</w:t>
      </w:r>
    </w:p>
    <w:p>
      <w:pPr>
        <w:tabs>
          <w:tab w:val="right" w:pos="9360" w:leader="dot"/>
        </w:tabs>
        <w:spacing w:after="40" w:before="150" w:line="264"/>
      </w:pPr>
      <w:r>
        <w:rPr>
          <w:rFonts w:ascii="Calibri" w:cs="Calibri" w:eastAsia="Calibri" w:hAnsi="Calibri"/>
          <w:b/>
          <w:bCs/>
          <w:color w:val="1B2A3A"/>
          <w:sz w:val="21"/>
          <w:szCs w:val="21"/>
        </w:rPr>
        <w:t xml:space="preserve">5. Interface design</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15</w:t>
      </w:r>
    </w:p>
    <w:p>
      <w:pPr>
        <w:spacing w:after="40" w:line="250"/>
        <w:ind w:left="260" w:right="500"/>
      </w:pPr>
      <w:r>
        <w:rPr>
          <w:rFonts w:ascii="Calibri" w:cs="Calibri" w:eastAsia="Calibri" w:hAnsi="Calibri"/>
          <w:color w:val="5A6875"/>
          <w:sz w:val="18"/>
          <w:szCs w:val="18"/>
        </w:rPr>
        <w:t xml:space="preserve">5.1 Intended users and design intent   ·   5.2 Chart view   ·   5.3 Interactive view   ·   5.4 Visual conventions   ·   5.5 Units</w:t>
      </w:r>
    </w:p>
    <w:p>
      <w:pPr>
        <w:tabs>
          <w:tab w:val="right" w:pos="9360" w:leader="dot"/>
        </w:tabs>
        <w:spacing w:after="40" w:before="150" w:line="264"/>
      </w:pPr>
      <w:r>
        <w:rPr>
          <w:rFonts w:ascii="Calibri" w:cs="Calibri" w:eastAsia="Calibri" w:hAnsi="Calibri"/>
          <w:b/>
          <w:bCs/>
          <w:color w:val="1B2A3A"/>
          <w:sz w:val="21"/>
          <w:szCs w:val="21"/>
        </w:rPr>
        <w:t xml:space="preserve">6. Verification and change control</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17</w:t>
      </w:r>
    </w:p>
    <w:p>
      <w:pPr>
        <w:spacing w:after="40" w:line="250"/>
        <w:ind w:left="260" w:right="500"/>
      </w:pPr>
      <w:r>
        <w:rPr>
          <w:rFonts w:ascii="Calibri" w:cs="Calibri" w:eastAsia="Calibri" w:hAnsi="Calibri"/>
          <w:color w:val="5A6875"/>
          <w:sz w:val="18"/>
          <w:szCs w:val="18"/>
        </w:rPr>
        <w:t xml:space="preserve">6.1 Order of precedence   ·   6.2 Version history of the software   ·   6.3 Change procedure   ·   6.4 Items for clinical confirmation</w:t>
      </w:r>
    </w:p>
    <w:p>
      <w:pPr>
        <w:tabs>
          <w:tab w:val="right" w:pos="9360" w:leader="dot"/>
        </w:tabs>
        <w:spacing w:after="40" w:before="150" w:line="264"/>
      </w:pPr>
      <w:r>
        <w:rPr>
          <w:rFonts w:ascii="Calibri" w:cs="Calibri" w:eastAsia="Calibri" w:hAnsi="Calibri"/>
          <w:b/>
          <w:bCs/>
          <w:color w:val="1B2A3A"/>
          <w:sz w:val="21"/>
          <w:szCs w:val="21"/>
        </w:rPr>
        <w:t xml:space="preserve">Appendix A — Technical specification</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19</w:t>
      </w:r>
    </w:p>
    <w:p>
      <w:pPr>
        <w:spacing w:after="40" w:line="250"/>
        <w:ind w:left="260" w:right="500"/>
      </w:pPr>
      <w:r>
        <w:rPr>
          <w:rFonts w:ascii="Calibri" w:cs="Calibri" w:eastAsia="Calibri" w:hAnsi="Calibri"/>
          <w:color w:val="5A6875"/>
          <w:sz w:val="18"/>
          <w:szCs w:val="18"/>
        </w:rPr>
        <w:t xml:space="preserve">A.1 Stack and dependencies   ·   A.2 Repository structure   ·   A.3 Build and local preview   ·   A.4 Deployment   ·   A.5 Where to change a value</w:t>
      </w:r>
    </w:p>
    <w:p>
      <w:pPr>
        <w:tabs>
          <w:tab w:val="right" w:pos="9360" w:leader="dot"/>
        </w:tabs>
        <w:spacing w:after="60" w:before="150" w:line="264"/>
      </w:pPr>
      <w:r>
        <w:rPr>
          <w:rFonts w:ascii="Calibri" w:cs="Calibri" w:eastAsia="Calibri" w:hAnsi="Calibri"/>
          <w:b/>
          <w:bCs/>
          <w:color w:val="1B2A3A"/>
          <w:sz w:val="21"/>
          <w:szCs w:val="21"/>
        </w:rPr>
        <w:t xml:space="preserve">Appendix B — References</w:t>
      </w:r>
      <w:r>
        <w:rPr>
          <w:rFonts w:ascii="Calibri" w:cs="Calibri" w:eastAsia="Calibri" w:hAnsi="Calibri"/>
          <w:color w:val="5A6875"/>
          <w:sz w:val="21"/>
          <w:szCs w:val="21"/>
        </w:rPr>
        <w:tab/>
      </w:r>
      <w:r>
        <w:rPr>
          <w:rFonts w:ascii="Calibri" w:cs="Calibri" w:eastAsia="Calibri" w:hAnsi="Calibri"/>
          <w:b/>
          <w:bCs/>
          <w:color w:val="1B2A3A"/>
          <w:sz w:val="21"/>
          <w:szCs w:val="21"/>
        </w:rPr>
        <w:t xml:space="preserve">21</w:t>
      </w:r>
    </w:p>
    <w:p>
      <w:pPr>
        <w:spacing w:after="260"/>
      </w:pPr>
    </w:p>
    <w:p>
      <w:pPr>
        <w:spacing w:after="130" w:line="278"/>
      </w:pPr>
      <w:r>
        <w:rPr>
          <w:rFonts w:ascii="Calibri" w:cs="Calibri" w:eastAsia="Calibri" w:hAnsi="Calibri"/>
          <w:i/>
          <w:iCs/>
          <w:color w:val="5A6875"/>
          <w:sz w:val="18"/>
          <w:szCs w:val="18"/>
        </w:rPr>
        <w:t xml:space="preserve">Tables of the implemented clinical thresholds are held in Section 4. That section, together with Section 6.4, is the part of this record that must be reviewed whenever a value on the site is changed.</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Document control</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200"/>
        <w:gridCol w:w="6440"/>
      </w:tblGrid>
      <w:tr>
        <w:trPr>
          <w:cantSplit/>
          <w:tblHeader/>
        </w:trPr>
        <w:tc>
          <w:tcPr>
            <w:tcW w:type="dxa" w:w="2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Field</w:t>
            </w:r>
          </w:p>
        </w:tc>
        <w:tc>
          <w:tcPr>
            <w:tcW w:type="dxa" w:w="64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Entry</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Document title</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 Algorithm — Project Record</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Version</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Date of issue</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27 August 2026</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Prepared by</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Parsa Naderian</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Software version described</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integrate-ckd-algorithm, package version 1.0.0</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Source commit at issue</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f081a4f (26 August 2026) — “Add Vercel Web Analytics so visitor counts show in the dashboard.”</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Supersedes</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WEBSITE_DOCUMENTATION.md — internal working notes held in the repository working tree and deliberately excluded from version control</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Authoritative clinical source</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project team’s one-page algorithm, and Mohsen et al., J Clin Endocrinol Metab (2026); see Section 3.1</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Authoritative technical source</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src/data.js and src/logic.js in the project repository</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Change rule</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Any change to a clinical threshold, indication criterion, or safety stop requires this record to be re-issued at the next version number</w:t>
            </w:r>
          </w:p>
        </w:tc>
      </w:tr>
    </w:tbl>
    <w:p>
      <w:pPr>
        <w:spacing w:after="260"/>
      </w:pPr>
    </w:p>
    <w:p>
      <w:pPr>
        <w:pStyle w:val="Heading2"/>
        <w:keepNext/>
        <w:spacing w:after="120" w:before="280"/>
      </w:pPr>
      <w:r>
        <w:rPr>
          <w:rFonts w:ascii="Calibri" w:cs="Calibri" w:eastAsia="Calibri" w:hAnsi="Calibri"/>
          <w:b/>
          <w:bCs/>
          <w:color w:val="0F5C6B"/>
          <w:sz w:val="24"/>
          <w:szCs w:val="24"/>
        </w:rPr>
        <w:t xml:space="preserve">Revision history</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150"/>
        <w:gridCol w:w="1650"/>
        <w:gridCol w:w="1950"/>
        <w:gridCol w:w="3890"/>
      </w:tblGrid>
      <w:tr>
        <w:trPr>
          <w:cantSplit/>
          <w:tblHeader/>
        </w:trPr>
        <w:tc>
          <w:tcPr>
            <w:tcW w:type="dxa" w:w="11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Version</w:t>
            </w:r>
          </w:p>
        </w:tc>
        <w:tc>
          <w:tcPr>
            <w:tcW w:type="dxa" w:w="16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Date</w:t>
            </w:r>
          </w:p>
        </w:tc>
        <w:tc>
          <w:tcPr>
            <w:tcW w:type="dxa" w:w="19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Author</w:t>
            </w:r>
          </w:p>
        </w:tc>
        <w:tc>
          <w:tcPr>
            <w:tcW w:type="dxa" w:w="38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Summary of change</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w:t>
            </w:r>
          </w:p>
        </w:tc>
        <w:tc>
          <w:tcPr>
            <w:tcW w:type="dxa" w:w="16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27 August 2026</w:t>
            </w:r>
          </w:p>
        </w:tc>
        <w:tc>
          <w:tcPr>
            <w:tcW w:type="dxa" w:w="19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Parsa Naderian</w:t>
            </w:r>
          </w:p>
        </w:tc>
        <w:tc>
          <w:tcPr>
            <w:tcW w:type="dxa" w:w="38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First formal issue. Consolidates the internal working notes into a controlled record and verifies every stated threshold against the application source code.</w:t>
            </w:r>
          </w:p>
        </w:tc>
      </w:tr>
    </w:tbl>
    <w:p>
      <w:pPr>
        <w:spacing w:after="260"/>
      </w:pPr>
    </w:p>
    <w:p>
      <w:pPr>
        <w:pStyle w:val="Heading2"/>
        <w:keepNext/>
        <w:spacing w:after="120" w:before="280"/>
      </w:pPr>
      <w:r>
        <w:rPr>
          <w:rFonts w:ascii="Calibri" w:cs="Calibri" w:eastAsia="Calibri" w:hAnsi="Calibri"/>
          <w:b/>
          <w:bCs/>
          <w:color w:val="0F5C6B"/>
          <w:sz w:val="24"/>
          <w:szCs w:val="24"/>
        </w:rPr>
        <w:t xml:space="preserve">How to read this document</w:t>
      </w:r>
    </w:p>
    <w:p>
      <w:pPr>
        <w:spacing w:after="130" w:line="278"/>
      </w:pPr>
      <w:r>
        <w:rPr>
          <w:rFonts w:ascii="Calibri" w:cs="Calibri" w:eastAsia="Calibri" w:hAnsi="Calibri"/>
          <w:color w:val="1B2A3A"/>
          <w:sz w:val="21"/>
          <w:szCs w:val="21"/>
        </w:rPr>
        <w:t xml:space="preserve">Sections 1 to 3 establish what the website is, where it is deployed, and the published evidence it implements. Section 4 is the controlled statement of every decision rule as implemented in code, and is the section to consult when confirming or changing a clinical threshold. Sections 5 and 6 cover interface design and change control. Appendix A is the technical specification; Appendix B lists the references cited.</w:t>
      </w:r>
    </w:p>
    <w:p>
      <w:pPr>
        <w:spacing w:after="130" w:line="278"/>
      </w:pPr>
      <w:r>
        <w:rPr>
          <w:rFonts w:ascii="Calibri" w:cs="Calibri" w:eastAsia="Calibri" w:hAnsi="Calibri"/>
          <w:color w:val="1B2A3A"/>
          <w:sz w:val="21"/>
          <w:szCs w:val="21"/>
        </w:rPr>
        <w:t xml:space="preserve">Every numerical value in Section 4 was read directly from the application source at the commit named above rather than transcribed from earlier notes. Where the code and the team’s working notes diverge, the code is reported and the divergence is recorded in Section 6.4.</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1. Purpose and scope</w:t>
      </w:r>
    </w:p>
    <w:p>
      <w:pPr>
        <w:pStyle w:val="Heading2"/>
        <w:keepNext/>
        <w:spacing w:after="120" w:before="280"/>
      </w:pPr>
      <w:r>
        <w:rPr>
          <w:rFonts w:ascii="Calibri" w:cs="Calibri" w:eastAsia="Calibri" w:hAnsi="Calibri"/>
          <w:b/>
          <w:bCs/>
          <w:color w:val="0F5C6B"/>
          <w:sz w:val="24"/>
          <w:szCs w:val="24"/>
        </w:rPr>
        <w:t xml:space="preserve">1.1 Purpose of this record</w:t>
      </w:r>
    </w:p>
    <w:p>
      <w:pPr>
        <w:spacing w:after="130" w:line="278"/>
      </w:pPr>
      <w:r>
        <w:rPr>
          <w:rFonts w:ascii="Calibri" w:cs="Calibri" w:eastAsia="Calibri" w:hAnsi="Calibri"/>
          <w:color w:val="1B2A3A"/>
          <w:sz w:val="21"/>
          <w:szCs w:val="21"/>
        </w:rPr>
        <w:t xml:space="preserve">This document is the controlled record of the Integrate-CKD Algorithm website. It exists so that the project team, and any clinician or reviewer asked to assess the tool, can establish four things without reading source code: what the tool does, what published evidence it rests on, exactly which numerical thresholds and decision rules it applies, and how those rules are changed and on whose authority.</w:t>
      </w:r>
    </w:p>
    <w:p>
      <w:pPr>
        <w:spacing w:after="130" w:line="278"/>
      </w:pPr>
      <w:r>
        <w:rPr>
          <w:rFonts w:ascii="Calibri" w:cs="Calibri" w:eastAsia="Calibri" w:hAnsi="Calibri"/>
          <w:color w:val="1B2A3A"/>
          <w:sz w:val="21"/>
          <w:szCs w:val="21"/>
        </w:rPr>
        <w:t xml:space="preserve">Record keeping matters here for a specific reason. Converting a dense one-page algorithm into a tool that returns a single next action involves choices — where a boundary value falls, which criterion is checked first, what happens when a required value is missing — that are invisible to a user of the site but consequential if it is relied on in clinic. This document makes those choices explicit and dated.</w:t>
      </w:r>
    </w:p>
    <w:p>
      <w:pPr>
        <w:pStyle w:val="Heading2"/>
        <w:keepNext/>
        <w:spacing w:after="120" w:before="280"/>
      </w:pPr>
      <w:r>
        <w:rPr>
          <w:rFonts w:ascii="Calibri" w:cs="Calibri" w:eastAsia="Calibri" w:hAnsi="Calibri"/>
          <w:b/>
          <w:bCs/>
          <w:color w:val="0F5C6B"/>
          <w:sz w:val="24"/>
          <w:szCs w:val="24"/>
        </w:rPr>
        <w:t xml:space="preserve">1.2 Scope</w:t>
      </w:r>
    </w:p>
    <w:p>
      <w:pPr>
        <w:spacing w:after="90" w:line="278"/>
      </w:pPr>
      <w:r>
        <w:rPr>
          <w:rFonts w:ascii="Calibri" w:cs="Calibri" w:eastAsia="Calibri" w:hAnsi="Calibri"/>
          <w:color w:val="1B2A3A"/>
          <w:sz w:val="21"/>
          <w:szCs w:val="21"/>
        </w:rPr>
        <w:t xml:space="preserve">The following are within scope:</w:t>
      </w:r>
    </w:p>
    <w:p>
      <w:pPr>
        <w:pStyle w:val="ListParagraph"/>
        <w:numPr>
          <w:ilvl w:val="0"/>
          <w:numId w:val="2"/>
        </w:numPr>
        <w:spacing w:after="75" w:line="270"/>
      </w:pPr>
      <w:r>
        <w:rPr>
          <w:rFonts w:ascii="Calibri" w:cs="Calibri" w:eastAsia="Calibri" w:hAnsi="Calibri"/>
          <w:color w:val="1B2A3A"/>
          <w:sz w:val="21"/>
          <w:szCs w:val="21"/>
        </w:rPr>
        <w:t xml:space="preserve">The purpose, intended users, and deployment of the website.</w:t>
      </w:r>
    </w:p>
    <w:p>
      <w:pPr>
        <w:pStyle w:val="ListParagraph"/>
        <w:numPr>
          <w:ilvl w:val="0"/>
          <w:numId w:val="2"/>
        </w:numPr>
        <w:spacing w:after="75" w:line="270"/>
      </w:pPr>
      <w:r>
        <w:rPr>
          <w:rFonts w:ascii="Calibri" w:cs="Calibri" w:eastAsia="Calibri" w:hAnsi="Calibri"/>
          <w:color w:val="1B2A3A"/>
          <w:sz w:val="21"/>
          <w:szCs w:val="21"/>
        </w:rPr>
        <w:t xml:space="preserve">The published paper whose algorithm the site implements, and the trial evidence cited in that paper as the basis for each drug class.</w:t>
      </w:r>
    </w:p>
    <w:p>
      <w:pPr>
        <w:pStyle w:val="ListParagraph"/>
        <w:numPr>
          <w:ilvl w:val="0"/>
          <w:numId w:val="2"/>
        </w:numPr>
        <w:spacing w:after="75" w:line="270"/>
      </w:pPr>
      <w:r>
        <w:rPr>
          <w:rFonts w:ascii="Calibri" w:cs="Calibri" w:eastAsia="Calibri" w:hAnsi="Calibri"/>
          <w:color w:val="1B2A3A"/>
          <w:sz w:val="21"/>
          <w:szCs w:val="21"/>
        </w:rPr>
        <w:t xml:space="preserve">The complete set of implemented cut-offs, indication criteria, dosing rules, safety stops, and sequencing logic, and the design rationale for the two views the site presents.</w:t>
      </w:r>
    </w:p>
    <w:p>
      <w:pPr>
        <w:pStyle w:val="ListParagraph"/>
        <w:numPr>
          <w:ilvl w:val="0"/>
          <w:numId w:val="2"/>
        </w:numPr>
        <w:spacing w:after="75" w:line="270"/>
      </w:pPr>
      <w:r>
        <w:rPr>
          <w:rFonts w:ascii="Calibri" w:cs="Calibri" w:eastAsia="Calibri" w:hAnsi="Calibri"/>
          <w:color w:val="1B2A3A"/>
          <w:sz w:val="21"/>
          <w:szCs w:val="21"/>
        </w:rPr>
        <w:t xml:space="preserve">Version control, change procedure, and outstanding items requiring clinical confirmation.</w:t>
      </w:r>
    </w:p>
    <w:p>
      <w:pPr>
        <w:pStyle w:val="ListParagraph"/>
        <w:numPr>
          <w:ilvl w:val="0"/>
          <w:numId w:val="2"/>
        </w:numPr>
        <w:spacing w:after="75" w:line="270"/>
      </w:pPr>
      <w:r>
        <w:rPr>
          <w:rFonts w:ascii="Calibri" w:cs="Calibri" w:eastAsia="Calibri" w:hAnsi="Calibri"/>
          <w:color w:val="1B2A3A"/>
          <w:sz w:val="21"/>
          <w:szCs w:val="21"/>
        </w:rPr>
        <w:t xml:space="preserve">The technical stack, repository structure, and build and deployment configuration (Appendix A).</w:t>
      </w:r>
    </w:p>
    <w:p>
      <w:pPr>
        <w:spacing w:after="70"/>
      </w:pPr>
    </w:p>
    <w:p>
      <w:pPr>
        <w:spacing w:after="90" w:line="278"/>
      </w:pPr>
      <w:r>
        <w:rPr>
          <w:rFonts w:ascii="Calibri" w:cs="Calibri" w:eastAsia="Calibri" w:hAnsi="Calibri"/>
          <w:color w:val="1B2A3A"/>
          <w:sz w:val="21"/>
          <w:szCs w:val="21"/>
        </w:rPr>
        <w:t xml:space="preserve">The following are outside scope:</w:t>
      </w:r>
    </w:p>
    <w:p>
      <w:pPr>
        <w:pStyle w:val="ListParagraph"/>
        <w:numPr>
          <w:ilvl w:val="0"/>
          <w:numId w:val="2"/>
        </w:numPr>
        <w:spacing w:after="75" w:line="270"/>
      </w:pPr>
      <w:r>
        <w:rPr>
          <w:rFonts w:ascii="Calibri" w:cs="Calibri" w:eastAsia="Calibri" w:hAnsi="Calibri"/>
          <w:color w:val="1B2A3A"/>
          <w:sz w:val="21"/>
          <w:szCs w:val="21"/>
        </w:rPr>
        <w:t xml:space="preserve">Reproduction of the team’s one-page clinical PDF, which remains a source document in its own right.</w:t>
      </w:r>
    </w:p>
    <w:p>
      <w:pPr>
        <w:pStyle w:val="ListParagraph"/>
        <w:numPr>
          <w:ilvl w:val="0"/>
          <w:numId w:val="2"/>
        </w:numPr>
        <w:spacing w:after="75" w:line="270"/>
      </w:pPr>
      <w:r>
        <w:rPr>
          <w:rFonts w:ascii="Calibri" w:cs="Calibri" w:eastAsia="Calibri" w:hAnsi="Calibri"/>
          <w:color w:val="1B2A3A"/>
          <w:sz w:val="21"/>
          <w:szCs w:val="21"/>
        </w:rPr>
        <w:t xml:space="preserve">Any claim that the implemented sequence has been shown superior to another in a dedicated randomised comparison. No such trial is cited and none is implied.</w:t>
      </w:r>
    </w:p>
    <w:p>
      <w:pPr>
        <w:pStyle w:val="ListParagraph"/>
        <w:numPr>
          <w:ilvl w:val="0"/>
          <w:numId w:val="2"/>
        </w:numPr>
        <w:spacing w:after="75" w:line="270"/>
      </w:pPr>
      <w:r>
        <w:rPr>
          <w:rFonts w:ascii="Calibri" w:cs="Calibri" w:eastAsia="Calibri" w:hAnsi="Calibri"/>
          <w:color w:val="1B2A3A"/>
          <w:sz w:val="21"/>
          <w:szCs w:val="21"/>
        </w:rPr>
        <w:t xml:space="preserve">Patient-level data of any kind. The site holds none, and neither does this record.</w:t>
      </w:r>
    </w:p>
    <w:p>
      <w:pPr>
        <w:pStyle w:val="Heading2"/>
        <w:keepNext/>
        <w:spacing w:after="120" w:before="280"/>
      </w:pPr>
      <w:r>
        <w:rPr>
          <w:rFonts w:ascii="Calibri" w:cs="Calibri" w:eastAsia="Calibri" w:hAnsi="Calibri"/>
          <w:b/>
          <w:bCs/>
          <w:color w:val="0F5C6B"/>
          <w:sz w:val="24"/>
          <w:szCs w:val="24"/>
        </w:rPr>
        <w:t xml:space="preserve">1.3 Intended use, and limits on that use</w:t>
      </w:r>
    </w:p>
    <w:p>
      <w:pPr>
        <w:spacing w:after="130" w:line="278"/>
      </w:pPr>
      <w:r>
        <w:rPr>
          <w:rFonts w:ascii="Calibri" w:cs="Calibri" w:eastAsia="Calibri" w:hAnsi="Calibri"/>
          <w:color w:val="1B2A3A"/>
          <w:sz w:val="21"/>
          <w:szCs w:val="21"/>
        </w:rPr>
        <w:t xml:space="preserve">The website is a visual aid for nephrologists and other clinicians already familiar with guideline-directed medical therapy in chronic kidney disease. Its purpose is to make a pathway the team has already agreed faster to apply at the point of care.</w:t>
      </w: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Limitations stated on the site itself</w:t>
            </w:r>
          </w:p>
          <w:p>
            <w:pPr>
              <w:spacing w:after="90" w:line="270"/>
            </w:pPr>
            <w:r>
              <w:rPr>
                <w:rFonts w:ascii="Calibri" w:cs="Calibri" w:eastAsia="Calibri" w:hAnsi="Calibri"/>
                <w:color w:val="1B2A3A"/>
                <w:sz w:val="20"/>
                <w:szCs w:val="20"/>
              </w:rPr>
              <w:t xml:space="preserve">The site header carries the standing notice: “Visual aid only. Confirm with guidelines and the patient record.”</w:t>
            </w:r>
          </w:p>
          <w:p>
            <w:pPr>
              <w:spacing w:after="90" w:line="270"/>
            </w:pPr>
            <w:r>
              <w:rPr>
                <w:rFonts w:ascii="Calibri" w:cs="Calibri" w:eastAsia="Calibri" w:hAnsi="Calibri"/>
                <w:color w:val="1B2A3A"/>
                <w:sz w:val="20"/>
                <w:szCs w:val="20"/>
              </w:rPr>
              <w:t xml:space="preserve">The tool applies deterministic threshold logic. It contains no risk score, no predictive model, and no machine learning, and it does not weigh any factor the user has not entered.</w:t>
            </w:r>
          </w:p>
          <w:p>
            <w:pPr>
              <w:spacing w:after="0" w:line="270"/>
            </w:pPr>
            <w:r>
              <w:rPr>
                <w:rFonts w:ascii="Calibri" w:cs="Calibri" w:eastAsia="Calibri" w:hAnsi="Calibri"/>
                <w:color w:val="1B2A3A"/>
                <w:sz w:val="20"/>
                <w:szCs w:val="20"/>
              </w:rPr>
              <w:t xml:space="preserve">It cannot see the patient: comorbidity, tolerance, adherence, cost, access, and preference are outside its reasoning entirely. A recommendation is therefore a prompt to consider an action, not an instruction to take it, and responsibility for the decision remains with the treating clinician.</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2. Product description</w:t>
      </w:r>
    </w:p>
    <w:p>
      <w:pPr>
        <w:pStyle w:val="Heading2"/>
        <w:keepNext/>
        <w:spacing w:after="120" w:before="280"/>
      </w:pPr>
      <w:r>
        <w:rPr>
          <w:rFonts w:ascii="Calibri" w:cs="Calibri" w:eastAsia="Calibri" w:hAnsi="Calibri"/>
          <w:b/>
          <w:bCs/>
          <w:color w:val="0F5C6B"/>
          <w:sz w:val="24"/>
          <w:szCs w:val="24"/>
        </w:rPr>
        <w:t xml:space="preserve">2.1 Overview</w:t>
      </w:r>
    </w:p>
    <w:p>
      <w:pPr>
        <w:spacing w:after="130" w:line="278"/>
      </w:pPr>
      <w:r>
        <w:rPr>
          <w:rFonts w:ascii="Calibri" w:cs="Calibri" w:eastAsia="Calibri" w:hAnsi="Calibri"/>
          <w:color w:val="1B2A3A"/>
          <w:sz w:val="21"/>
          <w:szCs w:val="21"/>
        </w:rPr>
        <w:t xml:space="preserve">The Integrate-CKD Algorithm is a single-page web application that presents the project team’s combination-treatment algorithm for chronic kidney disease with type 2 diabetes in a form usable during a clinical encounter. The team’s one-page PDF remains the clinical source, but it is too dense to scan quickly during a consultation; the site is the response to that problem.</w:t>
      </w:r>
    </w:p>
    <w:p>
      <w:pPr>
        <w:spacing w:after="90" w:line="278"/>
      </w:pPr>
      <w:r>
        <w:rPr>
          <w:rFonts w:ascii="Calibri" w:cs="Calibri" w:eastAsia="Calibri" w:hAnsi="Calibri"/>
          <w:color w:val="1B2A3A"/>
          <w:sz w:val="21"/>
          <w:szCs w:val="21"/>
        </w:rPr>
        <w:t xml:space="preserve">The application presents the same clinical content through two views, selected by a tab control in the header:</w:t>
      </w:r>
    </w:p>
    <w:p>
      <w:pPr>
        <w:pStyle w:val="ListParagraph"/>
        <w:numPr>
          <w:ilvl w:val="0"/>
          <w:numId w:val="2"/>
        </w:numPr>
        <w:spacing w:after="75" w:line="270"/>
      </w:pPr>
      <w:r>
        <w:rPr>
          <w:rFonts w:ascii="Calibri" w:cs="Calibri" w:eastAsia="Calibri" w:hAnsi="Calibri"/>
          <w:b/>
          <w:bCs/>
          <w:color w:val="1B2A3A"/>
          <w:sz w:val="21"/>
          <w:szCs w:val="21"/>
        </w:rPr>
        <w:t xml:space="preserve">Chart</w:t>
      </w:r>
      <w:r>
        <w:rPr>
          <w:rFonts w:ascii="Calibri" w:cs="Calibri" w:eastAsia="Calibri" w:hAnsi="Calibri"/>
          <w:color w:val="1B2A3A"/>
          <w:sz w:val="21"/>
          <w:szCs w:val="21"/>
        </w:rPr>
        <w:t xml:space="preserve"> — the algorithm laid out as a scannable page, being the PDF divided into sections with detail collapsed until requested. It displays thresholds; it computes nothing patient-specific.</w:t>
      </w:r>
    </w:p>
    <w:p>
      <w:pPr>
        <w:pStyle w:val="ListParagraph"/>
        <w:numPr>
          <w:ilvl w:val="0"/>
          <w:numId w:val="2"/>
        </w:numPr>
        <w:spacing w:after="75" w:line="270"/>
      </w:pPr>
      <w:r>
        <w:rPr>
          <w:rFonts w:ascii="Calibri" w:cs="Calibri" w:eastAsia="Calibri" w:hAnsi="Calibri"/>
          <w:b/>
          <w:bCs/>
          <w:color w:val="1B2A3A"/>
          <w:sz w:val="21"/>
          <w:szCs w:val="21"/>
        </w:rPr>
        <w:t xml:space="preserve">Interactive</w:t>
      </w:r>
      <w:r>
        <w:rPr>
          <w:rFonts w:ascii="Calibri" w:cs="Calibri" w:eastAsia="Calibri" w:hAnsi="Calibri"/>
          <w:color w:val="1B2A3A"/>
          <w:sz w:val="21"/>
          <w:szCs w:val="21"/>
        </w:rPr>
        <w:t xml:space="preserve"> — a form for current laboratory values and the drug classes already in use, returning a single recommended next action together with the potassium band, active safety flags, and an indication check for each class.</w:t>
      </w:r>
    </w:p>
    <w:p>
      <w:pPr>
        <w:spacing w:after="130" w:line="278"/>
      </w:pPr>
      <w:r>
        <w:rPr>
          <w:rFonts w:ascii="Calibri" w:cs="Calibri" w:eastAsia="Calibri" w:hAnsi="Calibri"/>
          <w:color w:val="1B2A3A"/>
          <w:sz w:val="21"/>
          <w:szCs w:val="21"/>
        </w:rPr>
        <w:t xml:space="preserve">The four guideline-directed medical therapy classes handled throughout are renin–angiotensin system inhibitors (RASi), sodium–glucose cotransporter-2 inhibitors (SGLT2i), the non-steroidal mineralocorticoid receptor antagonist finerenone (ns-MRA), and glucagon-like peptide-1 receptor agonists (GLP-1 RA).</w:t>
      </w:r>
    </w:p>
    <w:p>
      <w:pPr>
        <w:pStyle w:val="Heading2"/>
        <w:keepNext/>
        <w:spacing w:after="120" w:before="280"/>
      </w:pPr>
      <w:r>
        <w:rPr>
          <w:rFonts w:ascii="Calibri" w:cs="Calibri" w:eastAsia="Calibri" w:hAnsi="Calibri"/>
          <w:b/>
          <w:bCs/>
          <w:color w:val="0F5C6B"/>
          <w:sz w:val="24"/>
          <w:szCs w:val="24"/>
        </w:rPr>
        <w:t xml:space="preserve">2.2 Deployment and access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Item</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Location</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Live site</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https://integrate-ckd-algorithm.vercel.app</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Account-specific deployment URL</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https://integrate-ckd-algorithm-parsapnp2.vercel.app</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Source repository</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https://github.com/parsapnp2/Integrate-CKD (public)</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Local preview</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dev → http://localhost:5173/ (also served at http://integrate-ckd-algorithm.localhost:5173/)</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Hosting</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Vercel production deployment, built from the main branch of the repository</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Usage measurement</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Vercel Web Analytics, providing aggregate visit counts on the team dashboard</w:t>
            </w:r>
          </w:p>
        </w:tc>
      </w:tr>
    </w:tbl>
    <w:p>
      <w:pPr>
        <w:spacing w:after="180"/>
      </w:pPr>
    </w:p>
    <w:p>
      <w:pPr>
        <w:spacing w:after="130" w:line="278"/>
      </w:pPr>
      <w:r>
        <w:rPr>
          <w:rFonts w:ascii="Calibri" w:cs="Calibri" w:eastAsia="Calibri" w:hAnsi="Calibri"/>
          <w:color w:val="1B2A3A"/>
          <w:sz w:val="21"/>
          <w:szCs w:val="21"/>
        </w:rPr>
        <w:t xml:space="preserve">The repository is public. The live site is the production deployment of that repository, so a change merged to the main branch reaches clinical users on the next deployment; Section 6.3 sets out the consequence of that for change control.</w:t>
      </w:r>
    </w:p>
    <w:p>
      <w:pPr>
        <w:pStyle w:val="Heading2"/>
        <w:keepNext/>
        <w:spacing w:after="120" w:before="280"/>
      </w:pPr>
      <w:r>
        <w:rPr>
          <w:rFonts w:ascii="Calibri" w:cs="Calibri" w:eastAsia="Calibri" w:hAnsi="Calibri"/>
          <w:b/>
          <w:bCs/>
          <w:color w:val="0F5C6B"/>
          <w:sz w:val="24"/>
          <w:szCs w:val="24"/>
        </w:rPr>
        <w:t xml:space="preserve">2.3 Data handling</w:t>
      </w:r>
    </w:p>
    <w:p>
      <w:pPr>
        <w:spacing w:after="90" w:line="278"/>
      </w:pPr>
      <w:r>
        <w:rPr>
          <w:rFonts w:ascii="Calibri" w:cs="Calibri" w:eastAsia="Calibri" w:hAnsi="Calibri"/>
          <w:color w:val="1B2A3A"/>
          <w:sz w:val="21"/>
          <w:szCs w:val="21"/>
        </w:rPr>
        <w:t xml:space="preserve">The application performs no data collection of clinical significance. The specific position is as follows:</w:t>
      </w:r>
    </w:p>
    <w:p>
      <w:pPr>
        <w:pStyle w:val="ListParagraph"/>
        <w:numPr>
          <w:ilvl w:val="0"/>
          <w:numId w:val="2"/>
        </w:numPr>
        <w:spacing w:after="75" w:line="270"/>
      </w:pPr>
      <w:r>
        <w:rPr>
          <w:rFonts w:ascii="Calibri" w:cs="Calibri" w:eastAsia="Calibri" w:hAnsi="Calibri"/>
          <w:color w:val="1B2A3A"/>
          <w:sz w:val="21"/>
          <w:szCs w:val="21"/>
        </w:rPr>
        <w:t xml:space="preserve">Values entered on the Interactive form remain in the browser. The form is never submitted; each keystroke re-runs the evaluation function locally in the user’s browser.</w:t>
      </w:r>
    </w:p>
    <w:p>
      <w:pPr>
        <w:pStyle w:val="ListParagraph"/>
        <w:numPr>
          <w:ilvl w:val="0"/>
          <w:numId w:val="2"/>
        </w:numPr>
        <w:spacing w:after="75" w:line="270"/>
      </w:pPr>
      <w:r>
        <w:rPr>
          <w:rFonts w:ascii="Calibri" w:cs="Calibri" w:eastAsia="Calibri" w:hAnsi="Calibri"/>
          <w:color w:val="1B2A3A"/>
          <w:sz w:val="21"/>
          <w:szCs w:val="21"/>
        </w:rPr>
        <w:t xml:space="preserve">No laboratory value, patient identifier, or entered field is transmitted to any server, and none is written to browser storage.</w:t>
      </w:r>
    </w:p>
    <w:p>
      <w:pPr>
        <w:pStyle w:val="ListParagraph"/>
        <w:numPr>
          <w:ilvl w:val="0"/>
          <w:numId w:val="2"/>
        </w:numPr>
        <w:spacing w:after="75" w:line="270"/>
      </w:pPr>
      <w:r>
        <w:rPr>
          <w:rFonts w:ascii="Calibri" w:cs="Calibri" w:eastAsia="Calibri" w:hAnsi="Calibri"/>
          <w:color w:val="1B2A3A"/>
          <w:sz w:val="21"/>
          <w:szCs w:val="21"/>
        </w:rPr>
        <w:t xml:space="preserve">Vercel Web Analytics records aggregate page visits. It is not linked to entered values and captures no clinical content.</w:t>
      </w:r>
    </w:p>
    <w:p>
      <w:pPr>
        <w:pStyle w:val="ListParagraph"/>
        <w:numPr>
          <w:ilvl w:val="0"/>
          <w:numId w:val="2"/>
        </w:numPr>
        <w:spacing w:after="75" w:line="270"/>
      </w:pPr>
      <w:r>
        <w:rPr>
          <w:rFonts w:ascii="Calibri" w:cs="Calibri" w:eastAsia="Calibri" w:hAnsi="Calibri"/>
          <w:color w:val="1B2A3A"/>
          <w:sz w:val="21"/>
          <w:szCs w:val="21"/>
        </w:rPr>
        <w:t xml:space="preserve">Environment files are excluded from version control, so no deployment credential is present in the public repository.</w:t>
      </w:r>
    </w:p>
    <w:p>
      <w:pPr>
        <w:spacing w:after="130" w:line="278"/>
      </w:pPr>
      <w:r>
        <w:rPr>
          <w:rFonts w:ascii="Calibri" w:cs="Calibri" w:eastAsia="Calibri" w:hAnsi="Calibri"/>
          <w:color w:val="1B2A3A"/>
          <w:sz w:val="21"/>
          <w:szCs w:val="21"/>
        </w:rPr>
        <w:t xml:space="preserve">Because no patient-identifiable information is processed, transmitted, or retained, the site does not create a record subject to health-information retention requirements. This position should be re-confirmed if any future change introduces server-side storage, an account system, or a save or export feature.</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3. Clinical basis and provenance</w:t>
      </w:r>
    </w:p>
    <w:p>
      <w:pPr>
        <w:pStyle w:val="Heading2"/>
        <w:keepNext/>
        <w:spacing w:after="120" w:before="280"/>
      </w:pPr>
      <w:r>
        <w:rPr>
          <w:rFonts w:ascii="Calibri" w:cs="Calibri" w:eastAsia="Calibri" w:hAnsi="Calibri"/>
          <w:b/>
          <w:bCs/>
          <w:color w:val="0F5C6B"/>
          <w:sz w:val="24"/>
          <w:szCs w:val="24"/>
        </w:rPr>
        <w:t xml:space="preserve">3.1 Source publication</w:t>
      </w:r>
    </w:p>
    <w:p>
      <w:pPr>
        <w:spacing w:after="110" w:line="278"/>
      </w:pPr>
      <w:r>
        <w:rPr>
          <w:rFonts w:ascii="Calibri" w:cs="Calibri" w:eastAsia="Calibri" w:hAnsi="Calibri"/>
          <w:color w:val="1B2A3A"/>
          <w:sz w:val="21"/>
          <w:szCs w:val="21"/>
        </w:rPr>
        <w:t xml:space="preserve">The pathway presented by the site is the practical algorithm proposed in the following paper:</w:t>
      </w: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line="270"/>
            </w:pPr>
            <w:r>
              <w:rPr>
                <w:rFonts w:ascii="Calibri" w:cs="Calibri" w:eastAsia="Calibri" w:hAnsi="Calibri"/>
                <w:color w:val="1B2A3A"/>
                <w:sz w:val="20"/>
                <w:szCs w:val="20"/>
              </w:rPr>
              <w:t xml:space="preserve">Mohsen M, Yi TW, Faruque LI, Ke C, Cafazzo JA, Pham QN, Sridhar VS, Levin A, Abdel-Qadir H, Persson F, Wanner C, Jüni P, Butler J, Marx N, Cherney DZI, Odutayo A. Combination treatment for the management of chronic kidney disease and type 2 diabetes: a review and practical guidance. The Journal of Clinical Endocrinology &amp; Metabolism. Published 11 April 2026.</w:t>
            </w:r>
          </w:p>
          <w:p>
            <w:pPr>
              <w:spacing w:after="0" w:line="270"/>
            </w:pPr>
            <w:r>
              <w:rPr>
                <w:rFonts w:ascii="Calibri" w:cs="Calibri" w:eastAsia="Calibri" w:hAnsi="Calibri"/>
                <w:color w:val="1B2A3A"/>
                <w:sz w:val="20"/>
                <w:szCs w:val="20"/>
              </w:rPr>
              <w:t xml:space="preserve">doi:10.1210/clinem/dgag163 · PMID 41973867</w:t>
            </w:r>
          </w:p>
        </w:tc>
      </w:tr>
    </w:tbl>
    <w:p>
      <w:pPr>
        <w:spacing w:after="180"/>
      </w:pPr>
    </w:p>
    <w:p>
      <w:pPr>
        <w:spacing w:after="130" w:line="278"/>
      </w:pPr>
      <w:r>
        <w:rPr>
          <w:rFonts w:ascii="Calibri" w:cs="Calibri" w:eastAsia="Calibri" w:hAnsi="Calibri"/>
          <w:color w:val="1B2A3A"/>
          <w:sz w:val="21"/>
          <w:szCs w:val="21"/>
        </w:rPr>
        <w:t xml:space="preserve">The site implements the algorithm proposed in that paper as adapted into the project team’s own one-page document. The paper is the published provenance for the approach; the team’s one-page algorithm is the operative clinical specification where the two are capable of differing.</w:t>
      </w:r>
    </w:p>
    <w:p>
      <w:pPr>
        <w:pStyle w:val="Heading2"/>
        <w:keepNext/>
        <w:spacing w:after="120" w:before="280"/>
      </w:pPr>
      <w:r>
        <w:rPr>
          <w:rFonts w:ascii="Calibri" w:cs="Calibri" w:eastAsia="Calibri" w:hAnsi="Calibri"/>
          <w:b/>
          <w:bCs/>
          <w:color w:val="0F5C6B"/>
          <w:sz w:val="24"/>
          <w:szCs w:val="24"/>
        </w:rPr>
        <w:t xml:space="preserve">3.2 Aims of the source paper, and how each is implemented</w:t>
      </w:r>
    </w:p>
    <w:p>
      <w:pPr>
        <w:spacing w:after="130" w:line="278"/>
      </w:pPr>
      <w:r>
        <w:rPr>
          <w:rFonts w:ascii="Calibri" w:cs="Calibri" w:eastAsia="Calibri" w:hAnsi="Calibri"/>
          <w:color w:val="1B2A3A"/>
          <w:sz w:val="21"/>
          <w:szCs w:val="21"/>
        </w:rPr>
        <w:t xml:space="preserve">The paper states three aims. Their implementation on the site is as follows.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580"/>
        <w:gridCol w:w="3560"/>
        <w:gridCol w:w="4500"/>
      </w:tblGrid>
      <w:tr>
        <w:trPr>
          <w:cantSplit/>
          <w:tblHeader/>
        </w:trPr>
        <w:tc>
          <w:tcPr>
            <w:tcW w:type="dxa" w:w="58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t>
            </w:r>
          </w:p>
        </w:tc>
        <w:tc>
          <w:tcPr>
            <w:tcW w:type="dxa" w:w="356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Stated aim of the paper</w:t>
            </w:r>
          </w:p>
        </w:tc>
        <w:tc>
          <w:tcPr>
            <w:tcW w:type="dxa" w:w="45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Implementation on the site</w:t>
            </w:r>
          </w:p>
        </w:tc>
      </w:tr>
      <w:tr>
        <w:trPr>
          <w:cantSplit/>
          <w:tblHeader w:val="false"/>
        </w:trPr>
        <w:tc>
          <w:tcPr>
            <w:tcW w:type="dxa" w:w="58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w:t>
            </w:r>
          </w:p>
        </w:tc>
        <w:tc>
          <w:tcPr>
            <w:tcW w:type="dxa" w:w="356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Summarise the evidence for combination guideline-directed medical therapy in chronic kidney disease with type 2 diabetes.</w:t>
            </w:r>
          </w:p>
        </w:tc>
        <w:tc>
          <w:tcPr>
            <w:tcW w:type="dxa" w:w="4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view presents the four classes together as one pathway rather than as independent options, with guideline indication and clinical-practice threshold shown separately for each class.</w:t>
            </w:r>
          </w:p>
        </w:tc>
      </w:tr>
      <w:tr>
        <w:trPr>
          <w:cantSplit/>
          <w:tblHeader w:val="false"/>
        </w:trPr>
        <w:tc>
          <w:tcPr>
            <w:tcW w:type="dxa" w:w="58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w:t>
            </w:r>
          </w:p>
        </w:tc>
        <w:tc>
          <w:tcPr>
            <w:tcW w:type="dxa" w:w="356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Propose a practical algorithm for accelerated quadruple treatment.</w:t>
            </w:r>
          </w:p>
        </w:tc>
        <w:tc>
          <w:tcPr>
            <w:tcW w:type="dxa" w:w="4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view displays that pathway as a numbered vertical sequence with an explicit potassium check between steps. The Interactive view returns the next action for the values entered.</w:t>
            </w:r>
          </w:p>
        </w:tc>
      </w:tr>
      <w:tr>
        <w:trPr>
          <w:cantSplit/>
          <w:tblHeader w:val="false"/>
        </w:trPr>
        <w:tc>
          <w:tcPr>
            <w:tcW w:type="dxa" w:w="58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3</w:t>
            </w:r>
          </w:p>
        </w:tc>
        <w:tc>
          <w:tcPr>
            <w:tcW w:type="dxa" w:w="356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Describe strategies to increase uptake of combination treatment, rather than leaving patients on RASi alone.</w:t>
            </w:r>
          </w:p>
        </w:tc>
        <w:tc>
          <w:tcPr>
            <w:tcW w:type="dxa" w:w="4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Interactive engine always advances to the next class not yet in use, and continues the pathway rather than halting it when potassium is raised (Section 4.6).</w:t>
            </w:r>
          </w:p>
        </w:tc>
      </w:tr>
    </w:tbl>
    <w:p>
      <w:pPr>
        <w:pStyle w:val="Heading2"/>
        <w:keepNext/>
        <w:spacing w:after="120" w:before="280"/>
      </w:pPr>
      <w:r>
        <w:rPr>
          <w:rFonts w:ascii="Calibri" w:cs="Calibri" w:eastAsia="Calibri" w:hAnsi="Calibri"/>
          <w:b/>
          <w:bCs/>
          <w:color w:val="0F5C6B"/>
          <w:sz w:val="24"/>
          <w:szCs w:val="24"/>
        </w:rPr>
        <w:t xml:space="preserve">3.3 The clinical reasoning the implementation depends on</w:t>
      </w:r>
    </w:p>
    <w:p>
      <w:pPr>
        <w:spacing w:after="130" w:line="278"/>
      </w:pPr>
      <w:r>
        <w:rPr>
          <w:rFonts w:ascii="Calibri" w:cs="Calibri" w:eastAsia="Calibri" w:hAnsi="Calibri"/>
          <w:color w:val="1B2A3A"/>
          <w:sz w:val="21"/>
          <w:szCs w:val="21"/>
        </w:rPr>
        <w:t xml:space="preserve">Four propositions from the paper carry most of the weight of the design, and each is reflected in a specific implemented behaviour.</w:t>
      </w:r>
    </w:p>
    <w:p>
      <w:pPr>
        <w:pStyle w:val="Heading3"/>
        <w:keepNext/>
        <w:spacing w:after="100" w:before="210"/>
      </w:pPr>
      <w:r>
        <w:rPr>
          <w:rFonts w:ascii="Calibri" w:cs="Calibri" w:eastAsia="Calibri" w:hAnsi="Calibri"/>
          <w:b/>
          <w:bCs/>
          <w:color w:val="1B2A3A"/>
          <w:sz w:val="21"/>
          <w:szCs w:val="21"/>
        </w:rPr>
        <w:t xml:space="preserve">Independent mechanisms justify combination</w:t>
      </w:r>
    </w:p>
    <w:p>
      <w:pPr>
        <w:spacing w:after="130" w:line="278"/>
      </w:pPr>
      <w:r>
        <w:rPr>
          <w:rFonts w:ascii="Calibri" w:cs="Calibri" w:eastAsia="Calibri" w:hAnsi="Calibri"/>
          <w:color w:val="1B2A3A"/>
          <w:sz w:val="21"/>
          <w:szCs w:val="21"/>
        </w:rPr>
        <w:t xml:space="preserve">SGLT2 inhibitors, non-steroidal MRAs, and GLP-1 receptor agonists confer early cardiovascular and kidney protection through independent mechanisms and may therefore be combined. Each was evaluated on top of standard care, which in the trials usually included a RASi. This is why the site treats the four classes as additive rather than alternative.</w:t>
      </w:r>
    </w:p>
    <w:p>
      <w:pPr>
        <w:pStyle w:val="Heading3"/>
        <w:keepNext/>
        <w:spacing w:after="100" w:before="210"/>
      </w:pPr>
      <w:r>
        <w:rPr>
          <w:rFonts w:ascii="Calibri" w:cs="Calibri" w:eastAsia="Calibri" w:hAnsi="Calibri"/>
          <w:b/>
          <w:bCs/>
          <w:color w:val="1B2A3A"/>
          <w:sz w:val="21"/>
          <w:szCs w:val="21"/>
        </w:rPr>
        <w:t xml:space="preserve">Stepwise delay is itself a harm</w:t>
      </w:r>
    </w:p>
    <w:p>
      <w:pPr>
        <w:spacing w:after="130" w:line="278"/>
      </w:pPr>
      <w:r>
        <w:rPr>
          <w:rFonts w:ascii="Calibri" w:cs="Calibri" w:eastAsia="Calibri" w:hAnsi="Calibri"/>
          <w:color w:val="1B2A3A"/>
          <w:sz w:val="21"/>
          <w:szCs w:val="21"/>
        </w:rPr>
        <w:t xml:space="preserve">Prolonged stepwise initiation is a recognised source of clinical inertia. The paper proposes accelerated combination treatment so that high-risk patients receive all four classes, drawing the analogy with rapid up-titration of guideline-directed therapy in heart failure (STRONG-HF). The Interactive view accordingly never returns “wait and review”; it names the next class or the reason that class is unavailable.</w:t>
      </w:r>
    </w:p>
    <w:p>
      <w:pPr>
        <w:pStyle w:val="Heading3"/>
        <w:keepNext/>
        <w:spacing w:after="100" w:before="210"/>
      </w:pPr>
      <w:r>
        <w:rPr>
          <w:rFonts w:ascii="Calibri" w:cs="Calibri" w:eastAsia="Calibri" w:hAnsi="Calibri"/>
          <w:b/>
          <w:bCs/>
          <w:color w:val="1B2A3A"/>
          <w:sz w:val="21"/>
          <w:szCs w:val="21"/>
        </w:rPr>
        <w:t xml:space="preserve">Hyperkalaemia constrains two classes, not all four</w:t>
      </w:r>
    </w:p>
    <w:p>
      <w:pPr>
        <w:spacing w:after="130" w:line="278"/>
      </w:pPr>
      <w:r>
        <w:rPr>
          <w:rFonts w:ascii="Calibri" w:cs="Calibri" w:eastAsia="Calibri" w:hAnsi="Calibri"/>
          <w:color w:val="1B2A3A"/>
          <w:sz w:val="21"/>
          <w:szCs w:val="21"/>
        </w:rPr>
        <w:t xml:space="preserve">Hyperkalaemia is the principal constraint on RASi and on ns-MRA. SGLT2 inhibitors reduce the risk of hyperkalaemia. Consistent with the paper, the implementation does not delay SGLT2i for hyperkalaemia alone: at a potassium above 6.0 mmol/L the engine pauses RASi and finerenone, institutes potassium management, and still adds SGLT2i.</w:t>
      </w:r>
    </w:p>
    <w:p>
      <w:pPr>
        <w:pStyle w:val="Heading3"/>
        <w:keepNext/>
        <w:spacing w:after="100" w:before="210"/>
      </w:pPr>
      <w:r>
        <w:rPr>
          <w:rFonts w:ascii="Calibri" w:cs="Calibri" w:eastAsia="Calibri" w:hAnsi="Calibri"/>
          <w:b/>
          <w:bCs/>
          <w:color w:val="1B2A3A"/>
          <w:sz w:val="21"/>
          <w:szCs w:val="21"/>
        </w:rPr>
        <w:t xml:space="preserve">An early eGFR dip is usually haemodynamic</w:t>
      </w:r>
    </w:p>
    <w:p>
      <w:pPr>
        <w:spacing w:after="130" w:line="278"/>
      </w:pPr>
      <w:r>
        <w:rPr>
          <w:rFonts w:ascii="Calibri" w:cs="Calibri" w:eastAsia="Calibri" w:hAnsi="Calibri"/>
          <w:color w:val="1B2A3A"/>
          <w:sz w:val="21"/>
          <w:szCs w:val="21"/>
        </w:rPr>
        <w:t xml:space="preserve">An early decline in eGFR after starting an SGLT2 inhibitor — and, to a lesser degree, a RASi or GLP-1 RA — is typically haemodynamic and is often not a reason to abandon therapy. The site nevertheless holds initiation and titration when the user reports a dip of 30% or more against the last laboratory values, and the Chart records a fall of 40% or more against baseline as a trigger to stop or reduce dose and obtain renal ultrasound.</w:t>
      </w:r>
    </w:p>
    <w:p>
      <w:pPr>
        <w:pStyle w:val="Heading2"/>
        <w:keepNext/>
        <w:spacing w:after="120" w:before="280"/>
      </w:pPr>
      <w:r>
        <w:rPr>
          <w:rFonts w:ascii="Calibri" w:cs="Calibri" w:eastAsia="Calibri" w:hAnsi="Calibri"/>
          <w:b/>
          <w:bCs/>
          <w:color w:val="0F5C6B"/>
          <w:sz w:val="24"/>
          <w:szCs w:val="24"/>
        </w:rPr>
        <w:t xml:space="preserve">3.4 Evidence cited as the basis for each class</w:t>
      </w:r>
    </w:p>
    <w:p>
      <w:pPr>
        <w:spacing w:after="130" w:line="278"/>
      </w:pPr>
      <w:r>
        <w:rPr>
          <w:rFonts w:ascii="Calibri" w:cs="Calibri" w:eastAsia="Calibri" w:hAnsi="Calibri"/>
          <w:color w:val="1B2A3A"/>
          <w:sz w:val="21"/>
          <w:szCs w:val="21"/>
        </w:rPr>
        <w:t xml:space="preserve">The following evidence is cited in the source paper and is the clinical basis on which the site treats each class as established. The site does not itself appraise these trials; it inherits the paper’s appraisal.</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000"/>
        <w:gridCol w:w="4340"/>
        <w:gridCol w:w="2300"/>
      </w:tblGrid>
      <w:tr>
        <w:trPr>
          <w:cantSplit/>
          <w:tblHeader/>
        </w:trPr>
        <w:tc>
          <w:tcPr>
            <w:tcW w:type="dxa" w:w="20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 or question</w:t>
            </w:r>
          </w:p>
        </w:tc>
        <w:tc>
          <w:tcPr>
            <w:tcW w:type="dxa" w:w="43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Evidence cited</w:t>
            </w:r>
          </w:p>
        </w:tc>
        <w:tc>
          <w:tcPr>
            <w:tcW w:type="dxa" w:w="23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Role in the design</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Combination versus conventional care</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Neuen et al., Circulation 2023 — estimated lifetime cardiorenal benefit of SGLT2i plus GLP-1 RA plus ns-MRA on background RASi</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rationale for pursuing all four classes rather than one or two</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 inhibitors</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CREDENCE; DAPA-CKD; EMPA-KIDNEY</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Establishes the class on standard care; supports the eGFR ≥ 20 floor and continuation below it</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FIDELIO-DKD; FIGARO-DKD; FIDELITY</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Establishes the class and is the source of the hyperkalaemia profile governing the potassium bands</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receptor agonists</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FLOW; SUSTAIN-6 and related semaglutide trials</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Establishes the class on kidney outcomes; supports the T2D plus albuminuria criterion</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Combining finerenone with an SGLT2 inhibitor</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CONFIDENCE (Agarwal et al., NEJM 2025) — simultaneous finerenone and empagliflozin on RASi is tolerable</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Supports combination, but see the note below on sequencing</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Hyperkalaemia risk with SGLT2i</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Neuen et al., Circulation 2022 — SGLT2i reduce hyperkalaemia risk</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basis for not delaying SGLT2i for hyperkalaemia alone</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Early eGFR dip</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Kraus et al. (EMPA-REG); Heerspink and Cherney</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basis for treating the dip as haemodynamic while retaining a hold threshold</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Rapid up-titration as a model</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STRONG-HF (heart failure)</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argument against waiting months between classes</w:t>
            </w:r>
          </w:p>
        </w:tc>
      </w:tr>
    </w:tbl>
    <w:p>
      <w:pPr>
        <w:spacing w:after="18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A deliberate departure from the cited evidence</w:t>
            </w:r>
          </w:p>
          <w:p>
            <w:pPr>
              <w:spacing w:after="90" w:line="270"/>
            </w:pPr>
            <w:r>
              <w:rPr>
                <w:rFonts w:ascii="Calibri" w:cs="Calibri" w:eastAsia="Calibri" w:hAnsi="Calibri"/>
                <w:color w:val="1B2A3A"/>
                <w:sz w:val="20"/>
                <w:szCs w:val="20"/>
              </w:rPr>
              <w:t xml:space="preserve">CONFIDENCE supports simultaneous initiation of finerenone and an SGLT2 inhibitor on background RASi. The site nevertheless presents strictly sequential initiation, and the Interactive engine will not start two new classes in a single step.</w:t>
            </w:r>
          </w:p>
          <w:p>
            <w:pPr>
              <w:spacing w:after="0" w:line="270"/>
            </w:pPr>
            <w:r>
              <w:rPr>
                <w:rFonts w:ascii="Calibri" w:cs="Calibri" w:eastAsia="Calibri" w:hAnsi="Calibri"/>
                <w:color w:val="1B2A3A"/>
                <w:sz w:val="20"/>
                <w:szCs w:val="20"/>
              </w:rPr>
              <w:t xml:space="preserve">This is intentional: the site follows the team’s written one-page algorithm, which is sequential, and a sequential presentation keeps the potassium check between steps interpretable — if two classes were started together, a subsequent rise in potassium could not be attributed. The departure is recorded here so that it is understood as a design decision rather than an oversight.</w:t>
            </w:r>
          </w:p>
        </w:tc>
      </w:tr>
    </w:tbl>
    <w:p>
      <w:pPr>
        <w:pStyle w:val="Heading2"/>
        <w:keepNext/>
        <w:spacing w:after="120" w:before="280"/>
      </w:pPr>
      <w:r>
        <w:rPr>
          <w:rFonts w:ascii="Calibri" w:cs="Calibri" w:eastAsia="Calibri" w:hAnsi="Calibri"/>
          <w:b/>
          <w:bCs/>
          <w:color w:val="0F5C6B"/>
          <w:sz w:val="24"/>
          <w:szCs w:val="24"/>
        </w:rPr>
        <w:t xml:space="preserve">3.5 Guideline context</w:t>
      </w:r>
    </w:p>
    <w:p>
      <w:pPr>
        <w:spacing w:after="130" w:line="278"/>
      </w:pPr>
      <w:r>
        <w:rPr>
          <w:rFonts w:ascii="Calibri" w:cs="Calibri" w:eastAsia="Calibri" w:hAnsi="Calibri"/>
          <w:color w:val="1B2A3A"/>
          <w:sz w:val="21"/>
          <w:szCs w:val="21"/>
        </w:rPr>
        <w:t xml:space="preserve">The pathway is positioned against the KDIGO 2024 clinical practice guideline for chronic kidney disease, the American Diabetes Association Standards of Care, and the 2023 European Society of Cardiology guidelines on cardiovascular disease in diabetes. The site distinguishes throughout between what those guidelines indicate and what the team applies in practice — the “Guideline indication” and “Clinical practice” blocks described in Section 5.4 — precisely because the practice thresholds are in places broader than the guideline criteria.</w:t>
      </w:r>
    </w:p>
    <w:p>
      <w:pPr>
        <w:pStyle w:val="Heading2"/>
        <w:keepNext/>
        <w:spacing w:after="120" w:before="280"/>
      </w:pPr>
      <w:r>
        <w:rPr>
          <w:rFonts w:ascii="Calibri" w:cs="Calibri" w:eastAsia="Calibri" w:hAnsi="Calibri"/>
          <w:b/>
          <w:bCs/>
          <w:color w:val="0F5C6B"/>
          <w:sz w:val="24"/>
          <w:szCs w:val="24"/>
        </w:rPr>
        <w:t xml:space="preserve">3.6 Acknowledged uncertainty</w:t>
      </w:r>
    </w:p>
    <w:p>
      <w:pPr>
        <w:spacing w:after="130" w:line="278"/>
      </w:pPr>
      <w:r>
        <w:rPr>
          <w:rFonts w:ascii="Calibri" w:cs="Calibri" w:eastAsia="Calibri" w:hAnsi="Calibri"/>
          <w:color w:val="1B2A3A"/>
          <w:sz w:val="21"/>
          <w:szCs w:val="21"/>
        </w:rPr>
        <w:t xml:space="preserve">The optimal order, timing, and side-effect management of combination therapy remain uncertain in the published literature. Guidelines endorse each class without specifying sequence, timing, or how to proceed when potassium, eGFR, or blood pressure change, and this absence is part of why combination treatment remains uncommon in practice. The site resolves that ambiguity by following the team’s practical algorithm. It does not represent the resulting sequence as evidence-based in preference to another sequence, and this document should not be cited as though it did.</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4. Implemented decision rules</w:t>
      </w:r>
    </w:p>
    <w:p>
      <w:pPr>
        <w:spacing w:after="130" w:line="278"/>
      </w:pPr>
      <w:r>
        <w:rPr>
          <w:rFonts w:ascii="Calibri" w:cs="Calibri" w:eastAsia="Calibri" w:hAnsi="Calibri"/>
          <w:color w:val="1B2A3A"/>
          <w:sz w:val="21"/>
          <w:szCs w:val="21"/>
        </w:rPr>
        <w:t xml:space="preserve">This section is the controlled statement of the algorithm as implemented. Every value below was read from src/data.js and src/logic.js at the commit named in the document control table. Where a boundary value could be read either way, the code behaviour is stated explicitly.</w:t>
      </w:r>
    </w:p>
    <w:p>
      <w:pPr>
        <w:pStyle w:val="Heading2"/>
        <w:keepNext/>
        <w:spacing w:after="120" w:before="280"/>
      </w:pPr>
      <w:r>
        <w:rPr>
          <w:rFonts w:ascii="Calibri" w:cs="Calibri" w:eastAsia="Calibri" w:hAnsi="Calibri"/>
          <w:b/>
          <w:bCs/>
          <w:color w:val="0F5C6B"/>
          <w:sz w:val="24"/>
          <w:szCs w:val="24"/>
        </w:rPr>
        <w:t xml:space="preserve">4.1 Governing principles</w:t>
      </w:r>
    </w:p>
    <w:p>
      <w:pPr>
        <w:pStyle w:val="ListParagraph"/>
        <w:numPr>
          <w:ilvl w:val="0"/>
          <w:numId w:val="2"/>
        </w:numPr>
        <w:spacing w:after="75" w:line="270"/>
      </w:pPr>
      <w:r>
        <w:rPr>
          <w:rFonts w:ascii="Calibri" w:cs="Calibri" w:eastAsia="Calibri" w:hAnsi="Calibri"/>
          <w:color w:val="1B2A3A"/>
          <w:sz w:val="21"/>
          <w:szCs w:val="21"/>
        </w:rPr>
        <w:t xml:space="preserve">The rules are deterministic. Identical inputs always produce an identical output. There is no risk score, no probabilistic model, and no learning component of any kind.</w:t>
      </w:r>
    </w:p>
    <w:p>
      <w:pPr>
        <w:pStyle w:val="ListParagraph"/>
        <w:numPr>
          <w:ilvl w:val="0"/>
          <w:numId w:val="2"/>
        </w:numPr>
        <w:spacing w:after="75" w:line="270"/>
      </w:pPr>
      <w:r>
        <w:rPr>
          <w:rFonts w:ascii="Calibri" w:cs="Calibri" w:eastAsia="Calibri" w:hAnsi="Calibri"/>
          <w:color w:val="1B2A3A"/>
          <w:sz w:val="21"/>
          <w:szCs w:val="21"/>
        </w:rPr>
        <w:t xml:space="preserve">Evaluation is a pure function, evaluatePatient(), executed in the browser. It has no memory of previous evaluations and no access to any external system.</w:t>
      </w:r>
    </w:p>
    <w:p>
      <w:pPr>
        <w:pStyle w:val="ListParagraph"/>
        <w:numPr>
          <w:ilvl w:val="0"/>
          <w:numId w:val="2"/>
        </w:numPr>
        <w:spacing w:after="75" w:line="270"/>
      </w:pPr>
      <w:r>
        <w:rPr>
          <w:rFonts w:ascii="Calibri" w:cs="Calibri" w:eastAsia="Calibri" w:hAnsi="Calibri"/>
          <w:color w:val="1B2A3A"/>
          <w:sz w:val="21"/>
          <w:szCs w:val="21"/>
        </w:rPr>
        <w:t xml:space="preserve">The Chart view displays the same thresholds but performs no patient-specific computation.</w:t>
      </w:r>
    </w:p>
    <w:p>
      <w:pPr>
        <w:pStyle w:val="ListParagraph"/>
        <w:numPr>
          <w:ilvl w:val="0"/>
          <w:numId w:val="2"/>
        </w:numPr>
        <w:spacing w:after="75" w:line="270"/>
      </w:pPr>
      <w:r>
        <w:rPr>
          <w:rFonts w:ascii="Calibri" w:cs="Calibri" w:eastAsia="Calibri" w:hAnsi="Calibri"/>
          <w:color w:val="1B2A3A"/>
          <w:sz w:val="21"/>
          <w:szCs w:val="21"/>
        </w:rPr>
        <w:t xml:space="preserve">Serum potassium is expressed in mmol/L, eGFR in mL/min/1.73 m², systolic blood pressure in mmHg, and HbA1c as a percentage.</w:t>
      </w:r>
    </w:p>
    <w:p>
      <w:pPr>
        <w:pStyle w:val="ListParagraph"/>
        <w:numPr>
          <w:ilvl w:val="0"/>
          <w:numId w:val="2"/>
        </w:numPr>
        <w:spacing w:after="75" w:line="270"/>
      </w:pPr>
      <w:r>
        <w:rPr>
          <w:rFonts w:ascii="Calibri" w:cs="Calibri" w:eastAsia="Calibri" w:hAnsi="Calibri"/>
          <w:b/>
          <w:bCs/>
          <w:color w:val="1B2A3A"/>
          <w:sz w:val="21"/>
          <w:szCs w:val="21"/>
        </w:rPr>
        <w:t xml:space="preserve">Urine albumin-to-creatinine ratio is expressed in mg/mmol throughout</w:t>
      </w:r>
      <w:r>
        <w:rPr>
          <w:rFonts w:ascii="Calibri" w:cs="Calibri" w:eastAsia="Calibri" w:hAnsi="Calibri"/>
          <w:color w:val="1B2A3A"/>
          <w:sz w:val="21"/>
          <w:szCs w:val="21"/>
        </w:rPr>
        <w:t xml:space="preserve">, not mg/g. The Interactive field carries the reminder that 3 mg/mmol is approximately 30 mg/g. Every UACR threshold in this section is therefore in mg/mmol.</w:t>
      </w:r>
    </w:p>
    <w:p>
      <w:pPr>
        <w:pStyle w:val="Heading2"/>
        <w:keepNext/>
        <w:spacing w:after="120" w:before="280"/>
      </w:pPr>
      <w:r>
        <w:rPr>
          <w:rFonts w:ascii="Calibri" w:cs="Calibri" w:eastAsia="Calibri" w:hAnsi="Calibri"/>
          <w:b/>
          <w:bCs/>
          <w:color w:val="0F5C6B"/>
          <w:sz w:val="24"/>
          <w:szCs w:val="24"/>
        </w:rPr>
        <w:t xml:space="preserve">4.2 Serum potassium bands</w:t>
      </w:r>
    </w:p>
    <w:p>
      <w:pPr>
        <w:spacing w:after="130" w:line="278"/>
      </w:pPr>
      <w:r>
        <w:rPr>
          <w:rFonts w:ascii="Calibri" w:cs="Calibri" w:eastAsia="Calibri" w:hAnsi="Calibri"/>
          <w:color w:val="1B2A3A"/>
          <w:sz w:val="21"/>
          <w:szCs w:val="21"/>
        </w:rPr>
        <w:t xml:space="preserve">The potassium band is the organising device of the whole algorithm and is displayed prominently in both views.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300"/>
        <w:gridCol w:w="1700"/>
        <w:gridCol w:w="5640"/>
      </w:tblGrid>
      <w:tr>
        <w:trPr>
          <w:cantSplit/>
          <w:tblHeader/>
        </w:trPr>
        <w:tc>
          <w:tcPr>
            <w:tcW w:type="dxa" w:w="13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Band</w:t>
            </w:r>
          </w:p>
        </w:tc>
        <w:tc>
          <w:tcPr>
            <w:tcW w:type="dxa" w:w="17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Rule as coded</w:t>
            </w:r>
          </w:p>
        </w:tc>
        <w:tc>
          <w:tcPr>
            <w:tcW w:type="dxa" w:w="56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w:t>
            </w:r>
          </w:p>
        </w:tc>
      </w:tr>
      <w:tr>
        <w:trPr>
          <w:cantSplit/>
          <w:tblHeader w:val="false"/>
        </w:trPr>
        <w:tc>
          <w:tcPr>
            <w:tcW w:type="dxa" w:w="1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w:t>
            </w:r>
          </w:p>
        </w:tc>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Initiate and titrate all agents</w:t>
            </w:r>
          </w:p>
        </w:tc>
      </w:tr>
      <w:tr>
        <w:trPr>
          <w:cantSplit/>
          <w:tblHeader w:val="false"/>
        </w:trPr>
        <w:tc>
          <w:tcPr>
            <w:tcW w:type="dxa" w:w="1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w:t>
            </w:r>
          </w:p>
        </w:tc>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5.5</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Same or reduced dose onward</w:t>
            </w:r>
          </w:p>
        </w:tc>
      </w:tr>
      <w:tr>
        <w:trPr>
          <w:cantSplit/>
          <w:tblHeader w:val="false"/>
        </w:trPr>
        <w:tc>
          <w:tcPr>
            <w:tcW w:type="dxa" w:w="1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w:t>
            </w:r>
          </w:p>
        </w:tc>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5.5 &lt; K⁺ ≤ 6.0</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RASi; pause finerenone; standard-dose potassium binder</w:t>
            </w:r>
          </w:p>
        </w:tc>
      </w:tr>
      <w:tr>
        <w:trPr>
          <w:cantSplit/>
          <w:tblHeader w:val="false"/>
        </w:trPr>
        <w:tc>
          <w:tcPr>
            <w:tcW w:type="dxa" w:w="1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w:t>
            </w:r>
          </w:p>
        </w:tc>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and finerenone; high-dose binder for 72 hours; recheck in 1 week</w:t>
            </w:r>
          </w:p>
        </w:tc>
      </w:tr>
    </w:tbl>
    <w:p>
      <w:pPr>
        <w:spacing w:after="170"/>
      </w:pP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pPr>
            <w:r>
              <w:rPr>
                <w:rFonts w:ascii="Calibri" w:cs="Calibri" w:eastAsia="Calibri" w:hAnsi="Calibri"/>
                <w:b/>
                <w:bCs/>
                <w:color w:val="0F5C6B"/>
                <w:sz w:val="20"/>
                <w:szCs w:val="20"/>
              </w:rPr>
              <w:t xml:space="preserve">Boundary values</w:t>
            </w:r>
          </w:p>
          <w:p>
            <w:pPr>
              <w:spacing w:after="0" w:line="270"/>
            </w:pPr>
            <w:r>
              <w:rPr>
                <w:rFonts w:ascii="Calibri" w:cs="Calibri" w:eastAsia="Calibri" w:hAnsi="Calibri"/>
                <w:color w:val="1B2A3A"/>
                <w:sz w:val="20"/>
                <w:szCs w:val="20"/>
              </w:rPr>
              <w:t xml:space="preserve">Each band is closed at its upper bound. A potassium of exactly 4.8 is Proceed; exactly 5.5 is Continue; exactly 6.0 is Reduce. Only a value strictly greater than 6.0 is Pause.</w:t>
            </w:r>
          </w:p>
        </w:tc>
      </w:tr>
    </w:tbl>
    <w:p>
      <w:pPr>
        <w:spacing w:after="160"/>
      </w:pPr>
    </w:p>
    <w:p>
      <w:pPr>
        <w:spacing w:after="130" w:line="278"/>
      </w:pPr>
      <w:r>
        <w:rPr>
          <w:rFonts w:ascii="Calibri" w:cs="Calibri" w:eastAsia="Calibri" w:hAnsi="Calibri"/>
          <w:color w:val="1B2A3A"/>
          <w:sz w:val="21"/>
          <w:szCs w:val="21"/>
        </w:rPr>
        <w:t xml:space="preserve">Supporting potassium management measures recorded on the Chart are the addition of a potassium-wasting diuretic and referral to a dietitian. In the Reduce and Pause bands the Interactive view adds a standing note that the response should be dietitian referral and a potassium binder rather than abandonment of the pathway.</w:t>
      </w:r>
    </w:p>
    <w:p>
      <w:pPr>
        <w:pStyle w:val="Heading2"/>
        <w:keepNext/>
        <w:spacing w:after="120" w:before="280"/>
      </w:pPr>
      <w:r>
        <w:rPr>
          <w:rFonts w:ascii="Calibri" w:cs="Calibri" w:eastAsia="Calibri" w:hAnsi="Calibri"/>
          <w:b/>
          <w:bCs/>
          <w:color w:val="0F5C6B"/>
          <w:sz w:val="24"/>
          <w:szCs w:val="24"/>
        </w:rPr>
        <w:t xml:space="preserve">4.3 Indication criteria</w:t>
      </w:r>
    </w:p>
    <w:p>
      <w:pPr>
        <w:spacing w:after="130" w:line="278"/>
      </w:pPr>
      <w:r>
        <w:rPr>
          <w:rFonts w:ascii="Calibri" w:cs="Calibri" w:eastAsia="Calibri" w:hAnsi="Calibri"/>
          <w:color w:val="1B2A3A"/>
          <w:sz w:val="21"/>
          <w:szCs w:val="21"/>
        </w:rPr>
        <w:t xml:space="preserve">Each class carries two sets of criteria: the guideline indication, and the broader threshold the team applies in clinical practice. Both are displayed on the Chart; the Interactive view reports which of the two, if either, is met.</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700"/>
        <w:gridCol w:w="3470"/>
        <w:gridCol w:w="3470"/>
      </w:tblGrid>
      <w:tr>
        <w:trPr>
          <w:cantSplit/>
          <w:tblHeader/>
        </w:trPr>
        <w:tc>
          <w:tcPr>
            <w:tcW w:type="dxa" w:w="17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w:t>
            </w:r>
          </w:p>
        </w:tc>
        <w:tc>
          <w:tcPr>
            <w:tcW w:type="dxa" w:w="347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Guideline indication</w:t>
            </w:r>
          </w:p>
        </w:tc>
        <w:tc>
          <w:tcPr>
            <w:tcW w:type="dxa" w:w="347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Clinical practice</w:t>
            </w:r>
          </w:p>
        </w:tc>
      </w:tr>
      <w:tr>
        <w:trPr>
          <w:cantSplit/>
          <w:tblHeader w:val="false"/>
        </w:trPr>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Any one of: T2D and eGFR ≥ 20; or eGFR ≥ 20 and UACR ≥ 20; or eGFR ≥ 20 and eGFR ≤ 45 and UACR &lt; 20</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20 and UACR ≥ 3, with or without T2D</w:t>
            </w:r>
          </w:p>
        </w:tc>
      </w:tr>
      <w:tr>
        <w:trPr>
          <w:cantSplit/>
          <w:tblHeader w:val="false"/>
        </w:trPr>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347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25 and UACR ≥ 3</w:t>
            </w:r>
          </w:p>
        </w:tc>
        <w:tc>
          <w:tcPr>
            <w:tcW w:type="dxa" w:w="347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25 and UACR ≥ 3; also stated for non-diabetic CKD and for both type 1 and type 2 diabetes</w:t>
            </w:r>
          </w:p>
        </w:tc>
      </w:tr>
      <w:tr>
        <w:trPr>
          <w:cantSplit/>
          <w:tblHeader w:val="false"/>
        </w:trPr>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and eGFR ≥ 25 and UACR ≥ 3</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and UACR ≥ 3 (no eGFR floor on the practice line)</w:t>
            </w:r>
          </w:p>
        </w:tc>
      </w:tr>
    </w:tbl>
    <w:p>
      <w:pPr>
        <w:spacing w:after="180"/>
      </w:pPr>
    </w:p>
    <w:p>
      <w:pPr>
        <w:spacing w:after="90" w:line="278"/>
      </w:pPr>
      <w:r>
        <w:rPr>
          <w:rFonts w:ascii="Calibri" w:cs="Calibri" w:eastAsia="Calibri" w:hAnsi="Calibri"/>
          <w:color w:val="1B2A3A"/>
          <w:sz w:val="21"/>
          <w:szCs w:val="21"/>
        </w:rPr>
        <w:t xml:space="preserve">Two implementation details govern how these criteria behave when data are incomplete:</w:t>
      </w:r>
    </w:p>
    <w:p>
      <w:pPr>
        <w:pStyle w:val="ListParagraph"/>
        <w:numPr>
          <w:ilvl w:val="0"/>
          <w:numId w:val="2"/>
        </w:numPr>
        <w:spacing w:after="75" w:line="270"/>
      </w:pPr>
      <w:r>
        <w:rPr>
          <w:rFonts w:ascii="Calibri" w:cs="Calibri" w:eastAsia="Calibri" w:hAnsi="Calibri"/>
          <w:color w:val="1B2A3A"/>
          <w:sz w:val="21"/>
          <w:szCs w:val="21"/>
        </w:rPr>
        <w:t xml:space="preserve">A criterion that names UACR requires a UACR value to have been entered. If UACR is left blank, the SGLT2i clinical-practice criterion, both ns-MRA criteria, and both GLP-1 RA criteria evaluate as not met. The SGLT2i guideline indication remains reachable without UACR through the T2D-and-eGFR ≥ 20 limb.</w:t>
      </w:r>
    </w:p>
    <w:p>
      <w:pPr>
        <w:pStyle w:val="ListParagraph"/>
        <w:numPr>
          <w:ilvl w:val="0"/>
          <w:numId w:val="2"/>
        </w:numPr>
        <w:spacing w:after="75" w:line="270"/>
      </w:pPr>
      <w:r>
        <w:rPr>
          <w:rFonts w:ascii="Calibri" w:cs="Calibri" w:eastAsia="Calibri" w:hAnsi="Calibri"/>
          <w:color w:val="1B2A3A"/>
          <w:sz w:val="21"/>
          <w:szCs w:val="21"/>
        </w:rPr>
        <w:t xml:space="preserve">For ns-MRA the guideline and practice criteria are numerically identical, and the engine therefore evaluates a single condition for both. The difference between the two lines on the Chart is one of stated population, not of threshold.</w:t>
      </w:r>
    </w:p>
    <w:p>
      <w:pPr>
        <w:pStyle w:val="ListParagraph"/>
        <w:numPr>
          <w:ilvl w:val="0"/>
          <w:numId w:val="2"/>
        </w:numPr>
        <w:spacing w:after="75" w:line="270"/>
      </w:pPr>
      <w:r>
        <w:rPr>
          <w:rFonts w:ascii="Calibri" w:cs="Calibri" w:eastAsia="Calibri" w:hAnsi="Calibri"/>
          <w:color w:val="1B2A3A"/>
          <w:sz w:val="21"/>
          <w:szCs w:val="21"/>
        </w:rPr>
        <w:t xml:space="preserve">Type 2 diabetes is treated as present by default in the Interactive form and must be actively cleared.</w:t>
      </w:r>
    </w:p>
    <w:p>
      <w:pPr>
        <w:pStyle w:val="Heading2"/>
        <w:keepNext/>
        <w:spacing w:after="120" w:before="280"/>
      </w:pPr>
      <w:r>
        <w:rPr>
          <w:rFonts w:ascii="Calibri" w:cs="Calibri" w:eastAsia="Calibri" w:hAnsi="Calibri"/>
          <w:b/>
          <w:bCs/>
          <w:color w:val="0F5C6B"/>
          <w:sz w:val="24"/>
          <w:szCs w:val="24"/>
        </w:rPr>
        <w:t xml:space="preserve">4.4 Dosing as implemented</w:t>
      </w:r>
    </w:p>
    <w:p>
      <w:pPr>
        <w:pStyle w:val="Heading3"/>
        <w:keepNext/>
        <w:spacing w:after="100" w:before="210"/>
      </w:pPr>
      <w:r>
        <w:rPr>
          <w:rFonts w:ascii="Calibri" w:cs="Calibri" w:eastAsia="Calibri" w:hAnsi="Calibri"/>
          <w:b/>
          <w:bCs/>
          <w:color w:val="1B2A3A"/>
          <w:sz w:val="21"/>
          <w:szCs w:val="21"/>
        </w:rPr>
        <w:t xml:space="preserve">Finerenone starting dose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3200"/>
        <w:gridCol w:w="5440"/>
      </w:tblGrid>
      <w:tr>
        <w:trPr>
          <w:cantSplit/>
          <w:tblHeader/>
        </w:trPr>
        <w:tc>
          <w:tcPr>
            <w:tcW w:type="dxa" w:w="3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eGFR (mL/min/1.73 m²)</w:t>
            </w:r>
          </w:p>
        </w:tc>
        <w:tc>
          <w:tcPr>
            <w:tcW w:type="dxa" w:w="54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Starting dose returned</w:t>
            </w:r>
          </w:p>
        </w:tc>
      </w:tr>
      <w:tr>
        <w:trPr>
          <w:cantSplit/>
          <w:tblHeader w:val="false"/>
        </w:trPr>
        <w:tc>
          <w:tcPr>
            <w:tcW w:type="dxa" w:w="3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Below 25, or not entered</w:t>
            </w:r>
          </w:p>
        </w:tc>
        <w:tc>
          <w:tcPr>
            <w:tcW w:type="dxa" w:w="5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 dose — finerenone not started</w:t>
            </w:r>
          </w:p>
        </w:tc>
      </w:tr>
      <w:tr>
        <w:trPr>
          <w:cantSplit/>
          <w:tblHeader w:val="false"/>
        </w:trPr>
        <w:tc>
          <w:tcPr>
            <w:tcW w:type="dxa" w:w="3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to below 60</w:t>
            </w:r>
          </w:p>
        </w:tc>
        <w:tc>
          <w:tcPr>
            <w:tcW w:type="dxa" w:w="5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 mg daily</w:t>
            </w:r>
          </w:p>
        </w:tc>
      </w:tr>
      <w:tr>
        <w:trPr>
          <w:cantSplit/>
          <w:tblHeader w:val="false"/>
        </w:trPr>
        <w:tc>
          <w:tcPr>
            <w:tcW w:type="dxa" w:w="3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60 or above</w:t>
            </w:r>
          </w:p>
        </w:tc>
        <w:tc>
          <w:tcPr>
            <w:tcW w:type="dxa" w:w="5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20 mg daily</w:t>
            </w:r>
          </w:p>
        </w:tc>
      </w:tr>
    </w:tbl>
    <w:p>
      <w:pPr>
        <w:spacing w:after="180"/>
      </w:pPr>
    </w:p>
    <w:p>
      <w:pPr>
        <w:pStyle w:val="Heading3"/>
        <w:keepNext/>
        <w:spacing w:after="100" w:before="210"/>
      </w:pPr>
      <w:r>
        <w:rPr>
          <w:rFonts w:ascii="Calibri" w:cs="Calibri" w:eastAsia="Calibri" w:hAnsi="Calibri"/>
          <w:b/>
          <w:bCs/>
          <w:color w:val="1B2A3A"/>
          <w:sz w:val="21"/>
          <w:szCs w:val="21"/>
        </w:rPr>
        <w:t xml:space="preserve">Other classes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65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w:t>
            </w:r>
          </w:p>
        </w:tc>
        <w:tc>
          <w:tcPr>
            <w:tcW w:type="dxa" w:w="6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Dose as recorded on the Chart</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at half dose, then titrate upward</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at target dose: empagliflozin 10 mg, dapagliflozin 10 mg, or canagliflozin 100 mg. Continued below eGFR 20 until kidney replacement therapy</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at quarter dose to limit gastrointestinal effects: semaglutide 0.25 mg weekly</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Titration target</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 upward; finerenone toward 20 mg; semaglutide 0.25 → 0.5 → 1 mg weekly</w:t>
            </w:r>
          </w:p>
        </w:tc>
      </w:tr>
    </w:tbl>
    <w:p>
      <w:pPr>
        <w:pStyle w:val="Heading2"/>
        <w:keepNext/>
        <w:spacing w:after="120" w:before="280"/>
      </w:pPr>
      <w:r>
        <w:rPr>
          <w:rFonts w:ascii="Calibri" w:cs="Calibri" w:eastAsia="Calibri" w:hAnsi="Calibri"/>
          <w:b/>
          <w:bCs/>
          <w:color w:val="0F5C6B"/>
          <w:sz w:val="24"/>
          <w:szCs w:val="24"/>
        </w:rPr>
        <w:t xml:space="preserve">4.5 Safety stops</w:t>
      </w:r>
    </w:p>
    <w:p>
      <w:pPr>
        <w:spacing w:after="130" w:line="278"/>
      </w:pPr>
      <w:r>
        <w:rPr>
          <w:rFonts w:ascii="Calibri" w:cs="Calibri" w:eastAsia="Calibri" w:hAnsi="Calibri"/>
          <w:color w:val="1B2A3A"/>
          <w:sz w:val="21"/>
          <w:szCs w:val="21"/>
        </w:rPr>
        <w:t xml:space="preserve">Four safety flags are evaluated on every run of the Interactive engine and displayed whenever true.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750"/>
        <w:gridCol w:w="3050"/>
        <w:gridCol w:w="3840"/>
      </w:tblGrid>
      <w:tr>
        <w:trPr>
          <w:cantSplit/>
          <w:tblHeader/>
        </w:trPr>
        <w:tc>
          <w:tcPr>
            <w:tcW w:type="dxa" w:w="17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Flag</w:t>
            </w:r>
          </w:p>
        </w:tc>
        <w:tc>
          <w:tcPr>
            <w:tcW w:type="dxa" w:w="30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 as coded</w:t>
            </w:r>
          </w:p>
        </w:tc>
        <w:tc>
          <w:tcPr>
            <w:tcW w:type="dxa" w:w="38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Effect</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Hypotension</w:t>
            </w:r>
          </w:p>
        </w:tc>
        <w:tc>
          <w:tcPr>
            <w:tcW w:type="dxa" w:w="3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SBP &lt; 90</w:t>
            </w:r>
          </w:p>
        </w:tc>
        <w:tc>
          <w:tcPr>
            <w:tcW w:type="dxa" w:w="38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initiate or titrate any agent — halts the entire sequence</w:t>
            </w:r>
          </w:p>
        </w:tc>
      </w:tr>
      <w:tr>
        <w:trPr>
          <w:cantSplit/>
          <w:tblHeader w:val="false"/>
        </w:trPr>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dip</w:t>
            </w:r>
          </w:p>
        </w:tc>
        <w:tc>
          <w:tcPr>
            <w:tcW w:type="dxa" w:w="3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User checkbox: dip ≥ 30% versus last labs</w:t>
            </w:r>
          </w:p>
        </w:tc>
        <w:tc>
          <w:tcPr>
            <w:tcW w:type="dxa" w:w="38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initiate or titrate — halts the entire sequence</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Hyperkalaemia</w:t>
            </w:r>
          </w:p>
        </w:tc>
        <w:tc>
          <w:tcPr>
            <w:tcW w:type="dxa" w:w="3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4.8</w:t>
            </w:r>
          </w:p>
        </w:tc>
        <w:tc>
          <w:tcPr>
            <w:tcW w:type="dxa" w:w="38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start or up-titrate RASi or ns-MRA — modifies the next step</w:t>
            </w:r>
          </w:p>
        </w:tc>
      </w:tr>
      <w:tr>
        <w:trPr>
          <w:cantSplit/>
          <w:tblHeader w:val="false"/>
        </w:trPr>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Uncontrolled glycaemia</w:t>
            </w:r>
          </w:p>
        </w:tc>
        <w:tc>
          <w:tcPr>
            <w:tcW w:type="dxa" w:w="3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10% and SGLT2i not already in use</w:t>
            </w:r>
          </w:p>
        </w:tc>
        <w:tc>
          <w:tcPr>
            <w:tcW w:type="dxa" w:w="38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initiate SGLT2i — modifies the next step</w:t>
            </w:r>
          </w:p>
        </w:tc>
      </w:tr>
    </w:tbl>
    <w:p>
      <w:pPr>
        <w:spacing w:after="18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The distinction that matters clinically</w:t>
            </w:r>
          </w:p>
          <w:p>
            <w:pPr>
              <w:spacing w:after="90" w:line="270"/>
            </w:pPr>
            <w:r>
              <w:rPr>
                <w:rFonts w:ascii="Calibri" w:cs="Calibri" w:eastAsia="Calibri" w:hAnsi="Calibri"/>
                <w:color w:val="1B2A3A"/>
                <w:sz w:val="20"/>
                <w:szCs w:val="20"/>
              </w:rPr>
              <w:t xml:space="preserve">Only hypotension and the eGFR-dip checkbox halt the pathway. When either is true the engine skips the sequencing logic entirely and returns “Hold initiation and titration — correct hypotension or the eGFR dip first, then return to the sequence.”</w:t>
            </w:r>
          </w:p>
          <w:p>
            <w:pPr>
              <w:spacing w:after="90" w:line="270"/>
            </w:pPr>
            <w:r>
              <w:rPr>
                <w:rFonts w:ascii="Calibri" w:cs="Calibri" w:eastAsia="Calibri" w:hAnsi="Calibri"/>
                <w:color w:val="1B2A3A"/>
                <w:sz w:val="20"/>
                <w:szCs w:val="20"/>
              </w:rPr>
              <w:t xml:space="preserve">Raised potassium and raised HbA1c do not clear the page. They change which class comes next and at what dose, and the pathway continues. This is the deliberate expression of the principle in Section 3.3: the pathway is managed around these constraints rather than abandoned because of them.</w:t>
            </w:r>
          </w:p>
          <w:p>
            <w:pPr>
              <w:spacing w:after="0" w:line="270"/>
            </w:pPr>
            <w:r>
              <w:rPr>
                <w:rFonts w:ascii="Calibri" w:cs="Calibri" w:eastAsia="Calibri" w:hAnsi="Calibri"/>
                <w:color w:val="1B2A3A"/>
                <w:sz w:val="20"/>
                <w:szCs w:val="20"/>
              </w:rPr>
              <w:t xml:space="preserve">Note also that the eGFR dip is a user-reported checkbox, not a computed comparison. The site holds no previous laboratory values and cannot detect a dip on its own.</w:t>
            </w:r>
          </w:p>
        </w:tc>
      </w:tr>
    </w:tbl>
    <w:p>
      <w:pPr>
        <w:pStyle w:val="Heading2"/>
        <w:keepNext/>
        <w:spacing w:after="120" w:before="280"/>
      </w:pPr>
      <w:r>
        <w:rPr>
          <w:rFonts w:ascii="Calibri" w:cs="Calibri" w:eastAsia="Calibri" w:hAnsi="Calibri"/>
          <w:b/>
          <w:bCs/>
          <w:color w:val="0F5C6B"/>
          <w:sz w:val="24"/>
          <w:szCs w:val="24"/>
        </w:rPr>
        <w:t xml:space="preserve">4.6 Sequential initiation logic</w:t>
      </w:r>
    </w:p>
    <w:p>
      <w:pPr>
        <w:spacing w:after="130" w:line="278"/>
      </w:pPr>
      <w:r>
        <w:rPr>
          <w:rFonts w:ascii="Calibri" w:cs="Calibri" w:eastAsia="Calibri" w:hAnsi="Calibri"/>
          <w:color w:val="1B2A3A"/>
          <w:sz w:val="21"/>
          <w:szCs w:val="21"/>
        </w:rPr>
        <w:t xml:space="preserve">The Interactive engine requires potassium, eGFR, and systolic blood pressure before any next action is returned; until all three are present it displays “Enter labs”. UACR and HbA1c are optional and are used where supplied, affecting indication checks, SGLT2i initiation, and the insulin note.</w:t>
      </w:r>
    </w:p>
    <w:p>
      <w:pPr>
        <w:spacing w:after="140" w:line="278"/>
      </w:pPr>
      <w:r>
        <w:rPr>
          <w:rFonts w:ascii="Calibri" w:cs="Calibri" w:eastAsia="Calibri" w:hAnsi="Calibri"/>
          <w:color w:val="1B2A3A"/>
          <w:sz w:val="21"/>
          <w:szCs w:val="21"/>
        </w:rPr>
        <w:t xml:space="preserve">The “Already started” controls locate the patient on the sequence. The engine walks the four classes in fixed order and stops at the first class not yet in use, as follows.</w:t>
      </w:r>
    </w:p>
    <w:p>
      <w:pPr>
        <w:pStyle w:val="Heading3"/>
        <w:keepNext/>
        <w:spacing w:after="100" w:before="210"/>
      </w:pPr>
      <w:r>
        <w:rPr>
          <w:rFonts w:ascii="Calibri" w:cs="Calibri" w:eastAsia="Calibri" w:hAnsi="Calibri"/>
          <w:b/>
          <w:bCs/>
          <w:color w:val="1B2A3A"/>
          <w:sz w:val="21"/>
          <w:szCs w:val="21"/>
        </w:rPr>
        <w:t xml:space="preserve">Step 1 — RASi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RASi at half dose. Foundation step; recheck K⁺, then add SGLT2i</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 still add SGLT2i. High-dose potassium binder, recheck in 1 week. Do not delay SGLT2i for hyperkalaemia alone</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6.0</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start or up-titrate RASi. Keep or reduce the dose if already in use; SGLT2i may still be started</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2 — RASi in use, SGLT2i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10%</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Defer SGLT2i. Address glycaemia first, then start if eGFR allows</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or practice indication met</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SGLT2i at target dose (empagliflozin 10 mg, dapagliflozin 10 mg, or canagliflozin 100 mg); continue until kidney replacement therapy</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Neither criterion met</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Not indicated on these values — typically because eGFR is below 20. Recheck if the clinical picture changes</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3 — SGLT2i in use, finerenone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Indication not met (requires eGFR ≥ 25 and UACR ≥ 3)</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 not indicated yet. Move to GLP-1 RA if that class is indicated</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 band (K⁺ ≤ 4.8)</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finerenone at the eGFR-based dose (Section 4.4). Recheck K⁺ in 2 to 4 weeks, then add GLP-1 RA</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 or Reduce band (4.8 &lt; K⁺ ≤ 6.0)</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Defer ns-MRA. Continue RASi at the same or reduced dose; recheck before ns-MRA</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band (K⁺ &gt; 6.0)</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and finerenone. High-dose binder for 72 hours, recheck K⁺ in 1 week. Keep SGLT2i</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4 — finerenone in use, GLP-1 RA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indication met (T2D, eGFR ≥ 25, UACR ≥ 3)</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GLP-1 RA at quarter dose — semaglutide 0.25 mg weekly — then titrate all agents as tolerated</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indication not met</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Not indicated on kidney criteria. Continue to titrate the agents already started</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5 — all four classes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 band (K⁺ ≤ 4.8)</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Titrate to maximum tolerated dose. Potassium allows up-titration of RASi and finerenone (toward 20 mg), and semaglutide toward 1 mg weekly</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Any other band (K⁺ &gt; 4.8)</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up-titrate RASi or ns-MRA while potassium is above 4.8. Reassess after potassium management</w:t>
            </w:r>
          </w:p>
        </w:tc>
      </w:tr>
    </w:tbl>
    <w:p>
      <w:pPr>
        <w:spacing w:after="180"/>
      </w:pPr>
    </w:p>
    <w:p>
      <w:pPr>
        <w:spacing w:after="130" w:line="278"/>
      </w:pPr>
      <w:r>
        <w:rPr>
          <w:rFonts w:ascii="Calibri" w:cs="Calibri" w:eastAsia="Calibri" w:hAnsi="Calibri"/>
          <w:color w:val="1B2A3A"/>
          <w:sz w:val="21"/>
          <w:szCs w:val="21"/>
        </w:rPr>
        <w:t xml:space="preserve">If systolic blood pressure is below 90 or the eGFR-dip checkbox is set, all five steps above are skipped and the hold message described in Section 4.5 is returned instead.</w:t>
      </w:r>
    </w:p>
    <w:p>
      <w:pPr>
        <w:pStyle w:val="Heading2"/>
        <w:keepNext/>
        <w:spacing w:after="120" w:before="280"/>
      </w:pPr>
      <w:r>
        <w:rPr>
          <w:rFonts w:ascii="Calibri" w:cs="Calibri" w:eastAsia="Calibri" w:hAnsi="Calibri"/>
          <w:b/>
          <w:bCs/>
          <w:color w:val="0F5C6B"/>
          <w:sz w:val="24"/>
          <w:szCs w:val="24"/>
        </w:rPr>
        <w:t xml:space="preserve">4.7 Conditional notes</w:t>
      </w:r>
    </w:p>
    <w:p>
      <w:pPr>
        <w:spacing w:after="130" w:line="278"/>
      </w:pPr>
      <w:r>
        <w:rPr>
          <w:rFonts w:ascii="Calibri" w:cs="Calibri" w:eastAsia="Calibri" w:hAnsi="Calibri"/>
          <w:color w:val="1B2A3A"/>
          <w:sz w:val="21"/>
          <w:szCs w:val="21"/>
        </w:rPr>
        <w:t xml:space="preserve">Two notes are appended to the result when their conditions are met.</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3400"/>
        <w:gridCol w:w="5240"/>
      </w:tblGrid>
      <w:tr>
        <w:trPr>
          <w:cantSplit/>
          <w:tblHeader/>
        </w:trPr>
        <w:tc>
          <w:tcPr>
            <w:tcW w:type="dxa" w:w="3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52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Note displayed</w:t>
            </w:r>
          </w:p>
        </w:tc>
      </w:tr>
      <w:tr>
        <w:trPr>
          <w:cantSplit/>
          <w:tblHeader w:val="false"/>
        </w:trPr>
        <w:tc>
          <w:tcPr>
            <w:tcW w:type="dxa" w:w="3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On insulin or a secretagogue, HbA1c ≤ 8%, and the next step is SGLT2i or GLP-1 RA</w:t>
            </w:r>
          </w:p>
        </w:tc>
        <w:tc>
          <w:tcPr>
            <w:tcW w:type="dxa" w:w="52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the insulin or secretagogue when adding the new agent</w:t>
            </w:r>
          </w:p>
        </w:tc>
      </w:tr>
      <w:tr>
        <w:trPr>
          <w:cantSplit/>
          <w:tblHeader w:val="false"/>
        </w:trPr>
        <w:tc>
          <w:tcPr>
            <w:tcW w:type="dxa" w:w="3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Potassium in the Reduce or Pause band</w:t>
            </w:r>
          </w:p>
        </w:tc>
        <w:tc>
          <w:tcPr>
            <w:tcW w:type="dxa" w:w="52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Refer to a dietitian and use a potassium binder rather than abandoning the pathway where possible</w:t>
            </w:r>
          </w:p>
        </w:tc>
      </w:tr>
    </w:tbl>
    <w:p>
      <w:pPr>
        <w:pStyle w:val="Heading2"/>
        <w:keepNext/>
        <w:spacing w:after="120" w:before="280"/>
      </w:pPr>
      <w:r>
        <w:rPr>
          <w:rFonts w:ascii="Calibri" w:cs="Calibri" w:eastAsia="Calibri" w:hAnsi="Calibri"/>
          <w:b/>
          <w:bCs/>
          <w:color w:val="0F5C6B"/>
          <w:sz w:val="24"/>
          <w:szCs w:val="24"/>
        </w:rPr>
        <w:t xml:space="preserve">4.8 Clinical considerations shown on the Chart only</w:t>
      </w:r>
    </w:p>
    <w:p>
      <w:pPr>
        <w:spacing w:after="130" w:line="278"/>
      </w:pPr>
      <w:r>
        <w:rPr>
          <w:rFonts w:ascii="Calibri" w:cs="Calibri" w:eastAsia="Calibri" w:hAnsi="Calibri"/>
          <w:color w:val="1B2A3A"/>
          <w:sz w:val="21"/>
          <w:szCs w:val="21"/>
        </w:rPr>
        <w:t xml:space="preserve">The following are displayed as reference cards on the Chart view. They are not computed and do not affect the Interactive output.</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900"/>
        <w:gridCol w:w="6740"/>
      </w:tblGrid>
      <w:tr>
        <w:trPr>
          <w:cantSplit/>
          <w:tblHeader/>
        </w:trPr>
        <w:tc>
          <w:tcPr>
            <w:tcW w:type="dxa" w:w="19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Topic</w:t>
            </w:r>
          </w:p>
        </w:tc>
        <w:tc>
          <w:tcPr>
            <w:tcW w:type="dxa" w:w="67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Guidance as recorded</w:t>
            </w:r>
          </w:p>
        </w:tc>
      </w:tr>
      <w:tr>
        <w:trPr>
          <w:cantSplit/>
          <w:tblHeader w:val="false"/>
        </w:trPr>
        <w:tc>
          <w:tcPr>
            <w:tcW w:type="dxa" w:w="1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dip</w:t>
            </w:r>
          </w:p>
        </w:tc>
        <w:tc>
          <w:tcPr>
            <w:tcW w:type="dxa" w:w="6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Fall ≥ 30% versus last labs: repeat in 2 weeks and hold medicines. Fall ≥ 40% versus baseline: stop or reduce dose and obtain renal ultrasound</w:t>
            </w:r>
          </w:p>
        </w:tc>
      </w:tr>
      <w:tr>
        <w:trPr>
          <w:cantSplit/>
          <w:tblHeader w:val="false"/>
        </w:trPr>
        <w:tc>
          <w:tcPr>
            <w:tcW w:type="dxa" w:w="1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Blood pressure</w:t>
            </w:r>
          </w:p>
        </w:tc>
        <w:tc>
          <w:tcPr>
            <w:tcW w:type="dxa" w:w="67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1 — reduce other antihypertensive agents. Step 2 — consider a decrease in RASi dose</w:t>
            </w:r>
          </w:p>
        </w:tc>
      </w:tr>
      <w:tr>
        <w:trPr>
          <w:cantSplit/>
          <w:tblHeader w:val="false"/>
        </w:trPr>
        <w:tc>
          <w:tcPr>
            <w:tcW w:type="dxa" w:w="1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Hypoglycaemia</w:t>
            </w:r>
          </w:p>
        </w:tc>
        <w:tc>
          <w:tcPr>
            <w:tcW w:type="dxa" w:w="6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8%: no adjustment. HbA1c ≤ 8%: reduce insulin or secretagogue</w:t>
            </w:r>
          </w:p>
        </w:tc>
      </w:tr>
    </w:tbl>
    <w:p>
      <w:pPr>
        <w:spacing w:after="180"/>
      </w:pPr>
    </w:p>
    <w:p>
      <w:pPr>
        <w:spacing w:after="130" w:line="278"/>
      </w:pPr>
      <w:r>
        <w:rPr>
          <w:rFonts w:ascii="Calibri" w:cs="Calibri" w:eastAsia="Calibri" w:hAnsi="Calibri"/>
          <w:color w:val="1B2A3A"/>
          <w:sz w:val="21"/>
          <w:szCs w:val="21"/>
        </w:rPr>
        <w:t xml:space="preserve">Class-specific cautions recorded alongside the steps on the Chart are: for SGLT2i, the expected eGFR dip, genital mycotic infection, sick-day medication guidance, and initiation at HbA1c below 10%; for finerenone, gradual up-titration and repeat potassium testing; and for GLP-1 RA, screening for diabetic retinopathy, endocrinology referral where the patient is on insulin, and avoidance in the presence of pancreatitis or a history of multiple endocrine neoplasia type 2.</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5. Interface design</w:t>
      </w:r>
    </w:p>
    <w:p>
      <w:pPr>
        <w:pStyle w:val="Heading2"/>
        <w:keepNext/>
        <w:spacing w:after="120" w:before="280"/>
      </w:pPr>
      <w:r>
        <w:rPr>
          <w:rFonts w:ascii="Calibri" w:cs="Calibri" w:eastAsia="Calibri" w:hAnsi="Calibri"/>
          <w:b/>
          <w:bCs/>
          <w:color w:val="0F5C6B"/>
          <w:sz w:val="24"/>
          <w:szCs w:val="24"/>
        </w:rPr>
        <w:t xml:space="preserve">5.1 Intended users and design intent</w:t>
      </w:r>
    </w:p>
    <w:p>
      <w:pPr>
        <w:spacing w:after="130" w:line="278"/>
      </w:pPr>
      <w:r>
        <w:rPr>
          <w:rFonts w:ascii="Calibri" w:cs="Calibri" w:eastAsia="Calibri" w:hAnsi="Calibri"/>
          <w:color w:val="1B2A3A"/>
          <w:sz w:val="21"/>
          <w:szCs w:val="21"/>
        </w:rPr>
        <w:t xml:space="preserve">The intended users are nephrologists. The governing design intent is that the first screen shows the full algorithm: the pathway should be legible without scrolling or clicking, with supporting detail collapsed until it is asked for. Compact typography, card grouping, and “Open all” controls all serve that single constraint.</w:t>
      </w:r>
    </w:p>
    <w:p>
      <w:pPr>
        <w:pStyle w:val="Heading2"/>
        <w:keepNext/>
        <w:spacing w:after="120" w:before="280"/>
      </w:pPr>
      <w:r>
        <w:rPr>
          <w:rFonts w:ascii="Calibri" w:cs="Calibri" w:eastAsia="Calibri" w:hAnsi="Calibri"/>
          <w:b/>
          <w:bCs/>
          <w:color w:val="0F5C6B"/>
          <w:sz w:val="24"/>
          <w:szCs w:val="24"/>
        </w:rPr>
        <w:t xml:space="preserve">5.2 Chart view</w:t>
      </w:r>
    </w:p>
    <w:p>
      <w:pPr>
        <w:spacing w:after="90" w:line="278"/>
      </w:pPr>
      <w:r>
        <w:rPr>
          <w:rFonts w:ascii="Calibri" w:cs="Calibri" w:eastAsia="Calibri" w:hAnsi="Calibri"/>
          <w:color w:val="1B2A3A"/>
          <w:sz w:val="21"/>
          <w:szCs w:val="21"/>
        </w:rPr>
        <w:t xml:space="preserve">The Chart is the algorithm as a scannable page — the one-page PDF divided into sections. Its structure is:</w:t>
      </w:r>
    </w:p>
    <w:p>
      <w:pPr>
        <w:pStyle w:val="ListParagraph"/>
        <w:numPr>
          <w:ilvl w:val="0"/>
          <w:numId w:val="2"/>
        </w:numPr>
        <w:spacing w:after="75" w:line="270"/>
      </w:pPr>
      <w:r>
        <w:rPr>
          <w:rFonts w:ascii="Calibri" w:cs="Calibri" w:eastAsia="Calibri" w:hAnsi="Calibri"/>
          <w:color w:val="1B2A3A"/>
          <w:sz w:val="21"/>
          <w:szCs w:val="21"/>
        </w:rPr>
        <w:t xml:space="preserve">Indication cards for SGLT2i, ns-MRA, and GLP-1 RA, each showing the guideline indication and the clinical-practice threshold as separate blocks.</w:t>
      </w:r>
    </w:p>
    <w:p>
      <w:pPr>
        <w:pStyle w:val="ListParagraph"/>
        <w:numPr>
          <w:ilvl w:val="0"/>
          <w:numId w:val="2"/>
        </w:numPr>
        <w:spacing w:after="75" w:line="270"/>
      </w:pPr>
      <w:r>
        <w:rPr>
          <w:rFonts w:ascii="Calibri" w:cs="Calibri" w:eastAsia="Calibri" w:hAnsi="Calibri"/>
          <w:color w:val="1B2A3A"/>
          <w:sz w:val="21"/>
          <w:szCs w:val="21"/>
        </w:rPr>
        <w:t xml:space="preserve">The potassium band scale, as four colour-coded bands.</w:t>
      </w:r>
    </w:p>
    <w:p>
      <w:pPr>
        <w:pStyle w:val="ListParagraph"/>
        <w:numPr>
          <w:ilvl w:val="0"/>
          <w:numId w:val="2"/>
        </w:numPr>
        <w:spacing w:after="75" w:line="270"/>
      </w:pPr>
      <w:r>
        <w:rPr>
          <w:rFonts w:ascii="Calibri" w:cs="Calibri" w:eastAsia="Calibri" w:hAnsi="Calibri"/>
          <w:color w:val="1B2A3A"/>
          <w:sz w:val="21"/>
          <w:szCs w:val="21"/>
        </w:rPr>
        <w:t xml:space="preserve">The sequential pathway, as a numbered vertical flow of five steps with an explicit “Check K⁺” node between steps, mirroring the repeated decision on the PDF.</w:t>
      </w:r>
    </w:p>
    <w:p>
      <w:pPr>
        <w:pStyle w:val="ListParagraph"/>
        <w:numPr>
          <w:ilvl w:val="0"/>
          <w:numId w:val="2"/>
        </w:numPr>
        <w:spacing w:after="75" w:line="270"/>
      </w:pPr>
      <w:r>
        <w:rPr>
          <w:rFonts w:ascii="Calibri" w:cs="Calibri" w:eastAsia="Calibri" w:hAnsi="Calibri"/>
          <w:color w:val="1B2A3A"/>
          <w:sz w:val="21"/>
          <w:szCs w:val="21"/>
        </w:rPr>
        <w:t xml:space="preserve">A red safety bar carrying the four stop rules.</w:t>
      </w:r>
    </w:p>
    <w:p>
      <w:pPr>
        <w:pStyle w:val="ListParagraph"/>
        <w:numPr>
          <w:ilvl w:val="0"/>
          <w:numId w:val="2"/>
        </w:numPr>
        <w:spacing w:after="75" w:line="270"/>
      </w:pPr>
      <w:r>
        <w:rPr>
          <w:rFonts w:ascii="Calibri" w:cs="Calibri" w:eastAsia="Calibri" w:hAnsi="Calibri"/>
          <w:color w:val="1B2A3A"/>
          <w:sz w:val="21"/>
          <w:szCs w:val="21"/>
        </w:rPr>
        <w:t xml:space="preserve">Collapsible clinical-consideration cards for the eGFR dip, blood pressure, and hypoglycaemia.</w:t>
      </w:r>
    </w:p>
    <w:p>
      <w:pPr>
        <w:spacing w:after="130" w:line="278"/>
      </w:pPr>
      <w:r>
        <w:rPr>
          <w:rFonts w:ascii="Calibri" w:cs="Calibri" w:eastAsia="Calibri" w:hAnsi="Calibri"/>
          <w:color w:val="1B2A3A"/>
          <w:sz w:val="21"/>
          <w:szCs w:val="21"/>
        </w:rPr>
        <w:t xml:space="preserve">Opening any one indication card opens all three, and the same behaviour applies to the clinical-consideration cards. This is intentional: the three classes are compared against one another in practice, so revealing them individually would produce a partial comparison.</w:t>
      </w:r>
    </w:p>
    <w:p>
      <w:pPr>
        <w:pStyle w:val="Heading2"/>
        <w:keepNext/>
        <w:spacing w:after="120" w:before="280"/>
      </w:pPr>
      <w:r>
        <w:rPr>
          <w:rFonts w:ascii="Calibri" w:cs="Calibri" w:eastAsia="Calibri" w:hAnsi="Calibri"/>
          <w:b/>
          <w:bCs/>
          <w:color w:val="0F5C6B"/>
          <w:sz w:val="24"/>
          <w:szCs w:val="24"/>
        </w:rPr>
        <w:t xml:space="preserve">5.3 Interactive view</w:t>
      </w:r>
    </w:p>
    <w:p>
      <w:pPr>
        <w:spacing w:after="130" w:line="278"/>
      </w:pPr>
      <w:r>
        <w:rPr>
          <w:rFonts w:ascii="Calibri" w:cs="Calibri" w:eastAsia="Calibri" w:hAnsi="Calibri"/>
          <w:color w:val="1B2A3A"/>
          <w:sz w:val="21"/>
          <w:szCs w:val="21"/>
        </w:rPr>
        <w:t xml:space="preserve">The Interactive view is a form paired with a results panel. The form is never submitted; every change re-runs the evaluation in the browser and the panel updates immediately.</w:t>
      </w:r>
    </w:p>
    <w:p>
      <w:pPr>
        <w:spacing w:after="130" w:line="278"/>
      </w:pPr>
      <w:r>
        <w:rPr>
          <w:rFonts w:ascii="Calibri" w:cs="Calibri" w:eastAsia="Calibri" w:hAnsi="Calibri"/>
          <w:color w:val="1B2A3A"/>
          <w:sz w:val="21"/>
          <w:szCs w:val="21"/>
        </w:rPr>
        <w:t xml:space="preserve">Inputs are potassium, eGFR, UACR, systolic blood pressure, and HbA1c, together with checkboxes for type 2 diabetes (defaulting to present), a reported eGFR dip of 30% or more, current insulin or secretagogue use, and the four “Already started” class controls.</w:t>
      </w:r>
    </w:p>
    <w:p>
      <w:pPr>
        <w:spacing w:after="130" w:line="278"/>
      </w:pPr>
      <w:r>
        <w:rPr>
          <w:rFonts w:ascii="Calibri" w:cs="Calibri" w:eastAsia="Calibri" w:hAnsi="Calibri"/>
          <w:color w:val="1B2A3A"/>
          <w:sz w:val="21"/>
          <w:szCs w:val="21"/>
        </w:rPr>
        <w:t xml:space="preserve">The results panel shows, in order: the potassium band; the single “Do this now” action; any active safety flags; and an indication check for SGLT2i, ns-MRA, and GLP-1 RA reported as guideline, practice only, or not indicated.</w:t>
      </w:r>
    </w:p>
    <w:p>
      <w:pPr>
        <w:spacing w:after="130" w:line="278"/>
      </w:pPr>
      <w:r>
        <w:rPr>
          <w:rFonts w:ascii="Calibri" w:cs="Calibri" w:eastAsia="Calibri" w:hAnsi="Calibri"/>
          <w:color w:val="1B2A3A"/>
          <w:sz w:val="21"/>
          <w:szCs w:val="21"/>
        </w:rPr>
        <w:t xml:space="preserve">The panel deliberately returns one action rather than a list. The purpose of the tool is to resolve the question of what to do next, and offering several candidate actions would return the user to the position the site exists to relieve.</w:t>
      </w:r>
    </w:p>
    <w:p>
      <w:pPr>
        <w:pStyle w:val="Heading2"/>
        <w:keepNext/>
        <w:spacing w:after="120" w:before="280"/>
      </w:pPr>
      <w:r>
        <w:rPr>
          <w:rFonts w:ascii="Calibri" w:cs="Calibri" w:eastAsia="Calibri" w:hAnsi="Calibri"/>
          <w:b/>
          <w:bCs/>
          <w:color w:val="0F5C6B"/>
          <w:sz w:val="24"/>
          <w:szCs w:val="24"/>
        </w:rPr>
        <w:t xml:space="preserve">5.4 Visual conventions</w:t>
      </w:r>
    </w:p>
    <w:p>
      <w:pPr>
        <w:spacing w:after="130" w:line="278"/>
      </w:pPr>
      <w:r>
        <w:rPr>
          <w:rFonts w:ascii="Calibri" w:cs="Calibri" w:eastAsia="Calibri" w:hAnsi="Calibri"/>
          <w:color w:val="1B2A3A"/>
          <w:sz w:val="21"/>
          <w:szCs w:val="21"/>
        </w:rPr>
        <w:t xml:space="preserve">Colour is used as a fixed code rather than decoratively. The class colours are constant across both views so that a class can be recognised without reading its label.</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2100"/>
        <w:gridCol w:w="44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Element</w:t>
            </w:r>
          </w:p>
        </w:tc>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Colour</w:t>
            </w:r>
          </w:p>
        </w:tc>
        <w:tc>
          <w:tcPr>
            <w:tcW w:type="dxa" w:w="44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Applied to</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Slate</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1 and all RASi references</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Teal</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2, the SGLT2i indication card</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Gold</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3, the ns-MRA indication card</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Navy</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4, the GLP-1 RA indication card</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 band</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Green</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 band</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Amber</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5.5</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band</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Orange</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5.5 &lt; K⁺ ≤ 6.0</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band</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Safety stops</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 bar</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four stop rules on the Chart</w:t>
            </w:r>
          </w:p>
        </w:tc>
      </w:tr>
    </w:tbl>
    <w:p>
      <w:pPr>
        <w:spacing w:after="180"/>
      </w:pPr>
    </w:p>
    <w:p>
      <w:pPr>
        <w:spacing w:after="130" w:line="278"/>
      </w:pPr>
      <w:r>
        <w:rPr>
          <w:rFonts w:ascii="Calibri" w:cs="Calibri" w:eastAsia="Calibri" w:hAnsi="Calibri"/>
          <w:color w:val="1B2A3A"/>
          <w:sz w:val="21"/>
          <w:szCs w:val="21"/>
        </w:rPr>
        <w:t xml:space="preserve">The guideline block on each indication card is the coloured block; the clinical-practice content sits in a white block beneath it. Colour tokens are defined centrally in src/theme.js so that a class colour is changed in one place.</w:t>
      </w:r>
    </w:p>
    <w:p>
      <w:pPr>
        <w:pStyle w:val="Heading2"/>
        <w:keepNext/>
        <w:spacing w:after="120" w:before="280"/>
      </w:pPr>
      <w:r>
        <w:rPr>
          <w:rFonts w:ascii="Calibri" w:cs="Calibri" w:eastAsia="Calibri" w:hAnsi="Calibri"/>
          <w:b/>
          <w:bCs/>
          <w:color w:val="0F5C6B"/>
          <w:sz w:val="24"/>
          <w:szCs w:val="24"/>
        </w:rPr>
        <w:t xml:space="preserve">5.5 Units</w:t>
      </w:r>
    </w:p>
    <w:p>
      <w:pPr>
        <w:spacing w:after="130" w:line="278"/>
      </w:pPr>
      <w:r>
        <w:rPr>
          <w:rFonts w:ascii="Calibri" w:cs="Calibri" w:eastAsia="Calibri" w:hAnsi="Calibri"/>
          <w:color w:val="1B2A3A"/>
          <w:sz w:val="21"/>
          <w:szCs w:val="21"/>
        </w:rPr>
        <w:t xml:space="preserve">UACR is expressed in mg/mmol throughout the site, and the Interactive field carries the conversion reminder that 3 mg/mmol is approximately 30 mg/g. This is the single most likely source of user error in the tool: a user entering a value in mg/g would enter a number roughly ten times too large and could cross the UACR ≥ 20 and UACR ≥ 3 thresholds incorrectly. The field label is the only mitigation currently in place, and Section 6.4 records this as an item for review.</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6. Verification and change control</w:t>
      </w:r>
    </w:p>
    <w:p>
      <w:pPr>
        <w:pStyle w:val="Heading2"/>
        <w:keepNext/>
        <w:spacing w:after="120" w:before="280"/>
      </w:pPr>
      <w:r>
        <w:rPr>
          <w:rFonts w:ascii="Calibri" w:cs="Calibri" w:eastAsia="Calibri" w:hAnsi="Calibri"/>
          <w:b/>
          <w:bCs/>
          <w:color w:val="0F5C6B"/>
          <w:sz w:val="24"/>
          <w:szCs w:val="24"/>
        </w:rPr>
        <w:t xml:space="preserve">6.1 Order of precedence</w:t>
      </w:r>
    </w:p>
    <w:p>
      <w:pPr>
        <w:spacing w:after="90" w:line="278"/>
      </w:pPr>
      <w:r>
        <w:rPr>
          <w:rFonts w:ascii="Calibri" w:cs="Calibri" w:eastAsia="Calibri" w:hAnsi="Calibri"/>
          <w:color w:val="1B2A3A"/>
          <w:sz w:val="21"/>
          <w:szCs w:val="21"/>
        </w:rPr>
        <w:t xml:space="preserve">Where two sources disagree, precedence runs as follows:</w:t>
      </w:r>
    </w:p>
    <w:p>
      <w:pPr>
        <w:pStyle w:val="ListParagraph"/>
        <w:numPr>
          <w:ilvl w:val="0"/>
          <w:numId w:val="2"/>
        </w:numPr>
        <w:spacing w:after="75" w:line="270"/>
      </w:pPr>
      <w:r>
        <w:rPr>
          <w:rFonts w:ascii="Calibri" w:cs="Calibri" w:eastAsia="Calibri" w:hAnsi="Calibri"/>
          <w:b/>
          <w:bCs/>
          <w:color w:val="1B2A3A"/>
          <w:sz w:val="21"/>
          <w:szCs w:val="21"/>
        </w:rPr>
        <w:t xml:space="preserve">First — the team’s one-page clinical algorithm and the source paper.</w:t>
      </w:r>
      <w:r>
        <w:rPr>
          <w:rFonts w:ascii="Calibri" w:cs="Calibri" w:eastAsia="Calibri" w:hAnsi="Calibri"/>
          <w:color w:val="1B2A3A"/>
          <w:sz w:val="21"/>
          <w:szCs w:val="21"/>
        </w:rPr>
        <w:t xml:space="preserve"> These are the clinical authority.</w:t>
      </w:r>
    </w:p>
    <w:p>
      <w:pPr>
        <w:pStyle w:val="ListParagraph"/>
        <w:numPr>
          <w:ilvl w:val="0"/>
          <w:numId w:val="2"/>
        </w:numPr>
        <w:spacing w:after="75" w:line="270"/>
      </w:pPr>
      <w:r>
        <w:rPr>
          <w:rFonts w:ascii="Calibri" w:cs="Calibri" w:eastAsia="Calibri" w:hAnsi="Calibri"/>
          <w:b/>
          <w:bCs/>
          <w:color w:val="1B2A3A"/>
          <w:sz w:val="21"/>
          <w:szCs w:val="21"/>
        </w:rPr>
        <w:t xml:space="preserve">Second — src/data.js and src/logic.js.</w:t>
      </w:r>
      <w:r>
        <w:rPr>
          <w:rFonts w:ascii="Calibri" w:cs="Calibri" w:eastAsia="Calibri" w:hAnsi="Calibri"/>
          <w:color w:val="1B2A3A"/>
          <w:sz w:val="21"/>
          <w:szCs w:val="21"/>
        </w:rPr>
        <w:t xml:space="preserve"> These are the authority on what the site actually does today.</w:t>
      </w:r>
    </w:p>
    <w:p>
      <w:pPr>
        <w:pStyle w:val="ListParagraph"/>
        <w:numPr>
          <w:ilvl w:val="0"/>
          <w:numId w:val="2"/>
        </w:numPr>
        <w:spacing w:after="75" w:line="270"/>
      </w:pPr>
      <w:r>
        <w:rPr>
          <w:rFonts w:ascii="Calibri" w:cs="Calibri" w:eastAsia="Calibri" w:hAnsi="Calibri"/>
          <w:b/>
          <w:bCs/>
          <w:color w:val="1B2A3A"/>
          <w:sz w:val="21"/>
          <w:szCs w:val="21"/>
        </w:rPr>
        <w:t xml:space="preserve">Third — this record.</w:t>
      </w:r>
      <w:r>
        <w:rPr>
          <w:rFonts w:ascii="Calibri" w:cs="Calibri" w:eastAsia="Calibri" w:hAnsi="Calibri"/>
          <w:color w:val="1B2A3A"/>
          <w:sz w:val="21"/>
          <w:szCs w:val="21"/>
        </w:rPr>
        <w:t xml:space="preserve"> It describes the code as at the commit named in the document control table.</w:t>
      </w:r>
    </w:p>
    <w:p>
      <w:pPr>
        <w:spacing w:after="130" w:line="278"/>
      </w:pPr>
      <w:r>
        <w:rPr>
          <w:rFonts w:ascii="Calibri" w:cs="Calibri" w:eastAsia="Calibri" w:hAnsi="Calibri"/>
          <w:color w:val="1B2A3A"/>
          <w:sz w:val="21"/>
          <w:szCs w:val="21"/>
        </w:rPr>
        <w:t xml:space="preserve">If a threshold on the site is found to diverge from the clinical source, the clinical source prevails and the code must be corrected, not the other way round. If this record is found to diverge from the code, this record is wrong and must be re-issued.</w:t>
      </w:r>
    </w:p>
    <w:p>
      <w:pPr>
        <w:pStyle w:val="Heading2"/>
        <w:keepNext/>
        <w:spacing w:after="120" w:before="280"/>
      </w:pPr>
      <w:r>
        <w:rPr>
          <w:rFonts w:ascii="Calibri" w:cs="Calibri" w:eastAsia="Calibri" w:hAnsi="Calibri"/>
          <w:b/>
          <w:bCs/>
          <w:color w:val="0F5C6B"/>
          <w:sz w:val="24"/>
          <w:szCs w:val="24"/>
        </w:rPr>
        <w:t xml:space="preserve">6.2 Version history of the software</w:t>
      </w:r>
    </w:p>
    <w:p>
      <w:pPr>
        <w:spacing w:after="130" w:line="278"/>
      </w:pPr>
      <w:r>
        <w:rPr>
          <w:rFonts w:ascii="Calibri" w:cs="Calibri" w:eastAsia="Calibri" w:hAnsi="Calibri"/>
          <w:color w:val="1B2A3A"/>
          <w:sz w:val="21"/>
          <w:szCs w:val="21"/>
        </w:rPr>
        <w:t xml:space="preserve">The repository history to the date of issue is as follows. All commits are on the main branch.</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150"/>
        <w:gridCol w:w="1400"/>
        <w:gridCol w:w="6090"/>
      </w:tblGrid>
      <w:tr>
        <w:trPr>
          <w:cantSplit/>
          <w:tblHeader/>
        </w:trPr>
        <w:tc>
          <w:tcPr>
            <w:tcW w:type="dxa" w:w="11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Commit</w:t>
            </w:r>
          </w:p>
        </w:tc>
        <w:tc>
          <w:tcPr>
            <w:tcW w:type="dxa" w:w="1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Date</w:t>
            </w:r>
          </w:p>
        </w:tc>
        <w:tc>
          <w:tcPr>
            <w:tcW w:type="dxa" w:w="60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Description</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f081a4f</w:t>
            </w:r>
          </w:p>
        </w:tc>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26 Aug 2026</w:t>
            </w:r>
          </w:p>
        </w:tc>
        <w:tc>
          <w:tcPr>
            <w:tcW w:type="dxa" w:w="60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Add Vercel Web Analytics so visitor counts show in the dashboard</w:t>
            </w:r>
          </w:p>
        </w:tc>
      </w:tr>
      <w:tr>
        <w:trPr>
          <w:cantSplit/>
          <w:tblHeader w:val="false"/>
        </w:trPr>
        <w:tc>
          <w:tcPr>
            <w:tcW w:type="dxa" w:w="11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f2fd544</w:t>
            </w:r>
          </w:p>
        </w:tc>
        <w:tc>
          <w:tcPr>
            <w:tcW w:type="dxa" w:w="1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Rename the Chart section to Guideline indication / Clinical practice</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b870a23</w:t>
            </w:r>
          </w:p>
        </w:tc>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Keep Vercel environment files out of the GitHub backup</w:t>
            </w:r>
          </w:p>
        </w:tc>
      </w:tr>
      <w:tr>
        <w:trPr>
          <w:cantSplit/>
          <w:tblHeader w:val="false"/>
        </w:trPr>
        <w:tc>
          <w:tcPr>
            <w:tcW w:type="dxa" w:w="11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4b9b7cf</w:t>
            </w:r>
          </w:p>
        </w:tc>
        <w:tc>
          <w:tcPr>
            <w:tcW w:type="dxa" w:w="1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Align the lockfile name with Integrate-CKD Algorithm</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d826c9d</w:t>
            </w:r>
          </w:p>
        </w:tc>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Publish Integrate-CKD Algorithm as a public web app</w:t>
            </w:r>
          </w:p>
        </w:tc>
      </w:tr>
    </w:tbl>
    <w:p>
      <w:pPr>
        <w:spacing w:after="180"/>
      </w:pPr>
    </w:p>
    <w:p>
      <w:pPr>
        <w:spacing w:after="130" w:line="278"/>
      </w:pPr>
      <w:r>
        <w:rPr>
          <w:rFonts w:ascii="Calibri" w:cs="Calibri" w:eastAsia="Calibri" w:hAnsi="Calibri"/>
          <w:color w:val="1B2A3A"/>
          <w:sz w:val="21"/>
          <w:szCs w:val="21"/>
        </w:rPr>
        <w:t xml:space="preserve">No commit to date has altered a clinical threshold after initial publication. The thresholds recorded in Section 4 are therefore those established at commit d826c9d and unchanged since.</w:t>
      </w:r>
    </w:p>
    <w:p>
      <w:pPr>
        <w:spacing w:after="130" w:line="278"/>
      </w:pPr>
      <w:r>
        <w:rPr>
          <w:rFonts w:ascii="Calibri" w:cs="Calibri" w:eastAsia="Calibri" w:hAnsi="Calibri"/>
          <w:color w:val="1B2A3A"/>
          <w:sz w:val="21"/>
          <w:szCs w:val="21"/>
        </w:rPr>
        <w:t xml:space="preserve">At the time of issue the working tree carried two uncommitted items: a modification to .gitignore, and an untracked .Rhistory file. Neither affects the application. The .Rhistory file should be added to .gitignore rather than committed.</w:t>
      </w:r>
    </w:p>
    <w:p>
      <w:pPr>
        <w:pStyle w:val="Heading2"/>
        <w:keepNext/>
        <w:spacing w:after="120" w:before="280"/>
      </w:pPr>
      <w:r>
        <w:rPr>
          <w:rFonts w:ascii="Calibri" w:cs="Calibri" w:eastAsia="Calibri" w:hAnsi="Calibri"/>
          <w:b/>
          <w:bCs/>
          <w:color w:val="0F5C6B"/>
          <w:sz w:val="24"/>
          <w:szCs w:val="24"/>
        </w:rPr>
        <w:t xml:space="preserve">6.3 Change procedure</w:t>
      </w:r>
    </w:p>
    <w:p>
      <w:pPr>
        <w:spacing w:after="90" w:line="278"/>
      </w:pPr>
      <w:r>
        <w:rPr>
          <w:rFonts w:ascii="Calibri" w:cs="Calibri" w:eastAsia="Calibri" w:hAnsi="Calibri"/>
          <w:color w:val="1B2A3A"/>
          <w:sz w:val="21"/>
          <w:szCs w:val="21"/>
        </w:rPr>
        <w:t xml:space="preserve">Because the live site is the production deployment of the main branch, a change merged to main reaches clinical users at the next deployment without a separate release step. The following procedure applies to any change touching clinical content:</w:t>
      </w:r>
    </w:p>
    <w:p>
      <w:pPr>
        <w:pStyle w:val="ListParagraph"/>
        <w:numPr>
          <w:ilvl w:val="0"/>
          <w:numId w:val="2"/>
        </w:numPr>
        <w:spacing w:after="75" w:line="270"/>
      </w:pPr>
      <w:r>
        <w:rPr>
          <w:rFonts w:ascii="Calibri" w:cs="Calibri" w:eastAsia="Calibri" w:hAnsi="Calibri"/>
          <w:b/>
          <w:bCs/>
          <w:color w:val="1B2A3A"/>
          <w:sz w:val="21"/>
          <w:szCs w:val="21"/>
        </w:rPr>
        <w:t xml:space="preserve">1.</w:t>
      </w:r>
      <w:r>
        <w:rPr>
          <w:rFonts w:ascii="Calibri" w:cs="Calibri" w:eastAsia="Calibri" w:hAnsi="Calibri"/>
          <w:color w:val="1B2A3A"/>
          <w:sz w:val="21"/>
          <w:szCs w:val="21"/>
        </w:rPr>
        <w:t xml:space="preserve">  Confirm the change against the team’s one-page algorithm and, where relevant, the source paper. A change with no basis in either does not proceed.</w:t>
      </w:r>
    </w:p>
    <w:p>
      <w:pPr>
        <w:pStyle w:val="ListParagraph"/>
        <w:numPr>
          <w:ilvl w:val="0"/>
          <w:numId w:val="2"/>
        </w:numPr>
        <w:spacing w:after="75" w:line="270"/>
      </w:pPr>
      <w:r>
        <w:rPr>
          <w:rFonts w:ascii="Calibri" w:cs="Calibri" w:eastAsia="Calibri" w:hAnsi="Calibri"/>
          <w:b/>
          <w:bCs/>
          <w:color w:val="1B2A3A"/>
          <w:sz w:val="21"/>
          <w:szCs w:val="21"/>
        </w:rPr>
        <w:t xml:space="preserve">2.</w:t>
      </w:r>
      <w:r>
        <w:rPr>
          <w:rFonts w:ascii="Calibri" w:cs="Calibri" w:eastAsia="Calibri" w:hAnsi="Calibri"/>
          <w:color w:val="1B2A3A"/>
          <w:sz w:val="21"/>
          <w:szCs w:val="21"/>
        </w:rPr>
        <w:t xml:space="preserve">  Make the change in src/data.js (values and display text) or src/logic.js (decision rules). Thresholds should not be introduced anywhere else in the codebase.</w:t>
      </w:r>
    </w:p>
    <w:p>
      <w:pPr>
        <w:pStyle w:val="ListParagraph"/>
        <w:numPr>
          <w:ilvl w:val="0"/>
          <w:numId w:val="2"/>
        </w:numPr>
        <w:spacing w:after="75" w:line="270"/>
      </w:pPr>
      <w:r>
        <w:rPr>
          <w:rFonts w:ascii="Calibri" w:cs="Calibri" w:eastAsia="Calibri" w:hAnsi="Calibri"/>
          <w:b/>
          <w:bCs/>
          <w:color w:val="1B2A3A"/>
          <w:sz w:val="21"/>
          <w:szCs w:val="21"/>
        </w:rPr>
        <w:t xml:space="preserve">3.</w:t>
      </w:r>
      <w:r>
        <w:rPr>
          <w:rFonts w:ascii="Calibri" w:cs="Calibri" w:eastAsia="Calibri" w:hAnsi="Calibri"/>
          <w:color w:val="1B2A3A"/>
          <w:sz w:val="21"/>
          <w:szCs w:val="21"/>
        </w:rPr>
        <w:t xml:space="preserve">  Check the change in both views at http://localhost:5173 before committing, including at least one case on each side of any boundary value that has moved.</w:t>
      </w:r>
    </w:p>
    <w:p>
      <w:pPr>
        <w:pStyle w:val="ListParagraph"/>
        <w:numPr>
          <w:ilvl w:val="0"/>
          <w:numId w:val="2"/>
        </w:numPr>
        <w:spacing w:after="75" w:line="270"/>
      </w:pPr>
      <w:r>
        <w:rPr>
          <w:rFonts w:ascii="Calibri" w:cs="Calibri" w:eastAsia="Calibri" w:hAnsi="Calibri"/>
          <w:b/>
          <w:bCs/>
          <w:color w:val="1B2A3A"/>
          <w:sz w:val="21"/>
          <w:szCs w:val="21"/>
        </w:rPr>
        <w:t xml:space="preserve">4.</w:t>
      </w:r>
      <w:r>
        <w:rPr>
          <w:rFonts w:ascii="Calibri" w:cs="Calibri" w:eastAsia="Calibri" w:hAnsi="Calibri"/>
          <w:color w:val="1B2A3A"/>
          <w:sz w:val="21"/>
          <w:szCs w:val="21"/>
        </w:rPr>
        <w:t xml:space="preserve">  Commit with a message that names the clinical change, not the file changed.</w:t>
      </w:r>
    </w:p>
    <w:p>
      <w:pPr>
        <w:pStyle w:val="ListParagraph"/>
        <w:numPr>
          <w:ilvl w:val="0"/>
          <w:numId w:val="2"/>
        </w:numPr>
        <w:spacing w:after="75" w:line="270"/>
      </w:pPr>
      <w:r>
        <w:rPr>
          <w:rFonts w:ascii="Calibri" w:cs="Calibri" w:eastAsia="Calibri" w:hAnsi="Calibri"/>
          <w:b/>
          <w:bCs/>
          <w:color w:val="1B2A3A"/>
          <w:sz w:val="21"/>
          <w:szCs w:val="21"/>
        </w:rPr>
        <w:t xml:space="preserve">5.</w:t>
      </w:r>
      <w:r>
        <w:rPr>
          <w:rFonts w:ascii="Calibri" w:cs="Calibri" w:eastAsia="Calibri" w:hAnsi="Calibri"/>
          <w:color w:val="1B2A3A"/>
          <w:sz w:val="21"/>
          <w:szCs w:val="21"/>
        </w:rPr>
        <w:t xml:space="preserve">  Re-issue this record at the next version number, updating Section 4 and the revision history.</w:t>
      </w:r>
    </w:p>
    <w:p>
      <w:pPr>
        <w:spacing w:after="130" w:line="278"/>
      </w:pPr>
      <w:r>
        <w:rPr>
          <w:rFonts w:ascii="Calibri" w:cs="Calibri" w:eastAsia="Calibri" w:hAnsi="Calibri"/>
          <w:color w:val="1B2A3A"/>
          <w:sz w:val="21"/>
          <w:szCs w:val="21"/>
        </w:rPr>
        <w:t xml:space="preserve">The final step is the one most easily skipped and is the reason this record exists. A threshold change that is not recorded here leaves no dated account of what the tool advised, and when.</w:t>
      </w:r>
    </w:p>
    <w:p>
      <w:pPr>
        <w:pStyle w:val="Heading2"/>
        <w:keepNext/>
        <w:spacing w:after="120" w:before="280"/>
      </w:pPr>
      <w:r>
        <w:rPr>
          <w:rFonts w:ascii="Calibri" w:cs="Calibri" w:eastAsia="Calibri" w:hAnsi="Calibri"/>
          <w:b/>
          <w:bCs/>
          <w:color w:val="0F5C6B"/>
          <w:sz w:val="24"/>
          <w:szCs w:val="24"/>
        </w:rPr>
        <w:t xml:space="preserve">6.4 Items for clinical confirmation</w:t>
      </w:r>
    </w:p>
    <w:p>
      <w:pPr>
        <w:spacing w:after="130" w:line="278"/>
      </w:pPr>
      <w:r>
        <w:rPr>
          <w:rFonts w:ascii="Calibri" w:cs="Calibri" w:eastAsia="Calibri" w:hAnsi="Calibri"/>
          <w:color w:val="1B2A3A"/>
          <w:sz w:val="21"/>
          <w:szCs w:val="21"/>
        </w:rPr>
        <w:t xml:space="preserve">The following were identified while verifying this record against the source code. None is an error in itself; each is a point where the code, the Chart text, and the working notes are capable of being read differently, and each should be confirmed by the clinical lead.</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550"/>
        <w:gridCol w:w="3550"/>
        <w:gridCol w:w="3540"/>
      </w:tblGrid>
      <w:tr>
        <w:trPr>
          <w:cantSplit/>
          <w:tblHeader/>
        </w:trPr>
        <w:tc>
          <w:tcPr>
            <w:tcW w:type="dxa" w:w="15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Item</w:t>
            </w:r>
          </w:p>
        </w:tc>
        <w:tc>
          <w:tcPr>
            <w:tcW w:type="dxa" w:w="35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Observation</w:t>
            </w:r>
          </w:p>
        </w:tc>
        <w:tc>
          <w:tcPr>
            <w:tcW w:type="dxa" w:w="3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Why it warrants confirmation</w:t>
            </w:r>
          </w:p>
        </w:tc>
      </w:tr>
      <w:tr>
        <w:trPr>
          <w:cantSplit/>
          <w:tblHeader w:val="false"/>
        </w:trPr>
        <w:tc>
          <w:tcPr>
            <w:tcW w:type="dxa" w:w="1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Chart wording at step 1 versus the engine</w:t>
            </w:r>
          </w:p>
        </w:tc>
        <w:tc>
          <w:tcPr>
            <w:tcW w:type="dxa" w:w="3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records “K⁺ ≤ 6.0 — continue RASi → add SGLT2i”, while the Interactive engine will only start RASi at K⁺ ≤ 4.8 and will not start or up-titrate it between 4.8 and 6.0.</w:t>
            </w:r>
          </w:p>
        </w:tc>
        <w:tc>
          <w:tcPr>
            <w:tcW w:type="dxa" w:w="3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two are reconcilable — the Chart addresses continuing an existing RASi, the engine addresses initiating one — but the distinction is not stated on the Chart and a reader may take the two as inconsistent.</w:t>
            </w:r>
          </w:p>
        </w:tc>
      </w:tr>
      <w:tr>
        <w:trPr>
          <w:cantSplit/>
          <w:tblHeader w:val="false"/>
        </w:trPr>
        <w:tc>
          <w:tcPr>
            <w:tcW w:type="dxa" w:w="1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 note on the Chart</w:t>
            </w:r>
          </w:p>
        </w:tc>
        <w:tc>
          <w:tcPr>
            <w:tcW w:type="dxa" w:w="3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Chart note for finerenone reads “Consider first if eGFR &lt; 25 before SGLT2i”, while the ns-MRA indication requires eGFR ≥ 25.</w:t>
            </w:r>
          </w:p>
        </w:tc>
        <w:tc>
          <w:tcPr>
            <w:tcW w:type="dxa" w:w="3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As written the note appears to point in the opposite direction to the indication threshold. The intended meaning should be confirmed and the wording adjusted.</w:t>
            </w:r>
          </w:p>
        </w:tc>
      </w:tr>
      <w:tr>
        <w:trPr>
          <w:cantSplit/>
          <w:tblHeader w:val="false"/>
        </w:trPr>
        <w:tc>
          <w:tcPr>
            <w:tcW w:type="dxa" w:w="1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guideline and practice lines</w:t>
            </w:r>
          </w:p>
        </w:tc>
        <w:tc>
          <w:tcPr>
            <w:tcW w:type="dxa" w:w="3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Both lines carry the identical numerical criterion, and the engine evaluates one condition for both.</w:t>
            </w:r>
          </w:p>
        </w:tc>
        <w:tc>
          <w:tcPr>
            <w:tcW w:type="dxa" w:w="3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If the practice line is meant to be broader than the guideline line — as it is for SGLT2i and GLP-1 RA — the intended difference has not been expressed in the code.</w:t>
            </w:r>
          </w:p>
        </w:tc>
      </w:tr>
      <w:tr>
        <w:trPr>
          <w:cantSplit/>
          <w:tblHeader w:val="false"/>
        </w:trPr>
        <w:tc>
          <w:tcPr>
            <w:tcW w:type="dxa" w:w="1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 practice criterion</w:t>
            </w:r>
          </w:p>
        </w:tc>
        <w:tc>
          <w:tcPr>
            <w:tcW w:type="dxa" w:w="3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practice criterion without an eGFR floor is computed, but the engine initiates GLP-1 RA only on the guideline criterion.</w:t>
            </w:r>
          </w:p>
        </w:tc>
        <w:tc>
          <w:tcPr>
            <w:tcW w:type="dxa" w:w="3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Confirm whether the practice criterion is intended to permit initiation, or only to inform the indication display.</w:t>
            </w:r>
          </w:p>
        </w:tc>
      </w:tr>
      <w:tr>
        <w:trPr>
          <w:cantSplit/>
          <w:tblHeader w:val="false"/>
        </w:trPr>
        <w:tc>
          <w:tcPr>
            <w:tcW w:type="dxa" w:w="1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UACR units</w:t>
            </w:r>
          </w:p>
        </w:tc>
        <w:tc>
          <w:tcPr>
            <w:tcW w:type="dxa" w:w="3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All thresholds are in mg/mmol; the only safeguard is the field label.</w:t>
            </w:r>
          </w:p>
        </w:tc>
        <w:tc>
          <w:tcPr>
            <w:tcW w:type="dxa" w:w="3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value entered in mg/g would be roughly tenfold too large and would silently cross the UACR thresholds. A unit selector or range check would remove the risk.</w:t>
            </w:r>
          </w:p>
        </w:tc>
      </w:tr>
      <w:tr>
        <w:trPr>
          <w:cantSplit/>
          <w:tblHeader w:val="false"/>
        </w:trPr>
        <w:tc>
          <w:tcPr>
            <w:tcW w:type="dxa" w:w="1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Missing UACR</w:t>
            </w:r>
          </w:p>
        </w:tc>
        <w:tc>
          <w:tcPr>
            <w:tcW w:type="dxa" w:w="3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Where UACR is not entered, three of the four indication criteria evaluate as not met, and the result reads as “not indicated” rather than “not assessable”.</w:t>
            </w:r>
          </w:p>
        </w:tc>
        <w:tc>
          <w:tcPr>
            <w:tcW w:type="dxa" w:w="3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clinician may read an absent value as a negative finding. Distinguishing the two states in the display would prevent that reading.</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Appendix A — Technical specification</w:t>
      </w:r>
    </w:p>
    <w:p>
      <w:pPr>
        <w:pStyle w:val="Heading2"/>
        <w:keepNext/>
        <w:spacing w:after="120" w:before="280"/>
      </w:pPr>
      <w:r>
        <w:rPr>
          <w:rFonts w:ascii="Calibri" w:cs="Calibri" w:eastAsia="Calibri" w:hAnsi="Calibri"/>
          <w:b/>
          <w:bCs/>
          <w:color w:val="0F5C6B"/>
          <w:sz w:val="24"/>
          <w:szCs w:val="24"/>
        </w:rPr>
        <w:t xml:space="preserve">A.1 Stack and dependencies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1500"/>
        <w:gridCol w:w="50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Component</w:t>
            </w:r>
          </w:p>
        </w:tc>
        <w:tc>
          <w:tcPr>
            <w:tcW w:type="dxa" w:w="15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Version</w:t>
            </w:r>
          </w:p>
        </w:tc>
        <w:tc>
          <w:tcPr>
            <w:tcW w:type="dxa" w:w="50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Role</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w:t>
            </w:r>
          </w:p>
        </w:tc>
        <w:tc>
          <w:tcPr>
            <w:tcW w:type="dxa" w:w="1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19.1.1</w:t>
            </w:r>
          </w:p>
        </w:tc>
        <w:tc>
          <w:tcPr>
            <w:tcW w:type="dxa" w:w="5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User interface library</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 DOM</w:t>
            </w:r>
          </w:p>
        </w:tc>
        <w:tc>
          <w:tcPr>
            <w:tcW w:type="dxa" w:w="1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19.1.1</w:t>
            </w:r>
          </w:p>
        </w:tc>
        <w:tc>
          <w:tcPr>
            <w:tcW w:type="dxa" w:w="5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DOM renderer</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Vite</w:t>
            </w:r>
          </w:p>
        </w:tc>
        <w:tc>
          <w:tcPr>
            <w:tcW w:type="dxa" w:w="1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7.1.3</w:t>
            </w:r>
          </w:p>
        </w:tc>
        <w:tc>
          <w:tcPr>
            <w:tcW w:type="dxa" w:w="5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Build tool and development server</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Tailwind CSS</w:t>
            </w:r>
          </w:p>
        </w:tc>
        <w:tc>
          <w:tcPr>
            <w:tcW w:type="dxa" w:w="1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4.1.12</w:t>
            </w:r>
          </w:p>
        </w:tc>
        <w:tc>
          <w:tcPr>
            <w:tcW w:type="dxa" w:w="5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Styling, via the @tailwindcss/vite plugin</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@vitejs/plugin-react</w:t>
            </w:r>
          </w:p>
        </w:tc>
        <w:tc>
          <w:tcPr>
            <w:tcW w:type="dxa" w:w="1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5.0.2</w:t>
            </w:r>
          </w:p>
        </w:tc>
        <w:tc>
          <w:tcPr>
            <w:tcW w:type="dxa" w:w="5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 support within Vite</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@vercel/analytics</w:t>
            </w:r>
          </w:p>
        </w:tc>
        <w:tc>
          <w:tcPr>
            <w:tcW w:type="dxa" w:w="1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2.0.1</w:t>
            </w:r>
          </w:p>
        </w:tc>
        <w:tc>
          <w:tcPr>
            <w:tcW w:type="dxa" w:w="5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Aggregate visit counting</w:t>
            </w:r>
          </w:p>
        </w:tc>
      </w:tr>
    </w:tbl>
    <w:p>
      <w:pPr>
        <w:spacing w:after="170"/>
      </w:pPr>
    </w:p>
    <w:p>
      <w:pPr>
        <w:spacing w:after="130" w:line="278"/>
      </w:pPr>
      <w:r>
        <w:rPr>
          <w:rFonts w:ascii="Calibri" w:cs="Calibri" w:eastAsia="Calibri" w:hAnsi="Calibri"/>
          <w:color w:val="1B2A3A"/>
          <w:sz w:val="21"/>
          <w:szCs w:val="21"/>
        </w:rPr>
        <w:t xml:space="preserve">The application has three runtime dependencies and four development dependencies. It uses no state management library, no router, no charting library, and no component framework. The dependency surface is deliberately small: this is a static single-page application with no server component, and every additional dependency would be a maintenance obligation without a corresponding benefit.</w:t>
      </w:r>
    </w:p>
    <w:p>
      <w:pPr>
        <w:spacing w:after="130" w:line="278"/>
      </w:pPr>
      <w:r>
        <w:rPr>
          <w:rFonts w:ascii="Calibri" w:cs="Calibri" w:eastAsia="Calibri" w:hAnsi="Calibri"/>
          <w:color w:val="1B2A3A"/>
          <w:sz w:val="21"/>
          <w:szCs w:val="21"/>
        </w:rPr>
        <w:t xml:space="preserve">Typography is DM Sans for the interface and Source Serif 4 for headings, loaded from Google Fonts.</w:t>
      </w:r>
    </w:p>
    <w:p>
      <w:pPr>
        <w:pStyle w:val="Heading2"/>
        <w:keepNext/>
        <w:spacing w:after="120" w:before="280"/>
      </w:pPr>
      <w:r>
        <w:rPr>
          <w:rFonts w:ascii="Calibri" w:cs="Calibri" w:eastAsia="Calibri" w:hAnsi="Calibri"/>
          <w:b/>
          <w:bCs/>
          <w:color w:val="0F5C6B"/>
          <w:sz w:val="24"/>
          <w:szCs w:val="24"/>
        </w:rPr>
        <w:t xml:space="preserve">A.2 Repository structure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200"/>
        <w:gridCol w:w="900"/>
        <w:gridCol w:w="5540"/>
      </w:tblGrid>
      <w:tr>
        <w:trPr>
          <w:cantSplit/>
          <w:tblHeader/>
        </w:trPr>
        <w:tc>
          <w:tcPr>
            <w:tcW w:type="dxa" w:w="2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File</w:t>
            </w:r>
          </w:p>
        </w:tc>
        <w:tc>
          <w:tcPr>
            <w:tcW w:type="dxa" w:w="9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Lines</w:t>
            </w:r>
          </w:p>
        </w:tc>
        <w:tc>
          <w:tcPr>
            <w:tcW w:type="dxa" w:w="5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Responsibility</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src/data.js</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197</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All clinical content as data: potassium bands, indication criteria, the five pathway steps with doses and checks, stop rules, clinical-consideration cards, potassium-management measures</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src/logic.js</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187</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decision engine: parseNum(), kBandFromValue(), finerenoneDose(), and evaluatePatient()</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src/ChartView.jsx</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350</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view</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src/InteractiveView.jsx</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259</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Interactive form and results panel</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src/App.jsx</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53</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Application shell, tab control, header and disclaimer, analytics mount</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src/theme.js</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59</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Colour tokens for the four classes and the four potassium bands</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src/index.css</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42</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Tailwind entry point and custom colour definitions</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src/main.jsx</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 entry point</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index.html</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Document shell, metadata, font loading</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vite.config.js</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Build configuration and development server host settings</w:t>
            </w:r>
          </w:p>
        </w:tc>
      </w:tr>
    </w:tbl>
    <w:p>
      <w:pPr>
        <w:spacing w:after="170"/>
      </w:pPr>
    </w:p>
    <w:p>
      <w:pPr>
        <w:spacing w:after="130" w:line="278"/>
      </w:pPr>
      <w:r>
        <w:rPr>
          <w:rFonts w:ascii="Calibri" w:cs="Calibri" w:eastAsia="Calibri" w:hAnsi="Calibri"/>
          <w:color w:val="1B2A3A"/>
          <w:sz w:val="21"/>
          <w:szCs w:val="21"/>
        </w:rPr>
        <w:t xml:space="preserve">The application is approximately 1,150 lines of source in total. The separation that matters is between src/data.js and src/logic.js on one side and the two view files on the other: no clinical threshold appears in a view file, so a clinical change never requires an interface change.</w:t>
      </w:r>
    </w:p>
    <w:p>
      <w:pPr>
        <w:pStyle w:val="Heading2"/>
        <w:keepNext/>
        <w:spacing w:after="120" w:before="280"/>
      </w:pPr>
      <w:r>
        <w:rPr>
          <w:rFonts w:ascii="Calibri" w:cs="Calibri" w:eastAsia="Calibri" w:hAnsi="Calibri"/>
          <w:b/>
          <w:bCs/>
          <w:color w:val="0F5C6B"/>
          <w:sz w:val="24"/>
          <w:szCs w:val="24"/>
        </w:rPr>
        <w:t xml:space="preserve">A.3 Build and local preview</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65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Command</w:t>
            </w:r>
          </w:p>
        </w:tc>
        <w:tc>
          <w:tcPr>
            <w:tcW w:type="dxa" w:w="6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Effect</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install</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Install dependencies</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dev</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Development server at http://localhost:5173 (host 127.0.0.1, strict port). Also served at http://integrate-ckd-algorithm.localhost:5173</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build</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Production build to dist/</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preview</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Serve the production build locally</w:t>
            </w:r>
          </w:p>
        </w:tc>
      </w:tr>
    </w:tbl>
    <w:p>
      <w:pPr>
        <w:pStyle w:val="Heading2"/>
        <w:keepNext/>
        <w:spacing w:after="120" w:before="280"/>
      </w:pPr>
      <w:r>
        <w:rPr>
          <w:rFonts w:ascii="Calibri" w:cs="Calibri" w:eastAsia="Calibri" w:hAnsi="Calibri"/>
          <w:b/>
          <w:bCs/>
          <w:color w:val="0F5C6B"/>
          <w:sz w:val="24"/>
          <w:szCs w:val="24"/>
        </w:rPr>
        <w:t xml:space="preserve">A.4 Deployment</w:t>
      </w:r>
    </w:p>
    <w:p>
      <w:pPr>
        <w:spacing w:after="130" w:line="278"/>
      </w:pPr>
      <w:r>
        <w:rPr>
          <w:rFonts w:ascii="Calibri" w:cs="Calibri" w:eastAsia="Calibri" w:hAnsi="Calibri"/>
          <w:color w:val="1B2A3A"/>
          <w:sz w:val="21"/>
          <w:szCs w:val="21"/>
        </w:rPr>
        <w:t xml:space="preserve">Deployment is to Vercel from the main branch of the GitHub repository. Local Vercel configuration is held in .vercel/ and environment values in .env.local, both excluded from version control along with node_modules, dist, build logs, and the internal working-notes file.</w:t>
      </w:r>
    </w:p>
    <w:p>
      <w:pPr>
        <w:pStyle w:val="Heading2"/>
        <w:keepNext/>
        <w:spacing w:after="120" w:before="280"/>
      </w:pPr>
      <w:r>
        <w:rPr>
          <w:rFonts w:ascii="Calibri" w:cs="Calibri" w:eastAsia="Calibri" w:hAnsi="Calibri"/>
          <w:b/>
          <w:bCs/>
          <w:color w:val="0F5C6B"/>
          <w:sz w:val="24"/>
          <w:szCs w:val="24"/>
        </w:rPr>
        <w:t xml:space="preserve">A.5 Where to change a value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3000"/>
        <w:gridCol w:w="5640"/>
      </w:tblGrid>
      <w:tr>
        <w:trPr>
          <w:cantSplit/>
          <w:tblHeader/>
        </w:trPr>
        <w:tc>
          <w:tcPr>
            <w:tcW w:type="dxa" w:w="30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To change…</w:t>
            </w:r>
          </w:p>
        </w:tc>
        <w:tc>
          <w:tcPr>
            <w:tcW w:type="dxa" w:w="56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Edit…</w:t>
            </w:r>
          </w:p>
        </w:tc>
      </w:tr>
      <w:tr>
        <w:trPr>
          <w:cantSplit/>
          <w:tblHeader w:val="false"/>
        </w:trPr>
        <w:tc>
          <w:tcPr>
            <w:tcW w:type="dxa" w:w="3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potassium band boundary</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kBands in src/data.js for the displayed range, and kBandFromValue() in src/logic.js for the comparison. Both must be changed together</w:t>
            </w:r>
          </w:p>
        </w:tc>
      </w:tr>
      <w:tr>
        <w:trPr>
          <w:cantSplit/>
          <w:tblHeader w:val="false"/>
        </w:trPr>
        <w:tc>
          <w:tcPr>
            <w:tcW w:type="dxa" w:w="3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 indication criterion</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indications in src/data.js for the displayed text, and the corresponding condition in evaluatePatient() in src/logic.js</w:t>
            </w:r>
          </w:p>
        </w:tc>
      </w:tr>
      <w:tr>
        <w:trPr>
          <w:cantSplit/>
          <w:tblHeader w:val="false"/>
        </w:trPr>
        <w:tc>
          <w:tcPr>
            <w:tcW w:type="dxa" w:w="3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finerenone dose or its eGFR breakpoint</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finerenoneDose() in src/logic.js, and the dose line in steps in src/data.js</w:t>
            </w:r>
          </w:p>
        </w:tc>
      </w:tr>
      <w:tr>
        <w:trPr>
          <w:cantSplit/>
          <w:tblHeader w:val="false"/>
        </w:trPr>
        <w:tc>
          <w:tcPr>
            <w:tcW w:type="dxa" w:w="3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safety stop threshold</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stopRules in src/data.js for display, and the stops block in evaluatePatient() for behaviour</w:t>
            </w:r>
          </w:p>
        </w:tc>
      </w:tr>
      <w:tr>
        <w:trPr>
          <w:cantSplit/>
          <w:tblHeader w:val="false"/>
        </w:trPr>
        <w:tc>
          <w:tcPr>
            <w:tcW w:type="dxa" w:w="3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order of the four classes</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sequence of conditional branches in evaluatePatient(). This is the one change that cannot be made in data alone</w:t>
            </w:r>
          </w:p>
        </w:tc>
      </w:tr>
      <w:tr>
        <w:trPr>
          <w:cantSplit/>
          <w:tblHeader w:val="false"/>
        </w:trPr>
        <w:tc>
          <w:tcPr>
            <w:tcW w:type="dxa" w:w="3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class colour</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src/theme.js, with the underlying colour value in src/index.css</w:t>
            </w:r>
          </w:p>
        </w:tc>
      </w:tr>
    </w:tbl>
    <w:p>
      <w:pPr>
        <w:spacing w:after="17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The recurring hazard</w:t>
            </w:r>
          </w:p>
          <w:p>
            <w:pPr>
              <w:spacing w:after="0" w:line="270"/>
            </w:pPr>
            <w:r>
              <w:rPr>
                <w:rFonts w:ascii="Calibri" w:cs="Calibri" w:eastAsia="Calibri" w:hAnsi="Calibri"/>
                <w:color w:val="1B2A3A"/>
                <w:sz w:val="20"/>
                <w:szCs w:val="20"/>
              </w:rPr>
              <w:t xml:space="preserve">Most clinical values exist twice: once in src/data.js as displayed text, and once in src/logic.js as an executed comparison. Changing only one produces a site that displays one threshold and applies another — a failure that is invisible on inspection of either file alone. Any threshold change should be verified in the Interactive view at values immediately either side of the new boundary.</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Appendix B — References</w:t>
      </w:r>
    </w:p>
    <w:p>
      <w:pPr>
        <w:pStyle w:val="Heading2"/>
        <w:keepNext/>
        <w:spacing w:after="120" w:before="280"/>
      </w:pPr>
      <w:r>
        <w:rPr>
          <w:rFonts w:ascii="Calibri" w:cs="Calibri" w:eastAsia="Calibri" w:hAnsi="Calibri"/>
          <w:b/>
          <w:bCs/>
          <w:color w:val="0F5C6B"/>
          <w:sz w:val="24"/>
          <w:szCs w:val="24"/>
        </w:rPr>
        <w:t xml:space="preserve">Source publication</w:t>
      </w:r>
    </w:p>
    <w:p>
      <w:pPr>
        <w:spacing w:after="130" w:line="272"/>
        <w:ind w:left="360" w:hanging="360"/>
      </w:pPr>
      <w:r>
        <w:rPr>
          <w:rFonts w:ascii="Calibri" w:cs="Calibri" w:eastAsia="Calibri" w:hAnsi="Calibri"/>
          <w:color w:val="1B2A3A"/>
          <w:sz w:val="20"/>
          <w:szCs w:val="20"/>
        </w:rPr>
        <w:t xml:space="preserve">Mohsen M, Yi TW, Faruque LI, Ke C, Cafazzo JA, Pham QN, Sridhar VS, Levin A, Abdel-Qadir H, Persson F, Wanner C, Jüni P, Butler J, Marx N, Cherney DZI, Odutayo A. Combination treatment for the management of chronic kidney disease and type 2 diabetes: a review and practical guidance. The Journal of Clinical Endocrinology &amp; Metabolism. Published 11 April 2026. doi:10.1210/clinem/dgag163. PMID 41973867.</w:t>
      </w:r>
    </w:p>
    <w:p>
      <w:pPr>
        <w:pStyle w:val="Heading2"/>
        <w:keepNext/>
        <w:spacing w:after="120" w:before="280"/>
      </w:pPr>
      <w:r>
        <w:rPr>
          <w:rFonts w:ascii="Calibri" w:cs="Calibri" w:eastAsia="Calibri" w:hAnsi="Calibri"/>
          <w:b/>
          <w:bCs/>
          <w:color w:val="0F5C6B"/>
          <w:sz w:val="24"/>
          <w:szCs w:val="24"/>
        </w:rPr>
        <w:t xml:space="preserve">Evidence cited within the source publication</w:t>
      </w:r>
    </w:p>
    <w:p>
      <w:pPr>
        <w:spacing w:after="130" w:line="278"/>
      </w:pPr>
      <w:r>
        <w:rPr>
          <w:rFonts w:ascii="Calibri" w:cs="Calibri" w:eastAsia="Calibri" w:hAnsi="Calibri"/>
          <w:i/>
          <w:iCs/>
          <w:color w:val="5A6875"/>
          <w:sz w:val="20"/>
          <w:szCs w:val="20"/>
        </w:rPr>
        <w:t xml:space="preserve">The following are cited in the source paper as the evidence base for the pathway and are listed here for traceability. They were not independently appraised for this record.</w:t>
      </w:r>
    </w:p>
    <w:p>
      <w:pPr>
        <w:spacing w:after="130" w:line="272"/>
        <w:ind w:left="360" w:hanging="360"/>
      </w:pPr>
      <w:r>
        <w:rPr>
          <w:rFonts w:ascii="Calibri" w:cs="Calibri" w:eastAsia="Calibri" w:hAnsi="Calibri"/>
          <w:color w:val="1B2A3A"/>
          <w:sz w:val="20"/>
          <w:szCs w:val="20"/>
        </w:rPr>
        <w:t xml:space="preserve">Neuen BL, et al. Estimated lifetime cardiovascular, kidney and mortality benefits of combination treatment with SGLT2 inhibitors, GLP-1 receptor agonists and non-steroidal MRA in patients with type 2 diabetes and albuminuria. Circulation. 2023.</w:t>
      </w:r>
    </w:p>
    <w:p>
      <w:pPr>
        <w:spacing w:after="130" w:line="272"/>
        <w:ind w:left="360" w:hanging="360"/>
      </w:pPr>
      <w:r>
        <w:rPr>
          <w:rFonts w:ascii="Calibri" w:cs="Calibri" w:eastAsia="Calibri" w:hAnsi="Calibri"/>
          <w:color w:val="1B2A3A"/>
          <w:sz w:val="20"/>
          <w:szCs w:val="20"/>
        </w:rPr>
        <w:t xml:space="preserve">Neuen BL, et al. Sodium–glucose cotransporter 2 inhibitors and risk of hyperkalemia in people with type 2 diabetes. Circulation. 2022.</w:t>
      </w:r>
    </w:p>
    <w:p>
      <w:pPr>
        <w:spacing w:after="130" w:line="272"/>
        <w:ind w:left="360" w:hanging="360"/>
      </w:pPr>
      <w:r>
        <w:rPr>
          <w:rFonts w:ascii="Calibri" w:cs="Calibri" w:eastAsia="Calibri" w:hAnsi="Calibri"/>
          <w:color w:val="1B2A3A"/>
          <w:sz w:val="20"/>
          <w:szCs w:val="20"/>
        </w:rPr>
        <w:t xml:space="preserve">Agarwal R, et al. Finerenone with empagliflozin in chronic kidney disease and type 2 diabetes (CONFIDENCE). New England Journal of Medicine. 2025.</w:t>
      </w:r>
    </w:p>
    <w:p>
      <w:pPr>
        <w:spacing w:after="130" w:line="272"/>
        <w:ind w:left="360" w:hanging="360"/>
      </w:pPr>
      <w:r>
        <w:rPr>
          <w:rFonts w:ascii="Calibri" w:cs="Calibri" w:eastAsia="Calibri" w:hAnsi="Calibri"/>
          <w:color w:val="1B2A3A"/>
          <w:sz w:val="20"/>
          <w:szCs w:val="20"/>
        </w:rPr>
        <w:t xml:space="preserve">CREDENCE — Canagliflozin and renal outcomes in type 2 diabetes and nephropathy.</w:t>
      </w:r>
    </w:p>
    <w:p>
      <w:pPr>
        <w:spacing w:after="130" w:line="272"/>
        <w:ind w:left="360" w:hanging="360"/>
      </w:pPr>
      <w:r>
        <w:rPr>
          <w:rFonts w:ascii="Calibri" w:cs="Calibri" w:eastAsia="Calibri" w:hAnsi="Calibri"/>
          <w:color w:val="1B2A3A"/>
          <w:sz w:val="20"/>
          <w:szCs w:val="20"/>
        </w:rPr>
        <w:t xml:space="preserve">DAPA-CKD — Dapagliflozin in patients with chronic kidney disease.</w:t>
      </w:r>
    </w:p>
    <w:p>
      <w:pPr>
        <w:spacing w:after="130" w:line="272"/>
        <w:ind w:left="360" w:hanging="360"/>
      </w:pPr>
      <w:r>
        <w:rPr>
          <w:rFonts w:ascii="Calibri" w:cs="Calibri" w:eastAsia="Calibri" w:hAnsi="Calibri"/>
          <w:color w:val="1B2A3A"/>
          <w:sz w:val="20"/>
          <w:szCs w:val="20"/>
        </w:rPr>
        <w:t xml:space="preserve">EMPA-KIDNEY — Empagliflozin in patients with chronic kidney disease.</w:t>
      </w:r>
    </w:p>
    <w:p>
      <w:pPr>
        <w:spacing w:after="130" w:line="272"/>
        <w:ind w:left="360" w:hanging="360"/>
      </w:pPr>
      <w:r>
        <w:rPr>
          <w:rFonts w:ascii="Calibri" w:cs="Calibri" w:eastAsia="Calibri" w:hAnsi="Calibri"/>
          <w:color w:val="1B2A3A"/>
          <w:sz w:val="20"/>
          <w:szCs w:val="20"/>
        </w:rPr>
        <w:t xml:space="preserve">FIDELIO-DKD — Finerenone and chronic kidney disease outcomes in type 2 diabetes.</w:t>
      </w:r>
    </w:p>
    <w:p>
      <w:pPr>
        <w:spacing w:after="130" w:line="272"/>
        <w:ind w:left="360" w:hanging="360"/>
      </w:pPr>
      <w:r>
        <w:rPr>
          <w:rFonts w:ascii="Calibri" w:cs="Calibri" w:eastAsia="Calibri" w:hAnsi="Calibri"/>
          <w:color w:val="1B2A3A"/>
          <w:sz w:val="20"/>
          <w:szCs w:val="20"/>
        </w:rPr>
        <w:t xml:space="preserve">FIGARO-DKD — Cardiovascular events with finerenone in kidney disease and type 2 diabetes.</w:t>
      </w:r>
    </w:p>
    <w:p>
      <w:pPr>
        <w:spacing w:after="130" w:line="272"/>
        <w:ind w:left="360" w:hanging="360"/>
      </w:pPr>
      <w:r>
        <w:rPr>
          <w:rFonts w:ascii="Calibri" w:cs="Calibri" w:eastAsia="Calibri" w:hAnsi="Calibri"/>
          <w:color w:val="1B2A3A"/>
          <w:sz w:val="20"/>
          <w:szCs w:val="20"/>
        </w:rPr>
        <w:t xml:space="preserve">FIDELITY — Pooled analysis of FIDELIO-DKD and FIGARO-DKD.</w:t>
      </w:r>
    </w:p>
    <w:p>
      <w:pPr>
        <w:spacing w:after="130" w:line="272"/>
        <w:ind w:left="360" w:hanging="360"/>
      </w:pPr>
      <w:r>
        <w:rPr>
          <w:rFonts w:ascii="Calibri" w:cs="Calibri" w:eastAsia="Calibri" w:hAnsi="Calibri"/>
          <w:color w:val="1B2A3A"/>
          <w:sz w:val="20"/>
          <w:szCs w:val="20"/>
        </w:rPr>
        <w:t xml:space="preserve">FLOW — Semaglutide and kidney outcomes in type 2 diabetes with chronic kidney disease.</w:t>
      </w:r>
    </w:p>
    <w:p>
      <w:pPr>
        <w:spacing w:after="130" w:line="272"/>
        <w:ind w:left="360" w:hanging="360"/>
      </w:pPr>
      <w:r>
        <w:rPr>
          <w:rFonts w:ascii="Calibri" w:cs="Calibri" w:eastAsia="Calibri" w:hAnsi="Calibri"/>
          <w:color w:val="1B2A3A"/>
          <w:sz w:val="20"/>
          <w:szCs w:val="20"/>
        </w:rPr>
        <w:t xml:space="preserve">SUSTAIN-6 — Semaglutide and cardiovascular outcomes in patients with type 2 diabetes.</w:t>
      </w:r>
    </w:p>
    <w:p>
      <w:pPr>
        <w:spacing w:after="130" w:line="272"/>
        <w:ind w:left="360" w:hanging="360"/>
      </w:pPr>
      <w:r>
        <w:rPr>
          <w:rFonts w:ascii="Calibri" w:cs="Calibri" w:eastAsia="Calibri" w:hAnsi="Calibri"/>
          <w:color w:val="1B2A3A"/>
          <w:sz w:val="20"/>
          <w:szCs w:val="20"/>
        </w:rPr>
        <w:t xml:space="preserve">Kraus BJ, et al. Characterization and implications of the initial eGFR decline following SGLT2 inhibition (EMPA-REG OUTCOME).</w:t>
      </w:r>
    </w:p>
    <w:p>
      <w:pPr>
        <w:spacing w:after="130" w:line="272"/>
        <w:ind w:left="360" w:hanging="360"/>
      </w:pPr>
      <w:r>
        <w:rPr>
          <w:rFonts w:ascii="Calibri" w:cs="Calibri" w:eastAsia="Calibri" w:hAnsi="Calibri"/>
          <w:color w:val="1B2A3A"/>
          <w:sz w:val="20"/>
          <w:szCs w:val="20"/>
        </w:rPr>
        <w:t xml:space="preserve">Heerspink HJL, Cherney DZI. Clinical implications of an acute dip in eGFR after SGLT2 inhibitor initiation.</w:t>
      </w:r>
    </w:p>
    <w:p>
      <w:pPr>
        <w:spacing w:after="130" w:line="272"/>
        <w:ind w:left="360" w:hanging="360"/>
      </w:pPr>
      <w:r>
        <w:rPr>
          <w:rFonts w:ascii="Calibri" w:cs="Calibri" w:eastAsia="Calibri" w:hAnsi="Calibri"/>
          <w:color w:val="1B2A3A"/>
          <w:sz w:val="20"/>
          <w:szCs w:val="20"/>
        </w:rPr>
        <w:t xml:space="preserve">STRONG-HF — Safety, tolerability and efficacy of rapid up-titration of guideline-directed medical therapies for acute heart failure.</w:t>
      </w:r>
    </w:p>
    <w:p>
      <w:pPr>
        <w:pStyle w:val="Heading2"/>
        <w:keepNext/>
        <w:spacing w:after="120" w:before="280"/>
      </w:pPr>
      <w:r>
        <w:rPr>
          <w:rFonts w:ascii="Calibri" w:cs="Calibri" w:eastAsia="Calibri" w:hAnsi="Calibri"/>
          <w:b/>
          <w:bCs/>
          <w:color w:val="0F5C6B"/>
          <w:sz w:val="24"/>
          <w:szCs w:val="24"/>
        </w:rPr>
        <w:t xml:space="preserve">Guideline context</w:t>
      </w:r>
    </w:p>
    <w:p>
      <w:pPr>
        <w:spacing w:after="130" w:line="272"/>
        <w:ind w:left="360" w:hanging="360"/>
      </w:pPr>
      <w:r>
        <w:rPr>
          <w:rFonts w:ascii="Calibri" w:cs="Calibri" w:eastAsia="Calibri" w:hAnsi="Calibri"/>
          <w:color w:val="1B2A3A"/>
          <w:sz w:val="20"/>
          <w:szCs w:val="20"/>
        </w:rPr>
        <w:t xml:space="preserve">Kidney Disease: Improving Global Outcomes (KDIGO). 2024 Clinical Practice Guideline for the Evaluation and Management of Chronic Kidney Disease.</w:t>
      </w:r>
    </w:p>
    <w:p>
      <w:pPr>
        <w:spacing w:after="130" w:line="272"/>
        <w:ind w:left="360" w:hanging="360"/>
      </w:pPr>
      <w:r>
        <w:rPr>
          <w:rFonts w:ascii="Calibri" w:cs="Calibri" w:eastAsia="Calibri" w:hAnsi="Calibri"/>
          <w:color w:val="1B2A3A"/>
          <w:sz w:val="20"/>
          <w:szCs w:val="20"/>
        </w:rPr>
        <w:t xml:space="preserve">American Diabetes Association. Standards of Care in Diabetes.</w:t>
      </w:r>
    </w:p>
    <w:p>
      <w:pPr>
        <w:spacing w:after="130" w:line="272"/>
        <w:ind w:left="360" w:hanging="360"/>
      </w:pPr>
      <w:r>
        <w:rPr>
          <w:rFonts w:ascii="Calibri" w:cs="Calibri" w:eastAsia="Calibri" w:hAnsi="Calibri"/>
          <w:color w:val="1B2A3A"/>
          <w:sz w:val="20"/>
          <w:szCs w:val="20"/>
        </w:rPr>
        <w:t xml:space="preserve">European Society of Cardiology. 2023 Guidelines for the management of cardiovascular disease in patients with diabetes.</w:t>
      </w:r>
    </w:p>
    <w:p>
      <w:pPr>
        <w:pStyle w:val="Heading2"/>
        <w:keepNext/>
        <w:spacing w:after="120" w:before="280"/>
      </w:pPr>
      <w:r>
        <w:rPr>
          <w:rFonts w:ascii="Calibri" w:cs="Calibri" w:eastAsia="Calibri" w:hAnsi="Calibri"/>
          <w:b/>
          <w:bCs/>
          <w:color w:val="0F5C6B"/>
          <w:sz w:val="24"/>
          <w:szCs w:val="24"/>
        </w:rPr>
        <w:t xml:space="preserve">Project sources</w:t>
      </w:r>
    </w:p>
    <w:p>
      <w:pPr>
        <w:spacing w:after="130" w:line="272"/>
        <w:ind w:left="360" w:hanging="360"/>
      </w:pPr>
      <w:r>
        <w:rPr>
          <w:rFonts w:ascii="Calibri" w:cs="Calibri" w:eastAsia="Calibri" w:hAnsi="Calibri"/>
          <w:color w:val="1B2A3A"/>
          <w:sz w:val="20"/>
          <w:szCs w:val="20"/>
        </w:rPr>
        <w:t xml:space="preserve">Integrate-CKD Algorithm source repository. https://github.com/parsapnp2/Integrate-CKD</w:t>
      </w:r>
    </w:p>
    <w:p>
      <w:pPr>
        <w:spacing w:after="130" w:line="272"/>
        <w:ind w:left="360" w:hanging="360"/>
      </w:pPr>
      <w:r>
        <w:rPr>
          <w:rFonts w:ascii="Calibri" w:cs="Calibri" w:eastAsia="Calibri" w:hAnsi="Calibri"/>
          <w:color w:val="1B2A3A"/>
          <w:sz w:val="20"/>
          <w:szCs w:val="20"/>
        </w:rPr>
        <w:t xml:space="preserve">Integrate-CKD Algorithm live site. https://integrate-ckd-algorithm.vercel.app</w:t>
      </w:r>
    </w:p>
    <w:p>
      <w:pPr>
        <w:spacing w:after="130" w:line="272"/>
        <w:ind w:left="360" w:hanging="360"/>
      </w:pPr>
      <w:r>
        <w:rPr>
          <w:rFonts w:ascii="Calibri" w:cs="Calibri" w:eastAsia="Calibri" w:hAnsi="Calibri"/>
          <w:color w:val="1B2A3A"/>
          <w:sz w:val="20"/>
          <w:szCs w:val="20"/>
        </w:rPr>
        <w:t xml:space="preserve">src/data.js and src/logic.js at commit f081a4f, 26 August 2026.</w:t>
      </w:r>
    </w:p>
    <w:p>
      <w:pPr>
        <w:spacing w:after="300"/>
      </w:pPr>
    </w:p>
    <w:p>
      <w:pPr>
        <w:pBdr>
          <w:top w:val="single" w:color="C7D0D8" w:sz="6"/>
        </w:pBdr>
        <w:spacing w:after="0" w:before="200"/>
      </w:pPr>
    </w:p>
    <w:p>
      <w:pPr>
        <w:spacing w:after="130" w:line="278"/>
      </w:pPr>
      <w:r>
        <w:rPr>
          <w:rFonts w:ascii="Calibri" w:cs="Calibri" w:eastAsia="Calibri" w:hAnsi="Calibri"/>
          <w:i/>
          <w:iCs/>
          <w:color w:val="5A6875"/>
          <w:sz w:val="18"/>
          <w:szCs w:val="18"/>
        </w:rPr>
        <w:t xml:space="preserve">End of document — Integrate-CKD Algorithm, Project Record, version 1.0, 27 August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5"/>
        <w:sz w:val="16"/>
        <w:szCs w:val="16"/>
      </w:rPr>
      <w:t xml:space="preserve">Internal record  ·  Page </w:t>
    </w:r>
    <w:r>
      <w:rPr>
        <w:rFonts w:ascii="Calibri" w:cs="Calibri" w:eastAsia="Calibri" w:hAnsi="Calibri"/>
        <w:color w:val="5A6875"/>
        <w:sz w:val="16"/>
        <w:szCs w:val="16"/>
      </w:rPr>
      <w:fldChar w:fldCharType="begin"/>
      <w:instrText xml:space="preserve">PAGE</w:instrText>
      <w:fldChar w:fldCharType="separate"/>
      <w:fldChar w:fldCharType="end"/>
    </w:r>
    <w:r>
      <w:rPr>
        <w:rFonts w:ascii="Calibri" w:cs="Calibri" w:eastAsia="Calibri" w:hAnsi="Calibri"/>
        <w:color w:val="5A6875"/>
        <w:sz w:val="16"/>
        <w:szCs w:val="16"/>
      </w:rPr>
      <w:t xml:space="preserve"> of </w:t>
    </w:r>
    <w:r>
      <w:rPr>
        <w:rFonts w:ascii="Calibri" w:cs="Calibri" w:eastAsia="Calibri" w:hAnsi="Calibri"/>
        <w:color w:val="5A68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pBdr>
      <w:spacing w:after="60"/>
    </w:pPr>
    <w:r>
      <w:rPr>
        <w:rFonts w:ascii="Calibri" w:cs="Calibri" w:eastAsia="Calibri" w:hAnsi="Calibri"/>
        <w:color w:val="5A6875"/>
        <w:sz w:val="16"/>
        <w:szCs w:val="16"/>
      </w:rPr>
      <w:t xml:space="preserve">Integrate-CKD Algorithm — Project Record  ·  Version 1.0  ·  27 August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Integrate-CKD Algorithm — Project Record</dc:title>
  <dc:creator>Parsa Naderian</dc:creator>
  <dc:description>Design record, implemented decision rules, and technical specification for the Integrate-CKD Algorithm website.</dc:description>
  <cp:lastModifiedBy>Un-named</cp:lastModifiedBy>
  <cp:revision>1</cp:revision>
  <dcterms:created xsi:type="dcterms:W3CDTF">2026-08-27T04:47:37.794Z</dcterms:created>
  <dcterms:modified xsi:type="dcterms:W3CDTF">2026-08-27T04:47:37.794Z</dcterms:modified>
</cp:coreProperties>
</file>

<file path=docProps/custom.xml><?xml version="1.0" encoding="utf-8"?>
<Properties xmlns="http://schemas.openxmlformats.org/officeDocument/2006/custom-properties" xmlns:vt="http://schemas.openxmlformats.org/officeDocument/2006/docPropsVTypes"/>
</file>