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F5C6B"/>
          <w:sz w:val="17"/>
          <w:szCs w:val="17"/>
        </w:rPr>
        <w:t xml:space="preserve">TEAM NOTES</w:t>
      </w:r>
    </w:p>
    <w:p>
      <w:pPr>
        <w:spacing w:after="90"/>
      </w:pPr>
      <w:r>
        <w:rPr>
          <w:rFonts w:ascii="Calibri" w:cs="Calibri" w:eastAsia="Calibri" w:hAnsi="Calibri"/>
          <w:b/>
          <w:bCs/>
          <w:color w:val="1B2A3A"/>
          <w:sz w:val="38"/>
          <w:szCs w:val="38"/>
        </w:rPr>
        <w:t xml:space="preserve">How the Integrate-CKD Algorithm site works</w:t>
      </w:r>
    </w:p>
    <w:p>
      <w:pPr>
        <w:spacing w:after="140" w:line="290"/>
      </w:pPr>
      <w:r>
        <w:rPr>
          <w:rFonts w:ascii="Calibri" w:cs="Calibri" w:eastAsia="Calibri" w:hAnsi="Calibri"/>
          <w:color w:val="5A6875"/>
          <w:sz w:val="22"/>
          <w:szCs w:val="22"/>
        </w:rPr>
        <w:t xml:space="preserve">What we built, how it is put together, and how it decides what to recommend</w:t>
      </w:r>
    </w:p>
    <w:p>
      <w:pPr>
        <w:pBdr>
          <w:bottom w:val="single" w:color="0F5C6B" w:sz="8"/>
        </w:pBdr>
        <w:spacing w:after="300"/>
      </w:pPr>
      <w:r>
        <w:rPr>
          <w:rFonts w:ascii="Calibri" w:cs="Calibri" w:eastAsia="Calibri" w:hAnsi="Calibri"/>
          <w:color w:val="5A6875"/>
          <w:sz w:val="18"/>
          <w:szCs w:val="18"/>
        </w:rPr>
        <w:t xml:space="preserve">Parsa Naderian  ·  27 August 2026  ·  integrate-ckd-algorithm.vercel.app</w:t>
      </w:r>
    </w:p>
    <w:p>
      <w:pPr>
        <w:pStyle w:val="Heading1"/>
        <w:keepNext/>
        <w:pBdr>
          <w:bottom w:val="single" w:color="C7D0D8" w:sz="6"/>
        </w:pBdr>
        <w:spacing w:after="160" w:before="400"/>
      </w:pPr>
      <w:r>
        <w:rPr>
          <w:rFonts w:ascii="Calibri" w:cs="Calibri" w:eastAsia="Calibri" w:hAnsi="Calibri"/>
          <w:b/>
          <w:bCs/>
          <w:color w:val="1B2A3A"/>
          <w:sz w:val="27"/>
          <w:szCs w:val="27"/>
        </w:rPr>
        <w:t xml:space="preserve">What this is</w:t>
      </w:r>
    </w:p>
    <w:p>
      <w:pPr>
        <w:spacing w:after="130" w:line="278"/>
      </w:pPr>
      <w:r>
        <w:rPr>
          <w:rFonts w:ascii="Calibri" w:cs="Calibri" w:eastAsia="Calibri" w:hAnsi="Calibri"/>
          <w:color w:val="1B2A3A"/>
          <w:sz w:val="21"/>
          <w:szCs w:val="21"/>
        </w:rPr>
        <w:t xml:space="preserve">The site takes our one-page CKD and type 2 diabetes combination-treatment algorithm and puts it into a form you can actually use during a consultation. The PDF is still the clinical source — but it is dense, and reading it under time pressure in clinic is not what it was designed for. The site is the same content, reorganised so the pathway can be scanned in seconds, plus an interactive mode that answers one question: given these labs and these drugs already on board, what is the next thing to do?</w:t>
      </w:r>
    </w:p>
    <w:p>
      <w:pPr>
        <w:spacing w:after="130" w:line="278"/>
      </w:pPr>
      <w:r>
        <w:rPr>
          <w:rFonts w:ascii="Calibri" w:cs="Calibri" w:eastAsia="Calibri" w:hAnsi="Calibri"/>
          <w:color w:val="1B2A3A"/>
          <w:sz w:val="21"/>
          <w:szCs w:val="21"/>
        </w:rPr>
        <w:t xml:space="preserve">It is a visual aid. It stores nothing, sends nothing anywhere, and has no opinion about anything you have not typed into it. The header says as much on every screen.</w:t>
      </w:r>
    </w:p>
    <w:p>
      <w:pPr>
        <w:spacing w:after="100" w:line="278"/>
      </w:pPr>
      <w:r>
        <w:rPr>
          <w:rFonts w:ascii="Calibri" w:cs="Calibri" w:eastAsia="Calibri" w:hAnsi="Calibri"/>
          <w:color w:val="1B2A3A"/>
          <w:sz w:val="21"/>
          <w:szCs w:val="21"/>
        </w:rPr>
        <w:t xml:space="preserve">Two tabs, sharing the same clinical content:</w:t>
      </w:r>
    </w:p>
    <w:p>
      <w:pPr>
        <w:pStyle w:val="ListParagraph"/>
        <w:numPr>
          <w:ilvl w:val="0"/>
          <w:numId w:val="2"/>
        </w:numPr>
        <w:spacing w:after="75" w:line="270"/>
      </w:pPr>
      <w:r>
        <w:rPr>
          <w:rFonts w:ascii="Calibri" w:cs="Calibri" w:eastAsia="Calibri" w:hAnsi="Calibri"/>
          <w:b/>
          <w:bCs/>
          <w:color w:val="1B2A3A"/>
          <w:sz w:val="21"/>
          <w:szCs w:val="21"/>
        </w:rPr>
        <w:t xml:space="preserve">Chart</w:t>
      </w:r>
      <w:r>
        <w:rPr>
          <w:rFonts w:ascii="Calibri" w:cs="Calibri" w:eastAsia="Calibri" w:hAnsi="Calibri"/>
          <w:color w:val="1B2A3A"/>
          <w:sz w:val="21"/>
          <w:szCs w:val="21"/>
        </w:rPr>
        <w:t xml:space="preserve"> — the algorithm as a page you scan. It shows thresholds. It does not compute anything about a specific patient.</w:t>
      </w:r>
    </w:p>
    <w:p>
      <w:pPr>
        <w:pStyle w:val="ListParagraph"/>
        <w:numPr>
          <w:ilvl w:val="0"/>
          <w:numId w:val="2"/>
        </w:numPr>
        <w:spacing w:after="75" w:line="270"/>
      </w:pPr>
      <w:r>
        <w:rPr>
          <w:rFonts w:ascii="Calibri" w:cs="Calibri" w:eastAsia="Calibri" w:hAnsi="Calibri"/>
          <w:b/>
          <w:bCs/>
          <w:color w:val="1B2A3A"/>
          <w:sz w:val="21"/>
          <w:szCs w:val="21"/>
        </w:rPr>
        <w:t xml:space="preserve">Interactive</w:t>
      </w:r>
      <w:r>
        <w:rPr>
          <w:rFonts w:ascii="Calibri" w:cs="Calibri" w:eastAsia="Calibri" w:hAnsi="Calibri"/>
          <w:color w:val="1B2A3A"/>
          <w:sz w:val="21"/>
          <w:szCs w:val="21"/>
        </w:rPr>
        <w:t xml:space="preserve"> — you enter current labs and tick which classes are already started, and it returns one recommended next action.</w:t>
      </w:r>
    </w:p>
    <w:p>
      <w:pPr>
        <w:spacing w:after="130" w:line="278"/>
      </w:pPr>
      <w:r>
        <w:rPr>
          <w:rFonts w:ascii="Calibri" w:cs="Calibri" w:eastAsia="Calibri" w:hAnsi="Calibri"/>
          <w:color w:val="1B2A3A"/>
          <w:sz w:val="21"/>
          <w:szCs w:val="21"/>
        </w:rPr>
        <w:t xml:space="preserve">Everything below covers the four guideline-directed classes we work with throughout: RASi, SGLT2i, finerenone (ns-MRA), and GLP-1 RA.</w:t>
      </w:r>
    </w:p>
    <w:p>
      <w:pPr>
        <w:pStyle w:val="Heading1"/>
        <w:keepNext/>
        <w:pBdr>
          <w:bottom w:val="single" w:color="C7D0D8" w:sz="6"/>
        </w:pBdr>
        <w:spacing w:after="160" w:before="400"/>
      </w:pPr>
      <w:r>
        <w:rPr>
          <w:rFonts w:ascii="Calibri" w:cs="Calibri" w:eastAsia="Calibri" w:hAnsi="Calibri"/>
          <w:b/>
          <w:bCs/>
          <w:color w:val="1B2A3A"/>
          <w:sz w:val="27"/>
          <w:szCs w:val="27"/>
        </w:rPr>
        <w:t xml:space="preserve">How it is put together</w:t>
      </w:r>
    </w:p>
    <w:p>
      <w:pPr>
        <w:spacing w:after="130" w:line="278"/>
      </w:pPr>
      <w:r>
        <w:rPr>
          <w:rFonts w:ascii="Calibri" w:cs="Calibri" w:eastAsia="Calibri" w:hAnsi="Calibri"/>
          <w:color w:val="1B2A3A"/>
          <w:sz w:val="21"/>
          <w:szCs w:val="21"/>
        </w:rPr>
        <w:t xml:space="preserve">It is a static single-page app — React and Vite, styled with Tailwind, deployed on Vercel from the GitHub repository. Around 1,150 lines of source in total. There is no server, no database, and no account system, which is the reason it can hold no patient data even in principle: there is nowhere for data to go.</w:t>
      </w:r>
    </w:p>
    <w:p>
      <w:pPr>
        <w:pStyle w:val="Heading2"/>
        <w:keepNext/>
        <w:spacing w:after="110" w:before="240"/>
      </w:pPr>
      <w:r>
        <w:rPr>
          <w:rFonts w:ascii="Calibri" w:cs="Calibri" w:eastAsia="Calibri" w:hAnsi="Calibri"/>
          <w:b/>
          <w:bCs/>
          <w:color w:val="0F5C6B"/>
          <w:sz w:val="22"/>
          <w:szCs w:val="22"/>
        </w:rPr>
        <w:t xml:space="preserve">The split that matters</w:t>
      </w:r>
    </w:p>
    <w:p>
      <w:pPr>
        <w:spacing w:after="130" w:line="278"/>
      </w:pPr>
      <w:r>
        <w:rPr>
          <w:rFonts w:ascii="Calibri" w:cs="Calibri" w:eastAsia="Calibri" w:hAnsi="Calibri"/>
          <w:color w:val="1B2A3A"/>
          <w:sz w:val="21"/>
          <w:szCs w:val="21"/>
        </w:rPr>
        <w:t xml:space="preserve">The one structural decision worth understanding is that the clinical content and the interface are kept completely apart. Every threshold, dose, and piece of displayed clinical text lives in two files, and no view file contains a clinical number anywhere.</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2050"/>
        <w:gridCol w:w="6590"/>
      </w:tblGrid>
      <w:tr>
        <w:trPr>
          <w:cantSplit/>
          <w:tblHeader/>
        </w:trPr>
        <w:tc>
          <w:tcPr>
            <w:tcW w:type="dxa" w:w="205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File</w:t>
            </w:r>
          </w:p>
        </w:tc>
        <w:tc>
          <w:tcPr>
            <w:tcW w:type="dxa" w:w="659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What it holds</w:t>
            </w:r>
          </w:p>
        </w:tc>
      </w:tr>
      <w:tr>
        <w:trPr>
          <w:cantSplit/>
          <w:tblHeader w:val="false"/>
        </w:trPr>
        <w:tc>
          <w:tcPr>
            <w:tcW w:type="dxa" w:w="20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src/data.js</w:t>
            </w:r>
          </w:p>
        </w:tc>
        <w:tc>
          <w:tcPr>
            <w:tcW w:type="dxa" w:w="659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All clinical content as plain data — the potassium bands, the indication criteria for each class, the five pathway steps with their doses and checks, the safety stop rules, and the clinical-consideration cards</w:t>
            </w:r>
          </w:p>
        </w:tc>
      </w:tr>
      <w:tr>
        <w:trPr>
          <w:cantSplit/>
          <w:tblHeader w:val="false"/>
        </w:trPr>
        <w:tc>
          <w:tcPr>
            <w:tcW w:type="dxa" w:w="20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src/logic.js</w:t>
            </w:r>
          </w:p>
        </w:tc>
        <w:tc>
          <w:tcPr>
            <w:tcW w:type="dxa" w:w="659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The decision engine — the band lookup, the finerenone dose rule, and evaluatePatient(), which is the function that turns a set of labs into a recommendation</w:t>
            </w:r>
          </w:p>
        </w:tc>
      </w:tr>
      <w:tr>
        <w:trPr>
          <w:cantSplit/>
          <w:tblHeader w:val="false"/>
        </w:trPr>
        <w:tc>
          <w:tcPr>
            <w:tcW w:type="dxa" w:w="20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src/ChartView.jsx</w:t>
            </w:r>
          </w:p>
        </w:tc>
        <w:tc>
          <w:tcPr>
            <w:tcW w:type="dxa" w:w="659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The Chart tab — layout only</w:t>
            </w:r>
          </w:p>
        </w:tc>
      </w:tr>
      <w:tr>
        <w:trPr>
          <w:cantSplit/>
          <w:tblHeader w:val="false"/>
        </w:trPr>
        <w:tc>
          <w:tcPr>
            <w:tcW w:type="dxa" w:w="20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src/InteractiveView.jsx</w:t>
            </w:r>
          </w:p>
        </w:tc>
        <w:tc>
          <w:tcPr>
            <w:tcW w:type="dxa" w:w="659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The Interactive form and results panel — layout and form state only</w:t>
            </w:r>
          </w:p>
        </w:tc>
      </w:tr>
      <w:tr>
        <w:trPr>
          <w:cantSplit/>
          <w:tblHeader w:val="false"/>
        </w:trPr>
        <w:tc>
          <w:tcPr>
            <w:tcW w:type="dxa" w:w="20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src/theme.js</w:t>
            </w:r>
          </w:p>
        </w:tc>
        <w:tc>
          <w:tcPr>
            <w:tcW w:type="dxa" w:w="659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The colour tokens for the four classes and the four potassium bands</w:t>
            </w:r>
          </w:p>
        </w:tc>
      </w:tr>
      <w:tr>
        <w:trPr>
          <w:cantSplit/>
          <w:tblHeader w:val="false"/>
        </w:trPr>
        <w:tc>
          <w:tcPr>
            <w:tcW w:type="dxa" w:w="20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src/App.jsx</w:t>
            </w:r>
          </w:p>
        </w:tc>
        <w:tc>
          <w:tcPr>
            <w:tcW w:type="dxa" w:w="659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The shell: header, disclaimer, tab switching</w:t>
            </w:r>
          </w:p>
        </w:tc>
      </w:tr>
    </w:tbl>
    <w:p>
      <w:pPr>
        <w:spacing w:after="160"/>
      </w:pPr>
    </w:p>
    <w:p>
      <w:pPr>
        <w:spacing w:after="130" w:line="278"/>
      </w:pPr>
      <w:r>
        <w:rPr>
          <w:rFonts w:ascii="Calibri" w:cs="Calibri" w:eastAsia="Calibri" w:hAnsi="Calibri"/>
          <w:color w:val="1B2A3A"/>
          <w:sz w:val="21"/>
          <w:szCs w:val="21"/>
        </w:rPr>
        <w:t xml:space="preserve">The point of that separation is that a clinical change never becomes a design job. If we decide finerenone should start at a different eGFR, that is an edit to two files that contain no layout code at all. It also means anyone can audit what the site actually believes by reading about 380 lines, without touching React.</w:t>
      </w:r>
    </w:p>
    <w:p>
      <w:pPr>
        <w:pStyle w:val="Heading2"/>
        <w:keepNext/>
        <w:spacing w:after="110" w:before="240"/>
      </w:pPr>
      <w:r>
        <w:rPr>
          <w:rFonts w:ascii="Calibri" w:cs="Calibri" w:eastAsia="Calibri" w:hAnsi="Calibri"/>
          <w:b/>
          <w:bCs/>
          <w:color w:val="0F5C6B"/>
          <w:sz w:val="22"/>
          <w:szCs w:val="22"/>
        </w:rPr>
        <w:t xml:space="preserve">What we deliberately left out</w:t>
      </w:r>
    </w:p>
    <w:p>
      <w:pPr>
        <w:spacing w:after="130" w:line="278"/>
      </w:pPr>
      <w:r>
        <w:rPr>
          <w:rFonts w:ascii="Calibri" w:cs="Calibri" w:eastAsia="Calibri" w:hAnsi="Calibri"/>
          <w:color w:val="1B2A3A"/>
          <w:sz w:val="21"/>
          <w:szCs w:val="21"/>
        </w:rPr>
        <w:t xml:space="preserve">Three runtime dependencies: React, React DOM, and the Vercel analytics package. No state management library, no router, no charting library, no component framework. That is not minimalism for its own sake — every dependency is something that has to be kept current in a tool that clinicians may rely on, and none of them would have earned their keep here.</w:t>
      </w:r>
    </w:p>
    <w:p>
      <w:pPr>
        <w:spacing w:after="130" w:line="278"/>
      </w:pPr>
      <w:r>
        <w:rPr>
          <w:rFonts w:ascii="Calibri" w:cs="Calibri" w:eastAsia="Calibri" w:hAnsi="Calibri"/>
          <w:color w:val="1B2A3A"/>
          <w:sz w:val="21"/>
          <w:szCs w:val="21"/>
        </w:rPr>
        <w:t xml:space="preserve">There is also no risk score, no model, and no machine learning of any kind. The engine is deterministic: the same inputs always produce the same output, and every output can be traced to a line you can read. For a tool that makes treatment suggestions, being explainable mattered more than being clever.</w:t>
      </w:r>
    </w:p>
    <w:p>
      <w:pPr>
        <w:pStyle w:val="Heading1"/>
        <w:keepNext/>
        <w:pBdr>
          <w:bottom w:val="single" w:color="C7D0D8" w:sz="6"/>
        </w:pBdr>
        <w:spacing w:after="160" w:before="400"/>
      </w:pPr>
      <w:r>
        <w:rPr>
          <w:rFonts w:ascii="Calibri" w:cs="Calibri" w:eastAsia="Calibri" w:hAnsi="Calibri"/>
          <w:b/>
          <w:bCs/>
          <w:color w:val="1B2A3A"/>
          <w:sz w:val="27"/>
          <w:szCs w:val="27"/>
        </w:rPr>
        <w:t xml:space="preserve">How the Chart works</w:t>
      </w:r>
    </w:p>
    <w:p>
      <w:pPr>
        <w:spacing w:after="130" w:line="278"/>
      </w:pPr>
      <w:r>
        <w:rPr>
          <w:rFonts w:ascii="Calibri" w:cs="Calibri" w:eastAsia="Calibri" w:hAnsi="Calibri"/>
          <w:color w:val="1B2A3A"/>
          <w:sz w:val="21"/>
          <w:szCs w:val="21"/>
        </w:rPr>
        <w:t xml:space="preserve">The Chart is the PDF divided into sections, arranged so the whole pathway fits on one screen. The governing constraint throughout was that the first screen should show the full algorithm, with detail collapsed until someone asks for it.</w:t>
      </w:r>
    </w:p>
    <w:p>
      <w:pPr>
        <w:spacing w:after="100" w:line="278"/>
      </w:pPr>
      <w:r>
        <w:rPr>
          <w:rFonts w:ascii="Calibri" w:cs="Calibri" w:eastAsia="Calibri" w:hAnsi="Calibri"/>
          <w:color w:val="1B2A3A"/>
          <w:sz w:val="21"/>
          <w:szCs w:val="21"/>
        </w:rPr>
        <w:t xml:space="preserve">Reading down the page:</w:t>
      </w:r>
    </w:p>
    <w:p>
      <w:pPr>
        <w:pStyle w:val="ListParagraph"/>
        <w:numPr>
          <w:ilvl w:val="0"/>
          <w:numId w:val="2"/>
        </w:numPr>
        <w:spacing w:after="75" w:line="270"/>
      </w:pPr>
      <w:r>
        <w:rPr>
          <w:rFonts w:ascii="Calibri" w:cs="Calibri" w:eastAsia="Calibri" w:hAnsi="Calibri"/>
          <w:color w:val="1B2A3A"/>
          <w:sz w:val="21"/>
          <w:szCs w:val="21"/>
        </w:rPr>
        <w:t xml:space="preserve">Indication cards for SGLT2i, ns-MRA, and GLP-1 RA. Each card shows the guideline indication as the coloured block and the clinical-practice threshold as a white block underneath, because the two are not the same and conflating them was the main risk in a compressed layout.</w:t>
      </w:r>
    </w:p>
    <w:p>
      <w:pPr>
        <w:pStyle w:val="ListParagraph"/>
        <w:numPr>
          <w:ilvl w:val="0"/>
          <w:numId w:val="2"/>
        </w:numPr>
        <w:spacing w:after="75" w:line="270"/>
      </w:pPr>
      <w:r>
        <w:rPr>
          <w:rFonts w:ascii="Calibri" w:cs="Calibri" w:eastAsia="Calibri" w:hAnsi="Calibri"/>
          <w:color w:val="1B2A3A"/>
          <w:sz w:val="21"/>
          <w:szCs w:val="21"/>
        </w:rPr>
        <w:t xml:space="preserve">The potassium band scale — four colour-coded bands, which is the organising device for the rest of the algorithm.</w:t>
      </w:r>
    </w:p>
    <w:p>
      <w:pPr>
        <w:pStyle w:val="ListParagraph"/>
        <w:numPr>
          <w:ilvl w:val="0"/>
          <w:numId w:val="2"/>
        </w:numPr>
        <w:spacing w:after="75" w:line="270"/>
      </w:pPr>
      <w:r>
        <w:rPr>
          <w:rFonts w:ascii="Calibri" w:cs="Calibri" w:eastAsia="Calibri" w:hAnsi="Calibri"/>
          <w:color w:val="1B2A3A"/>
          <w:sz w:val="21"/>
          <w:szCs w:val="21"/>
        </w:rPr>
        <w:t xml:space="preserve">The sequential pathway as a numbered vertical flow, with an explicit Check K⁺ node between steps. That node exists because the potassium check is the decision that repeats on the PDF, and drawing it once per step is what makes the sequence readable.</w:t>
      </w:r>
    </w:p>
    <w:p>
      <w:pPr>
        <w:pStyle w:val="ListParagraph"/>
        <w:numPr>
          <w:ilvl w:val="0"/>
          <w:numId w:val="2"/>
        </w:numPr>
        <w:spacing w:after="75" w:line="270"/>
      </w:pPr>
      <w:r>
        <w:rPr>
          <w:rFonts w:ascii="Calibri" w:cs="Calibri" w:eastAsia="Calibri" w:hAnsi="Calibri"/>
          <w:color w:val="1B2A3A"/>
          <w:sz w:val="21"/>
          <w:szCs w:val="21"/>
        </w:rPr>
        <w:t xml:space="preserve">A red safety bar carrying the four stop rules.</w:t>
      </w:r>
    </w:p>
    <w:p>
      <w:pPr>
        <w:pStyle w:val="ListParagraph"/>
        <w:numPr>
          <w:ilvl w:val="0"/>
          <w:numId w:val="2"/>
        </w:numPr>
        <w:spacing w:after="75" w:line="270"/>
      </w:pPr>
      <w:r>
        <w:rPr>
          <w:rFonts w:ascii="Calibri" w:cs="Calibri" w:eastAsia="Calibri" w:hAnsi="Calibri"/>
          <w:color w:val="1B2A3A"/>
          <w:sz w:val="21"/>
          <w:szCs w:val="21"/>
        </w:rPr>
        <w:t xml:space="preserve">Collapsible cards for eGFR dip, blood pressure, and hypoglycaemia.</w:t>
      </w:r>
    </w:p>
    <w:p>
      <w:pPr>
        <w:spacing w:after="60"/>
      </w:pPr>
    </w:p>
    <w:p>
      <w:pPr>
        <w:spacing w:after="130" w:line="278"/>
      </w:pPr>
      <w:r>
        <w:rPr>
          <w:rFonts w:ascii="Calibri" w:cs="Calibri" w:eastAsia="Calibri" w:hAnsi="Calibri"/>
          <w:color w:val="1B2A3A"/>
          <w:sz w:val="21"/>
          <w:szCs w:val="21"/>
        </w:rPr>
        <w:t xml:space="preserve">Opening any one indication card opens all three, and the same goes for the consideration cards. That is intentional: in practice you compare the three classes against each other, so revealing them one at a time would give a partial comparison and invite the wrong conclusion.</w:t>
      </w:r>
    </w:p>
    <w:p>
      <w:pPr>
        <w:spacing w:after="130" w:line="278"/>
      </w:pPr>
      <w:r>
        <w:rPr>
          <w:rFonts w:ascii="Calibri" w:cs="Calibri" w:eastAsia="Calibri" w:hAnsi="Calibri"/>
          <w:color w:val="1B2A3A"/>
          <w:sz w:val="21"/>
          <w:szCs w:val="21"/>
        </w:rPr>
        <w:t xml:space="preserve">Colour is used as a code rather than decoration, and stays fixed across both tabs: slate for RASi, teal for SGLT2i, gold for ns-MRA, navy for GLP-1 RA. Bands run green, amber, orange, red for Proceed, Continue, Reduce, Pause.</w:t>
      </w:r>
    </w:p>
    <w:p>
      <w:pPr>
        <w:pStyle w:val="Heading1"/>
        <w:keepNext/>
        <w:pBdr>
          <w:bottom w:val="single" w:color="C7D0D8" w:sz="6"/>
        </w:pBdr>
        <w:spacing w:after="160" w:before="400"/>
      </w:pPr>
      <w:r>
        <w:rPr>
          <w:rFonts w:ascii="Calibri" w:cs="Calibri" w:eastAsia="Calibri" w:hAnsi="Calibri"/>
          <w:b/>
          <w:bCs/>
          <w:color w:val="1B2A3A"/>
          <w:sz w:val="27"/>
          <w:szCs w:val="27"/>
        </w:rPr>
        <w:t xml:space="preserve">How the Interactive engine decides</w:t>
      </w:r>
    </w:p>
    <w:p>
      <w:pPr>
        <w:spacing w:after="130" w:line="278"/>
      </w:pPr>
      <w:r>
        <w:rPr>
          <w:rFonts w:ascii="Calibri" w:cs="Calibri" w:eastAsia="Calibri" w:hAnsi="Calibri"/>
          <w:color w:val="1B2A3A"/>
          <w:sz w:val="21"/>
          <w:szCs w:val="21"/>
        </w:rPr>
        <w:t xml:space="preserve">This is the part worth understanding properly, because it is where the site is making a suggestion rather than displaying one.</w:t>
      </w:r>
    </w:p>
    <w:p>
      <w:pPr>
        <w:spacing w:after="130" w:line="278"/>
      </w:pPr>
      <w:r>
        <w:rPr>
          <w:rFonts w:ascii="Calibri" w:cs="Calibri" w:eastAsia="Calibri" w:hAnsi="Calibri"/>
          <w:color w:val="1B2A3A"/>
          <w:sz w:val="21"/>
          <w:szCs w:val="21"/>
        </w:rPr>
        <w:t xml:space="preserve">The form is never submitted. Every keystroke re-runs evaluatePatient() in your own browser and the panel updates as you type. Nothing leaves the machine.</w:t>
      </w:r>
    </w:p>
    <w:p>
      <w:pPr>
        <w:pStyle w:val="Heading2"/>
        <w:keepNext/>
        <w:spacing w:after="110" w:before="240"/>
      </w:pPr>
      <w:r>
        <w:rPr>
          <w:rFonts w:ascii="Calibri" w:cs="Calibri" w:eastAsia="Calibri" w:hAnsi="Calibri"/>
          <w:b/>
          <w:bCs/>
          <w:color w:val="0F5C6B"/>
          <w:sz w:val="22"/>
          <w:szCs w:val="22"/>
        </w:rPr>
        <w:t xml:space="preserve">What it needs before it will answer</w:t>
      </w:r>
    </w:p>
    <w:p>
      <w:pPr>
        <w:spacing w:after="130" w:line="278"/>
      </w:pPr>
      <w:r>
        <w:rPr>
          <w:rFonts w:ascii="Calibri" w:cs="Calibri" w:eastAsia="Calibri" w:hAnsi="Calibri"/>
          <w:color w:val="1B2A3A"/>
          <w:sz w:val="21"/>
          <w:szCs w:val="21"/>
        </w:rPr>
        <w:t xml:space="preserve">Potassium, eGFR, and systolic BP are required — without all three it just says “Enter labs”. UACR and HbA1c are optional and used where given: they affect the indication checks, whether SGLT2i can start, and the insulin note. Type 2 diabetes is ticked by default and has to be actively cleared.</w:t>
      </w:r>
    </w:p>
    <w:p>
      <w:pPr>
        <w:pStyle w:val="Heading2"/>
        <w:keepNext/>
        <w:spacing w:after="110" w:before="240"/>
      </w:pPr>
      <w:r>
        <w:rPr>
          <w:rFonts w:ascii="Calibri" w:cs="Calibri" w:eastAsia="Calibri" w:hAnsi="Calibri"/>
          <w:b/>
          <w:bCs/>
          <w:color w:val="0F5C6B"/>
          <w:sz w:val="22"/>
          <w:szCs w:val="22"/>
        </w:rPr>
        <w:t xml:space="preserve">The two checks that run first</w:t>
      </w:r>
    </w:p>
    <w:p>
      <w:pPr>
        <w:spacing w:after="100" w:line="278"/>
      </w:pPr>
      <w:r>
        <w:rPr>
          <w:rFonts w:ascii="Calibri" w:cs="Calibri" w:eastAsia="Calibri" w:hAnsi="Calibri"/>
          <w:color w:val="1B2A3A"/>
          <w:sz w:val="21"/>
          <w:szCs w:val="21"/>
        </w:rPr>
        <w:t xml:space="preserve">Before anything else, four safety flags are evaluated. Two of them stop everything:</w:t>
      </w:r>
    </w:p>
    <w:p>
      <w:pPr>
        <w:pStyle w:val="ListParagraph"/>
        <w:numPr>
          <w:ilvl w:val="0"/>
          <w:numId w:val="2"/>
        </w:numPr>
        <w:spacing w:after="75" w:line="270"/>
      </w:pPr>
      <w:r>
        <w:rPr>
          <w:rFonts w:ascii="Calibri" w:cs="Calibri" w:eastAsia="Calibri" w:hAnsi="Calibri"/>
          <w:b/>
          <w:bCs/>
          <w:color w:val="1B2A3A"/>
          <w:sz w:val="21"/>
          <w:szCs w:val="21"/>
        </w:rPr>
        <w:t xml:space="preserve">SBP &lt; 90</w:t>
      </w:r>
      <w:r>
        <w:rPr>
          <w:rFonts w:ascii="Calibri" w:cs="Calibri" w:eastAsia="Calibri" w:hAnsi="Calibri"/>
          <w:color w:val="1B2A3A"/>
          <w:sz w:val="21"/>
          <w:szCs w:val="21"/>
        </w:rPr>
        <w:t xml:space="preserve"> — do not initiate or titrate any agent.</w:t>
      </w:r>
    </w:p>
    <w:p>
      <w:pPr>
        <w:pStyle w:val="ListParagraph"/>
        <w:numPr>
          <w:ilvl w:val="0"/>
          <w:numId w:val="2"/>
        </w:numPr>
        <w:spacing w:after="75" w:line="270"/>
      </w:pPr>
      <w:r>
        <w:rPr>
          <w:rFonts w:ascii="Calibri" w:cs="Calibri" w:eastAsia="Calibri" w:hAnsi="Calibri"/>
          <w:b/>
          <w:bCs/>
          <w:color w:val="1B2A3A"/>
          <w:sz w:val="21"/>
          <w:szCs w:val="21"/>
        </w:rPr>
        <w:t xml:space="preserve">eGFR dip ≥ 30% versus last labs</w:t>
      </w:r>
      <w:r>
        <w:rPr>
          <w:rFonts w:ascii="Calibri" w:cs="Calibri" w:eastAsia="Calibri" w:hAnsi="Calibri"/>
          <w:color w:val="1B2A3A"/>
          <w:sz w:val="21"/>
          <w:szCs w:val="21"/>
        </w:rPr>
        <w:t xml:space="preserve"> — same. This is a checkbox you tick; the site holds no previous labs and cannot work it out for itself.</w:t>
      </w:r>
    </w:p>
    <w:p>
      <w:pPr>
        <w:spacing w:after="130" w:line="278"/>
      </w:pPr>
      <w:r>
        <w:rPr>
          <w:rFonts w:ascii="Calibri" w:cs="Calibri" w:eastAsia="Calibri" w:hAnsi="Calibri"/>
          <w:color w:val="1B2A3A"/>
          <w:sz w:val="21"/>
          <w:szCs w:val="21"/>
        </w:rPr>
        <w:t xml:space="preserve">If either is true, the whole sequence below is skipped and you get “Hold initiation and titration” instead. The other two flags — K⁺ &gt; 4.8 and HbA1c &gt; 10% — are shown but do not halt anything. They change what comes next and at what dose.</w:t>
      </w:r>
    </w:p>
    <w:p>
      <w:pPr>
        <w:spacing w:after="60"/>
      </w:pPr>
    </w:p>
    <w:tbl>
      <w:tblPr>
        <w:tblW w:type="dxa" w:w="9360"/>
        <w:tblBorders>
          <w:top w:val="single" w:color="0F5C6B" w:sz="2"/>
          <w:left w:val="single" w:color="0F5C6B" w:sz="20"/>
          <w:bottom w:val="single" w:color="0F5C6B" w:sz="2"/>
          <w:right w:val="single" w:color="0F5C6B" w:sz="2"/>
          <w:insideH w:val="single" w:color="auto" w:sz="4"/>
          <w:insideV w:val="single" w:color="auto" w:sz="4"/>
        </w:tblBorders>
      </w:tblPr>
      <w:tblGrid>
        <w:gridCol w:w="9360"/>
      </w:tblGrid>
      <w:tr>
        <w:tc>
          <w:tcPr>
            <w:tcW w:type="dxa" w:w="9360"/>
            <w:shd w:fill="F1F6F7" w:color="auto" w:val="clear"/>
            <w:tcMar>
              <w:top w:type="dxa" w:w="150"/>
              <w:left w:type="dxa" w:w="180"/>
              <w:bottom w:type="dxa" w:w="150"/>
              <w:right w:type="dxa" w:w="180"/>
            </w:tcMar>
          </w:tcPr>
          <w:p>
            <w:pPr>
              <w:spacing w:after="90"/>
            </w:pPr>
            <w:r>
              <w:rPr>
                <w:rFonts w:ascii="Calibri" w:cs="Calibri" w:eastAsia="Calibri" w:hAnsi="Calibri"/>
                <w:b/>
                <w:bCs/>
                <w:color w:val="0F5C6B"/>
                <w:sz w:val="20"/>
                <w:szCs w:val="20"/>
              </w:rPr>
              <w:t xml:space="preserve">Why potassium does not stop the pathway</w:t>
            </w:r>
          </w:p>
          <w:p>
            <w:pPr>
              <w:spacing w:after="90" w:line="270"/>
            </w:pPr>
            <w:r>
              <w:rPr>
                <w:rFonts w:ascii="Calibri" w:cs="Calibri" w:eastAsia="Calibri" w:hAnsi="Calibri"/>
                <w:color w:val="1B2A3A"/>
                <w:sz w:val="20"/>
                <w:szCs w:val="20"/>
              </w:rPr>
              <w:t xml:space="preserve">This is the design decision most likely to be questioned, so it is worth stating plainly. Hyperkalaemia constrains RASi and finerenone. It does not constrain SGLT2i — which in fact reduces hyperkalaemia risk — so at K⁺ above 6.0 the engine pauses RASi and finerenone, starts potassium management, and still adds SGLT2i.</w:t>
            </w:r>
          </w:p>
          <w:p>
            <w:pPr>
              <w:spacing w:after="0" w:line="270"/>
            </w:pPr>
            <w:r>
              <w:rPr>
                <w:rFonts w:ascii="Calibri" w:cs="Calibri" w:eastAsia="Calibri" w:hAnsi="Calibri"/>
                <w:color w:val="1B2A3A"/>
                <w:sz w:val="20"/>
                <w:szCs w:val="20"/>
              </w:rPr>
              <w:t xml:space="preserve">Halting the whole pathway on a raised potassium is exactly the inertia the algorithm exists to counter. The tool manages around the constraint instead, and says so in the recommendation text.</w:t>
            </w:r>
          </w:p>
        </w:tc>
      </w:tr>
    </w:tbl>
    <w:p>
      <w:pPr>
        <w:pStyle w:val="Heading2"/>
        <w:keepNext/>
        <w:spacing w:after="110" w:before="240"/>
      </w:pPr>
      <w:r>
        <w:rPr>
          <w:rFonts w:ascii="Calibri" w:cs="Calibri" w:eastAsia="Calibri" w:hAnsi="Calibri"/>
          <w:b/>
          <w:bCs/>
          <w:color w:val="0F5C6B"/>
          <w:sz w:val="22"/>
          <w:szCs w:val="22"/>
        </w:rPr>
        <w:t xml:space="preserve">The walk</w:t>
      </w:r>
    </w:p>
    <w:p>
      <w:pPr>
        <w:spacing w:after="130" w:line="278"/>
      </w:pPr>
      <w:r>
        <w:rPr>
          <w:rFonts w:ascii="Calibri" w:cs="Calibri" w:eastAsia="Calibri" w:hAnsi="Calibri"/>
          <w:color w:val="1B2A3A"/>
          <w:sz w:val="21"/>
          <w:szCs w:val="21"/>
        </w:rPr>
        <w:t xml:space="preserve">Assuming nothing has halted it, the engine walks the four classes in fixed order and stops at the first one not yet in use. That is the whole mechanism.</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1750"/>
        <w:gridCol w:w="2400"/>
        <w:gridCol w:w="4490"/>
      </w:tblGrid>
      <w:tr>
        <w:trPr>
          <w:cantSplit/>
          <w:tblHeader/>
        </w:trPr>
        <w:tc>
          <w:tcPr>
            <w:tcW w:type="dxa" w:w="175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Step</w:t>
            </w:r>
          </w:p>
        </w:tc>
        <w:tc>
          <w:tcPr>
            <w:tcW w:type="dxa" w:w="240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Reached when</w:t>
            </w:r>
          </w:p>
        </w:tc>
        <w:tc>
          <w:tcPr>
            <w:tcW w:type="dxa" w:w="449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What it decides</w:t>
            </w:r>
          </w:p>
        </w:tc>
      </w:tr>
      <w:tr>
        <w:trPr>
          <w:cantSplit/>
          <w:tblHeader w:val="false"/>
        </w:trPr>
        <w:tc>
          <w:tcPr>
            <w:tcW w:type="dxa" w:w="17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1 — RASi</w:t>
            </w:r>
          </w:p>
        </w:tc>
        <w:tc>
          <w:tcPr>
            <w:tcW w:type="dxa" w:w="24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RASi not started</w:t>
            </w:r>
          </w:p>
        </w:tc>
        <w:tc>
          <w:tcPr>
            <w:tcW w:type="dxa" w:w="449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K⁺ ≤ 4.8: start at half dose. K⁺ &gt; 6.0: pause RASi, still add SGLT2i, high-dose binder, recheck in a week. In between: don’t start or up-titrate RASi, but SGLT2i can go ahead</w:t>
            </w:r>
          </w:p>
        </w:tc>
      </w:tr>
      <w:tr>
        <w:trPr>
          <w:cantSplit/>
          <w:tblHeader w:val="false"/>
        </w:trPr>
        <w:tc>
          <w:tcPr>
            <w:tcW w:type="dxa" w:w="17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2 — SGLT2i</w:t>
            </w:r>
          </w:p>
        </w:tc>
        <w:tc>
          <w:tcPr>
            <w:tcW w:type="dxa" w:w="24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RASi on board, SGLT2i not</w:t>
            </w:r>
          </w:p>
        </w:tc>
        <w:tc>
          <w:tcPr>
            <w:tcW w:type="dxa" w:w="449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HbA1c &gt; 10%: defer. Otherwise, if either the guideline or the practice criterion is met, start at target dose and continue until kidney replacement therapy</w:t>
            </w:r>
          </w:p>
        </w:tc>
      </w:tr>
      <w:tr>
        <w:trPr>
          <w:cantSplit/>
          <w:tblHeader w:val="false"/>
        </w:trPr>
        <w:tc>
          <w:tcPr>
            <w:tcW w:type="dxa" w:w="17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3 — Finerenone</w:t>
            </w:r>
          </w:p>
        </w:tc>
        <w:tc>
          <w:tcPr>
            <w:tcW w:type="dxa" w:w="24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SGLT2i on board, finerenone not</w:t>
            </w:r>
          </w:p>
        </w:tc>
        <w:tc>
          <w:tcPr>
            <w:tcW w:type="dxa" w:w="449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Needs eGFR ≥ 25 and UACR ≥ 3, or it moves you on to GLP-1 RA. If indicated: start only in the Proceed band, at the eGFR-based dose, recheck K⁺ in 2–4 weeks. In Continue or Reduce it defers; in Pause it pauses both RASi and finerenone and keeps SGLT2i</w:t>
            </w:r>
          </w:p>
        </w:tc>
      </w:tr>
      <w:tr>
        <w:trPr>
          <w:cantSplit/>
          <w:tblHeader w:val="false"/>
        </w:trPr>
        <w:tc>
          <w:tcPr>
            <w:tcW w:type="dxa" w:w="17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4 — GLP-1 RA</w:t>
            </w:r>
          </w:p>
        </w:tc>
        <w:tc>
          <w:tcPr>
            <w:tcW w:type="dxa" w:w="24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First three on board</w:t>
            </w:r>
          </w:p>
        </w:tc>
        <w:tc>
          <w:tcPr>
            <w:tcW w:type="dxa" w:w="449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On the guideline criterion (T2D, eGFR ≥ 25, UACR ≥ 3): start semaglutide 0.25 mg weekly. Quarter dose, to limit the GI effects</w:t>
            </w:r>
          </w:p>
        </w:tc>
      </w:tr>
      <w:tr>
        <w:trPr>
          <w:cantSplit/>
          <w:tblHeader w:val="false"/>
        </w:trPr>
        <w:tc>
          <w:tcPr>
            <w:tcW w:type="dxa" w:w="17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5 — Titrate</w:t>
            </w:r>
          </w:p>
        </w:tc>
        <w:tc>
          <w:tcPr>
            <w:tcW w:type="dxa" w:w="24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All four on board</w:t>
            </w:r>
          </w:p>
        </w:tc>
        <w:tc>
          <w:tcPr>
            <w:tcW w:type="dxa" w:w="449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Titrate to maximum tolerated dose — but only up-titrate RASi and finerenone while potassium is at or below 4.8</w:t>
            </w:r>
          </w:p>
        </w:tc>
      </w:tr>
    </w:tbl>
    <w:p>
      <w:pPr>
        <w:spacing w:after="160"/>
      </w:pPr>
    </w:p>
    <w:p>
      <w:pPr>
        <w:spacing w:after="130" w:line="278"/>
      </w:pPr>
      <w:r>
        <w:rPr>
          <w:rFonts w:ascii="Calibri" w:cs="Calibri" w:eastAsia="Calibri" w:hAnsi="Calibri"/>
          <w:color w:val="1B2A3A"/>
          <w:sz w:val="21"/>
          <w:szCs w:val="21"/>
        </w:rPr>
        <w:t xml:space="preserve">Two notes get appended when they apply: reduce insulin or a secretagogue if HbA1c is 8% or below and you are adding SGLT2i or GLP-1 RA; and in the Reduce or Pause bands, a reminder to use a dietitian and a binder rather than dropping the pathway.</w:t>
      </w:r>
    </w:p>
    <w:p>
      <w:pPr>
        <w:pStyle w:val="Heading2"/>
        <w:keepNext/>
        <w:spacing w:after="110" w:before="240"/>
      </w:pPr>
      <w:r>
        <w:rPr>
          <w:rFonts w:ascii="Calibri" w:cs="Calibri" w:eastAsia="Calibri" w:hAnsi="Calibri"/>
          <w:b/>
          <w:bCs/>
          <w:color w:val="0F5C6B"/>
          <w:sz w:val="22"/>
          <w:szCs w:val="22"/>
        </w:rPr>
        <w:t xml:space="preserve">One action, not a list</w:t>
      </w:r>
    </w:p>
    <w:p>
      <w:pPr>
        <w:spacing w:after="130" w:line="278"/>
      </w:pPr>
      <w:r>
        <w:rPr>
          <w:rFonts w:ascii="Calibri" w:cs="Calibri" w:eastAsia="Calibri" w:hAnsi="Calibri"/>
          <w:color w:val="1B2A3A"/>
          <w:sz w:val="21"/>
          <w:szCs w:val="21"/>
        </w:rPr>
        <w:t xml:space="preserve">The panel returns a single “Do this now”, alongside the potassium band, any active flags, and an indication check for each class. It would have been easy to return a ranked list of options — and that would have handed the user back the exact problem the tool exists to solve. Deciding what comes next is the work; showing four candidates is not doing it.</w:t>
      </w:r>
    </w:p>
    <w:p>
      <w:pPr>
        <w:pStyle w:val="Heading1"/>
        <w:keepNext/>
        <w:pBdr>
          <w:bottom w:val="single" w:color="C7D0D8" w:sz="6"/>
        </w:pBdr>
        <w:spacing w:after="160" w:before="400"/>
      </w:pPr>
      <w:r>
        <w:rPr>
          <w:rFonts w:ascii="Calibri" w:cs="Calibri" w:eastAsia="Calibri" w:hAnsi="Calibri"/>
          <w:b/>
          <w:bCs/>
          <w:color w:val="1B2A3A"/>
          <w:sz w:val="27"/>
          <w:szCs w:val="27"/>
        </w:rPr>
        <w:t xml:space="preserve">The numbers it applies</w:t>
      </w:r>
    </w:p>
    <w:p>
      <w:pPr>
        <w:spacing w:after="130" w:line="278"/>
      </w:pPr>
      <w:r>
        <w:rPr>
          <w:rFonts w:ascii="Calibri" w:cs="Calibri" w:eastAsia="Calibri" w:hAnsi="Calibri"/>
          <w:color w:val="1B2A3A"/>
          <w:sz w:val="21"/>
          <w:szCs w:val="21"/>
        </w:rPr>
        <w:t xml:space="preserve">Quick reference. These are read from the code, not from the notes — if you are checking a value, this is the version that matches what the site actually does.</w:t>
      </w:r>
    </w:p>
    <w:p>
      <w:pPr>
        <w:pStyle w:val="Heading2"/>
        <w:keepNext/>
        <w:spacing w:after="110" w:before="240"/>
      </w:pPr>
      <w:r>
        <w:rPr>
          <w:rFonts w:ascii="Calibri" w:cs="Calibri" w:eastAsia="Calibri" w:hAnsi="Calibri"/>
          <w:b/>
          <w:bCs/>
          <w:color w:val="0F5C6B"/>
          <w:sz w:val="22"/>
          <w:szCs w:val="22"/>
        </w:rPr>
        <w:t xml:space="preserve">Potassium bands</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1400"/>
        <w:gridCol w:w="1750"/>
        <w:gridCol w:w="5490"/>
      </w:tblGrid>
      <w:tr>
        <w:trPr>
          <w:cantSplit/>
          <w:tblHeader/>
        </w:trPr>
        <w:tc>
          <w:tcPr>
            <w:tcW w:type="dxa" w:w="140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Band</w:t>
            </w:r>
          </w:p>
        </w:tc>
        <w:tc>
          <w:tcPr>
            <w:tcW w:type="dxa" w:w="175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Range</w:t>
            </w:r>
          </w:p>
        </w:tc>
        <w:tc>
          <w:tcPr>
            <w:tcW w:type="dxa" w:w="549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Action</w:t>
            </w:r>
          </w:p>
        </w:tc>
      </w:tr>
      <w:tr>
        <w:trPr>
          <w:cantSplit/>
          <w:tblHeader w:val="false"/>
        </w:trPr>
        <w:tc>
          <w:tcPr>
            <w:tcW w:type="dxa" w:w="14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Proceed</w:t>
            </w:r>
          </w:p>
        </w:tc>
        <w:tc>
          <w:tcPr>
            <w:tcW w:type="dxa" w:w="17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K⁺ ≤ 4.8</w:t>
            </w:r>
          </w:p>
        </w:tc>
        <w:tc>
          <w:tcPr>
            <w:tcW w:type="dxa" w:w="549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Initiate and titrate all agents</w:t>
            </w:r>
          </w:p>
        </w:tc>
      </w:tr>
      <w:tr>
        <w:trPr>
          <w:cantSplit/>
          <w:tblHeader w:val="false"/>
        </w:trPr>
        <w:tc>
          <w:tcPr>
            <w:tcW w:type="dxa" w:w="14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Continue</w:t>
            </w:r>
          </w:p>
        </w:tc>
        <w:tc>
          <w:tcPr>
            <w:tcW w:type="dxa" w:w="17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4.8 &lt; K⁺ ≤ 5.5</w:t>
            </w:r>
          </w:p>
        </w:tc>
        <w:tc>
          <w:tcPr>
            <w:tcW w:type="dxa" w:w="549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Same or reduced dose onward</w:t>
            </w:r>
          </w:p>
        </w:tc>
      </w:tr>
      <w:tr>
        <w:trPr>
          <w:cantSplit/>
          <w:tblHeader w:val="false"/>
        </w:trPr>
        <w:tc>
          <w:tcPr>
            <w:tcW w:type="dxa" w:w="14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Reduce</w:t>
            </w:r>
          </w:p>
        </w:tc>
        <w:tc>
          <w:tcPr>
            <w:tcW w:type="dxa" w:w="17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5.5 &lt; K⁺ ≤ 6.0</w:t>
            </w:r>
          </w:p>
        </w:tc>
        <w:tc>
          <w:tcPr>
            <w:tcW w:type="dxa" w:w="549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Reduce RASi, pause finerenone, standard binder</w:t>
            </w:r>
          </w:p>
        </w:tc>
      </w:tr>
      <w:tr>
        <w:trPr>
          <w:cantSplit/>
          <w:tblHeader w:val="false"/>
        </w:trPr>
        <w:tc>
          <w:tcPr>
            <w:tcW w:type="dxa" w:w="14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Pause</w:t>
            </w:r>
          </w:p>
        </w:tc>
        <w:tc>
          <w:tcPr>
            <w:tcW w:type="dxa" w:w="17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K⁺ &gt; 6.0</w:t>
            </w:r>
          </w:p>
        </w:tc>
        <w:tc>
          <w:tcPr>
            <w:tcW w:type="dxa" w:w="549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Pause RASi and finerenone, high-dose binder × 72 h, recheck 1 week</w:t>
            </w:r>
          </w:p>
        </w:tc>
      </w:tr>
    </w:tbl>
    <w:p>
      <w:pPr>
        <w:spacing w:after="140"/>
      </w:pPr>
    </w:p>
    <w:p>
      <w:pPr>
        <w:spacing w:after="130" w:line="278"/>
      </w:pPr>
      <w:r>
        <w:rPr>
          <w:rFonts w:ascii="Calibri" w:cs="Calibri" w:eastAsia="Calibri" w:hAnsi="Calibri"/>
          <w:i/>
          <w:iCs/>
          <w:color w:val="5A6875"/>
          <w:sz w:val="19"/>
          <w:szCs w:val="19"/>
        </w:rPr>
        <w:t xml:space="preserve">Each band is closed at the top: 4.8 is Proceed, 5.5 is Continue, 6.0 is Reduce. Only above 6.0 is Pause.</w:t>
      </w:r>
    </w:p>
    <w:p>
      <w:pPr>
        <w:pStyle w:val="Heading2"/>
        <w:keepNext/>
        <w:spacing w:after="110" w:before="240"/>
      </w:pPr>
      <w:r>
        <w:rPr>
          <w:rFonts w:ascii="Calibri" w:cs="Calibri" w:eastAsia="Calibri" w:hAnsi="Calibri"/>
          <w:b/>
          <w:bCs/>
          <w:color w:val="0F5C6B"/>
          <w:sz w:val="22"/>
          <w:szCs w:val="22"/>
        </w:rPr>
        <w:t xml:space="preserve">Indications</w:t>
      </w:r>
    </w:p>
    <w:p>
      <w:pPr>
        <w:spacing w:after="140" w:line="278"/>
      </w:pPr>
      <w:r>
        <w:rPr>
          <w:rFonts w:ascii="Calibri" w:cs="Calibri" w:eastAsia="Calibri" w:hAnsi="Calibri"/>
          <w:i/>
          <w:iCs/>
          <w:color w:val="5A6875"/>
          <w:sz w:val="19"/>
          <w:szCs w:val="19"/>
        </w:rPr>
        <w:t xml:space="preserve">UACR is in mg/mmol everywhere on the site — 3 mg/mmol is roughly 30 mg/g.</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1700"/>
        <w:gridCol w:w="3470"/>
        <w:gridCol w:w="3470"/>
      </w:tblGrid>
      <w:tr>
        <w:trPr>
          <w:cantSplit/>
          <w:tblHeader/>
        </w:trPr>
        <w:tc>
          <w:tcPr>
            <w:tcW w:type="dxa" w:w="170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Class</w:t>
            </w:r>
          </w:p>
        </w:tc>
        <w:tc>
          <w:tcPr>
            <w:tcW w:type="dxa" w:w="347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Guideline</w:t>
            </w:r>
          </w:p>
        </w:tc>
        <w:tc>
          <w:tcPr>
            <w:tcW w:type="dxa" w:w="347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Clinical practice</w:t>
            </w:r>
          </w:p>
        </w:tc>
      </w:tr>
      <w:tr>
        <w:trPr>
          <w:cantSplit/>
          <w:tblHeader w:val="false"/>
        </w:trPr>
        <w:tc>
          <w:tcPr>
            <w:tcW w:type="dxa" w:w="17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SGLT2i</w:t>
            </w:r>
          </w:p>
        </w:tc>
        <w:tc>
          <w:tcPr>
            <w:tcW w:type="dxa" w:w="347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T2D and eGFR ≥ 20; or eGFR ≥ 20 and UACR ≥ 20; or eGFR ≥ 20 and ≤ 45 with UACR &lt; 20</w:t>
            </w:r>
          </w:p>
        </w:tc>
        <w:tc>
          <w:tcPr>
            <w:tcW w:type="dxa" w:w="347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eGFR ≥ 20 and UACR ≥ 3, with or without T2D</w:t>
            </w:r>
          </w:p>
        </w:tc>
      </w:tr>
      <w:tr>
        <w:trPr>
          <w:cantSplit/>
          <w:tblHeader w:val="false"/>
        </w:trPr>
        <w:tc>
          <w:tcPr>
            <w:tcW w:type="dxa" w:w="17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ns-MRA (finerenone)</w:t>
            </w:r>
          </w:p>
        </w:tc>
        <w:tc>
          <w:tcPr>
            <w:tcW w:type="dxa" w:w="347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eGFR ≥ 25 and UACR ≥ 3</w:t>
            </w:r>
          </w:p>
        </w:tc>
        <w:tc>
          <w:tcPr>
            <w:tcW w:type="dxa" w:w="347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Same threshold; also stated for non-diabetic CKD and both type 1 and type 2 diabetes</w:t>
            </w:r>
          </w:p>
        </w:tc>
      </w:tr>
      <w:tr>
        <w:trPr>
          <w:cantSplit/>
          <w:tblHeader w:val="false"/>
        </w:trPr>
        <w:tc>
          <w:tcPr>
            <w:tcW w:type="dxa" w:w="17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GLP-1 RA</w:t>
            </w:r>
          </w:p>
        </w:tc>
        <w:tc>
          <w:tcPr>
            <w:tcW w:type="dxa" w:w="347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T2D, eGFR ≥ 25 and UACR ≥ 3</w:t>
            </w:r>
          </w:p>
        </w:tc>
        <w:tc>
          <w:tcPr>
            <w:tcW w:type="dxa" w:w="347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T2D and UACR ≥ 3 — no eGFR floor</w:t>
            </w:r>
          </w:p>
        </w:tc>
      </w:tr>
    </w:tbl>
    <w:p>
      <w:pPr>
        <w:spacing w:after="140"/>
      </w:pPr>
    </w:p>
    <w:p>
      <w:pPr>
        <w:spacing w:after="130" w:line="278"/>
      </w:pPr>
      <w:r>
        <w:rPr>
          <w:rFonts w:ascii="Calibri" w:cs="Calibri" w:eastAsia="Calibri" w:hAnsi="Calibri"/>
          <w:color w:val="1B2A3A"/>
          <w:sz w:val="21"/>
          <w:szCs w:val="21"/>
        </w:rPr>
        <w:t xml:space="preserve">Worth knowing: any criterion mentioning UACR needs a UACR value entered. Leave it blank and those criteria read as not met — so an empty field currently looks the same as a negative result. The SGLT2i guideline indication is the exception; it is still reachable through the T2D-and-eGFR ≥ 20 limb.</w:t>
      </w:r>
    </w:p>
    <w:p>
      <w:pPr>
        <w:pStyle w:val="Heading2"/>
        <w:keepNext/>
        <w:spacing w:after="110" w:before="240"/>
      </w:pPr>
      <w:r>
        <w:rPr>
          <w:rFonts w:ascii="Calibri" w:cs="Calibri" w:eastAsia="Calibri" w:hAnsi="Calibri"/>
          <w:b/>
          <w:bCs/>
          <w:color w:val="0F5C6B"/>
          <w:sz w:val="22"/>
          <w:szCs w:val="22"/>
        </w:rPr>
        <w:t xml:space="preserve">Doses</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2150"/>
        <w:gridCol w:w="6490"/>
      </w:tblGrid>
      <w:tr>
        <w:trPr>
          <w:cantSplit/>
          <w:tblHeader/>
        </w:trPr>
        <w:tc>
          <w:tcPr>
            <w:tcW w:type="dxa" w:w="215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Class</w:t>
            </w:r>
          </w:p>
        </w:tc>
        <w:tc>
          <w:tcPr>
            <w:tcW w:type="dxa" w:w="649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As implemented</w:t>
            </w:r>
          </w:p>
        </w:tc>
      </w:tr>
      <w:tr>
        <w:trPr>
          <w:cantSplit/>
          <w:tblHeader w:val="false"/>
        </w:trPr>
        <w:tc>
          <w:tcPr>
            <w:tcW w:type="dxa" w:w="21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RASi</w:t>
            </w:r>
          </w:p>
        </w:tc>
        <w:tc>
          <w:tcPr>
            <w:tcW w:type="dxa" w:w="649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Half dose, then titrate up</w:t>
            </w:r>
          </w:p>
        </w:tc>
      </w:tr>
      <w:tr>
        <w:trPr>
          <w:cantSplit/>
          <w:tblHeader w:val="false"/>
        </w:trPr>
        <w:tc>
          <w:tcPr>
            <w:tcW w:type="dxa" w:w="21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SGLT2i</w:t>
            </w:r>
          </w:p>
        </w:tc>
        <w:tc>
          <w:tcPr>
            <w:tcW w:type="dxa" w:w="649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Target dose from the start — empagliflozin 10 mg, dapagliflozin 10 mg, or canagliflozin 100 mg. Continued below eGFR 20 until kidney replacement therapy</w:t>
            </w:r>
          </w:p>
        </w:tc>
      </w:tr>
      <w:tr>
        <w:trPr>
          <w:cantSplit/>
          <w:tblHeader w:val="false"/>
        </w:trPr>
        <w:tc>
          <w:tcPr>
            <w:tcW w:type="dxa" w:w="21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Finerenone</w:t>
            </w:r>
          </w:p>
        </w:tc>
        <w:tc>
          <w:tcPr>
            <w:tcW w:type="dxa" w:w="649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None below eGFR 25. 10 mg daily at eGFR 25–59, 20 mg daily at eGFR 60 and above</w:t>
            </w:r>
          </w:p>
        </w:tc>
      </w:tr>
      <w:tr>
        <w:trPr>
          <w:cantSplit/>
          <w:tblHeader w:val="false"/>
        </w:trPr>
        <w:tc>
          <w:tcPr>
            <w:tcW w:type="dxa" w:w="21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GLP-1 RA</w:t>
            </w:r>
          </w:p>
        </w:tc>
        <w:tc>
          <w:tcPr>
            <w:tcW w:type="dxa" w:w="649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Semaglutide 0.25 mg weekly, titrating 0.25 → 0.5 → 1 mg</w:t>
            </w:r>
          </w:p>
        </w:tc>
      </w:tr>
    </w:tbl>
    <w:p>
      <w:pPr>
        <w:pStyle w:val="Heading2"/>
        <w:keepNext/>
        <w:spacing w:after="110" w:before="240"/>
      </w:pPr>
      <w:r>
        <w:rPr>
          <w:rFonts w:ascii="Calibri" w:cs="Calibri" w:eastAsia="Calibri" w:hAnsi="Calibri"/>
          <w:b/>
          <w:bCs/>
          <w:color w:val="0F5C6B"/>
          <w:sz w:val="22"/>
          <w:szCs w:val="22"/>
        </w:rPr>
        <w:t xml:space="preserve">Safety stops</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2400"/>
        <w:gridCol w:w="2200"/>
        <w:gridCol w:w="4040"/>
      </w:tblGrid>
      <w:tr>
        <w:trPr>
          <w:cantSplit/>
          <w:tblHeader/>
        </w:trPr>
        <w:tc>
          <w:tcPr>
            <w:tcW w:type="dxa" w:w="240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Flag</w:t>
            </w:r>
          </w:p>
        </w:tc>
        <w:tc>
          <w:tcPr>
            <w:tcW w:type="dxa" w:w="220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Trigger</w:t>
            </w:r>
          </w:p>
        </w:tc>
        <w:tc>
          <w:tcPr>
            <w:tcW w:type="dxa" w:w="404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Effect</w:t>
            </w:r>
          </w:p>
        </w:tc>
      </w:tr>
      <w:tr>
        <w:trPr>
          <w:cantSplit/>
          <w:tblHeader w:val="false"/>
        </w:trPr>
        <w:tc>
          <w:tcPr>
            <w:tcW w:type="dxa" w:w="24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Hypotension</w:t>
            </w:r>
          </w:p>
        </w:tc>
        <w:tc>
          <w:tcPr>
            <w:tcW w:type="dxa" w:w="22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SBP &lt; 90</w:t>
            </w:r>
          </w:p>
        </w:tc>
        <w:tc>
          <w:tcPr>
            <w:tcW w:type="dxa" w:w="40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Halts everything</w:t>
            </w:r>
          </w:p>
        </w:tc>
      </w:tr>
      <w:tr>
        <w:trPr>
          <w:cantSplit/>
          <w:tblHeader w:val="false"/>
        </w:trPr>
        <w:tc>
          <w:tcPr>
            <w:tcW w:type="dxa" w:w="24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eGFR dip</w:t>
            </w:r>
          </w:p>
        </w:tc>
        <w:tc>
          <w:tcPr>
            <w:tcW w:type="dxa" w:w="22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 30% vs last labs (ticked)</w:t>
            </w:r>
          </w:p>
        </w:tc>
        <w:tc>
          <w:tcPr>
            <w:tcW w:type="dxa" w:w="40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Halts everything</w:t>
            </w:r>
          </w:p>
        </w:tc>
      </w:tr>
      <w:tr>
        <w:trPr>
          <w:cantSplit/>
          <w:tblHeader w:val="false"/>
        </w:trPr>
        <w:tc>
          <w:tcPr>
            <w:tcW w:type="dxa" w:w="24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Hyperkalaemia</w:t>
            </w:r>
          </w:p>
        </w:tc>
        <w:tc>
          <w:tcPr>
            <w:tcW w:type="dxa" w:w="22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K⁺ &gt; 4.8</w:t>
            </w:r>
          </w:p>
        </w:tc>
        <w:tc>
          <w:tcPr>
            <w:tcW w:type="dxa" w:w="40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No starting or up-titrating RASi or ns-MRA</w:t>
            </w:r>
          </w:p>
        </w:tc>
      </w:tr>
      <w:tr>
        <w:trPr>
          <w:cantSplit/>
          <w:tblHeader w:val="false"/>
        </w:trPr>
        <w:tc>
          <w:tcPr>
            <w:tcW w:type="dxa" w:w="24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Glycaemia</w:t>
            </w:r>
          </w:p>
        </w:tc>
        <w:tc>
          <w:tcPr>
            <w:tcW w:type="dxa" w:w="22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HbA1c &gt; 10%, SGLT2i not started</w:t>
            </w:r>
          </w:p>
        </w:tc>
        <w:tc>
          <w:tcPr>
            <w:tcW w:type="dxa" w:w="40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No starting SGLT2i</w:t>
            </w:r>
          </w:p>
        </w:tc>
      </w:tr>
    </w:tbl>
    <w:p>
      <w:pPr>
        <w:spacing w:after="140"/>
      </w:pPr>
    </w:p>
    <w:p>
      <w:pPr>
        <w:spacing w:after="130" w:line="278"/>
      </w:pPr>
      <w:r>
        <w:rPr>
          <w:rFonts w:ascii="Calibri" w:cs="Calibri" w:eastAsia="Calibri" w:hAnsi="Calibri"/>
          <w:color w:val="1B2A3A"/>
          <w:sz w:val="21"/>
          <w:szCs w:val="21"/>
        </w:rPr>
        <w:t xml:space="preserve">On the Chart only, as reference cards: an eGFR fall of 30% or more against last labs means repeat in 2 weeks and hold; 40% or more against baseline means stop or reduce and get a renal ultrasound. For blood pressure, reduce other antihypertensives first, then consider dropping the RASi dose. For hypoglycaemia, no adjustment above HbA1c 8%, reduce insulin or secretagogue at or below it.</w:t>
      </w:r>
    </w:p>
    <w:p>
      <w:pPr>
        <w:pStyle w:val="Heading1"/>
        <w:keepNext/>
        <w:pBdr>
          <w:bottom w:val="single" w:color="C7D0D8" w:sz="6"/>
        </w:pBdr>
        <w:spacing w:after="160" w:before="400"/>
      </w:pPr>
      <w:r>
        <w:rPr>
          <w:rFonts w:ascii="Calibri" w:cs="Calibri" w:eastAsia="Calibri" w:hAnsi="Calibri"/>
          <w:b/>
          <w:bCs/>
          <w:color w:val="1B2A3A"/>
          <w:sz w:val="27"/>
          <w:szCs w:val="27"/>
        </w:rPr>
        <w:t xml:space="preserve">Choices we made, and why</w:t>
      </w:r>
    </w:p>
    <w:p>
      <w:pPr>
        <w:spacing w:after="130" w:line="278"/>
      </w:pPr>
      <w:r>
        <w:rPr>
          <w:rFonts w:ascii="Calibri" w:cs="Calibri" w:eastAsia="Calibri" w:hAnsi="Calibri"/>
          <w:color w:val="1B2A3A"/>
          <w:sz w:val="21"/>
          <w:szCs w:val="21"/>
        </w:rPr>
        <w:t xml:space="preserve">A few things in the implementation are decisions rather than transcription, and are worth having on the record so nobody has to reverse-engineer the reasoning later.</w:t>
      </w:r>
    </w:p>
    <w:p>
      <w:pPr>
        <w:spacing w:after="60"/>
      </w:pP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2500"/>
        <w:gridCol w:w="6140"/>
      </w:tblGrid>
      <w:tr>
        <w:trPr>
          <w:cantSplit/>
          <w:tblHeader/>
        </w:trPr>
        <w:tc>
          <w:tcPr>
            <w:tcW w:type="dxa" w:w="250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Choice</w:t>
            </w:r>
          </w:p>
        </w:tc>
        <w:tc>
          <w:tcPr>
            <w:tcW w:type="dxa" w:w="614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Reasoning</w:t>
            </w:r>
          </w:p>
        </w:tc>
      </w:tr>
      <w:tr>
        <w:trPr>
          <w:cantSplit/>
          <w:tblHeader w:val="false"/>
        </w:trPr>
        <w:tc>
          <w:tcPr>
            <w:tcW w:type="dxa" w:w="25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Strictly sequential initiation</w:t>
            </w:r>
          </w:p>
        </w:tc>
        <w:tc>
          <w:tcPr>
            <w:tcW w:type="dxa" w:w="61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CONFIDENCE supports starting finerenone and an SGLT2i together, and the engine could have done that. It doesn’t, for two reasons: our written algorithm is sequential, and if two classes start at once a subsequent rise in potassium can’t be attributed to either. Keeping the K⁺ check between steps is what makes it interpretable</w:t>
            </w:r>
          </w:p>
        </w:tc>
      </w:tr>
      <w:tr>
        <w:trPr>
          <w:cantSplit/>
          <w:tblHeader w:val="false"/>
        </w:trPr>
        <w:tc>
          <w:tcPr>
            <w:tcW w:type="dxa" w:w="25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Potassium never halts the pathway</w:t>
            </w:r>
          </w:p>
        </w:tc>
        <w:tc>
          <w:tcPr>
            <w:tcW w:type="dxa" w:w="61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Covered above — the constraint applies to two of the four classes, and treating it as a full stop reproduces the inertia the algorithm is meant to counter</w:t>
            </w:r>
          </w:p>
        </w:tc>
      </w:tr>
      <w:tr>
        <w:trPr>
          <w:cantSplit/>
          <w:tblHeader w:val="false"/>
        </w:trPr>
        <w:tc>
          <w:tcPr>
            <w:tcW w:type="dxa" w:w="25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Guideline and practice shown separately</w:t>
            </w:r>
          </w:p>
        </w:tc>
        <w:tc>
          <w:tcPr>
            <w:tcW w:type="dxa" w:w="61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Our practice thresholds are broader than the guideline criteria for two of the three classes. Showing one number would have quietly picked a side</w:t>
            </w:r>
          </w:p>
        </w:tc>
      </w:tr>
      <w:tr>
        <w:trPr>
          <w:cantSplit/>
          <w:tblHeader w:val="false"/>
        </w:trPr>
        <w:tc>
          <w:tcPr>
            <w:tcW w:type="dxa" w:w="25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Open-all cards</w:t>
            </w:r>
          </w:p>
        </w:tc>
        <w:tc>
          <w:tcPr>
            <w:tcW w:type="dxa" w:w="61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The three classes get compared against each other, so they open together</w:t>
            </w:r>
          </w:p>
        </w:tc>
      </w:tr>
      <w:tr>
        <w:trPr>
          <w:cantSplit/>
          <w:tblHeader w:val="false"/>
        </w:trPr>
        <w:tc>
          <w:tcPr>
            <w:tcW w:type="dxa" w:w="25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Everything in the browser</w:t>
            </w:r>
          </w:p>
        </w:tc>
        <w:tc>
          <w:tcPr>
            <w:tcW w:type="dxa" w:w="61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No submit, no storage, no transmission. It removes the data-handling question entirely rather than answering it</w:t>
            </w:r>
          </w:p>
        </w:tc>
      </w:tr>
      <w:tr>
        <w:trPr>
          <w:cantSplit/>
          <w:tblHeader w:val="false"/>
        </w:trPr>
        <w:tc>
          <w:tcPr>
            <w:tcW w:type="dxa" w:w="25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One recommendation</w:t>
            </w:r>
          </w:p>
        </w:tc>
        <w:tc>
          <w:tcPr>
            <w:tcW w:type="dxa" w:w="61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The tool exists to resolve the next-step question, not to restate the options</w:t>
            </w:r>
          </w:p>
        </w:tc>
      </w:tr>
    </w:tbl>
    <w:p>
      <w:pPr>
        <w:spacing w:after="160"/>
      </w:pPr>
    </w:p>
    <w:p>
      <w:pPr>
        <w:spacing w:after="130" w:line="278"/>
      </w:pPr>
      <w:r>
        <w:rPr>
          <w:rFonts w:ascii="Calibri" w:cs="Calibri" w:eastAsia="Calibri" w:hAnsi="Calibri"/>
          <w:color w:val="1B2A3A"/>
          <w:sz w:val="21"/>
          <w:szCs w:val="21"/>
        </w:rPr>
        <w:t xml:space="preserve">The clinical basis for all of it is the practical algorithm in Mohsen et al., J Clin Endocrinol Metab, 11 April 2026 (doi:10.1210/clinem/dgag163), as adapted into our one-page document. Where the site and the one-pager could ever differ, the one-pager wins and the code gets corrected.</w:t>
      </w:r>
    </w:p>
    <w:p>
      <w:pPr>
        <w:pStyle w:val="Heading1"/>
        <w:keepNext/>
        <w:pBdr>
          <w:bottom w:val="single" w:color="C7D0D8" w:sz="6"/>
        </w:pBdr>
        <w:spacing w:after="160" w:before="400"/>
      </w:pPr>
      <w:r>
        <w:rPr>
          <w:rFonts w:ascii="Calibri" w:cs="Calibri" w:eastAsia="Calibri" w:hAnsi="Calibri"/>
          <w:b/>
          <w:bCs/>
          <w:color w:val="1B2A3A"/>
          <w:sz w:val="27"/>
          <w:szCs w:val="27"/>
        </w:rPr>
        <w:t xml:space="preserve">Changing something</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2900"/>
        <w:gridCol w:w="5740"/>
      </w:tblGrid>
      <w:tr>
        <w:trPr>
          <w:cantSplit/>
          <w:tblHeader/>
        </w:trPr>
        <w:tc>
          <w:tcPr>
            <w:tcW w:type="dxa" w:w="290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To change…</w:t>
            </w:r>
          </w:p>
        </w:tc>
        <w:tc>
          <w:tcPr>
            <w:tcW w:type="dxa" w:w="574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Edit…</w:t>
            </w:r>
          </w:p>
        </w:tc>
      </w:tr>
      <w:tr>
        <w:trPr>
          <w:cantSplit/>
          <w:tblHeader w:val="false"/>
        </w:trPr>
        <w:tc>
          <w:tcPr>
            <w:tcW w:type="dxa" w:w="29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 potassium band boundary</w:t>
            </w:r>
          </w:p>
        </w:tc>
        <w:tc>
          <w:tcPr>
            <w:tcW w:type="dxa" w:w="57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kBands in data.js (the displayed range) and kBandFromValue() in logic.js (the comparison). Both, always</w:t>
            </w:r>
          </w:p>
        </w:tc>
      </w:tr>
      <w:tr>
        <w:trPr>
          <w:cantSplit/>
          <w:tblHeader w:val="false"/>
        </w:trPr>
        <w:tc>
          <w:tcPr>
            <w:tcW w:type="dxa" w:w="29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An indication criterion</w:t>
            </w:r>
          </w:p>
        </w:tc>
        <w:tc>
          <w:tcPr>
            <w:tcW w:type="dxa" w:w="57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indications in data.js and the matching condition in evaluatePatient()</w:t>
            </w:r>
          </w:p>
        </w:tc>
      </w:tr>
      <w:tr>
        <w:trPr>
          <w:cantSplit/>
          <w:tblHeader w:val="false"/>
        </w:trPr>
        <w:tc>
          <w:tcPr>
            <w:tcW w:type="dxa" w:w="29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 finerenone dose or its eGFR breakpoint</w:t>
            </w:r>
          </w:p>
        </w:tc>
        <w:tc>
          <w:tcPr>
            <w:tcW w:type="dxa" w:w="57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finerenoneDose() in logic.js and the dose line in steps in data.js</w:t>
            </w:r>
          </w:p>
        </w:tc>
      </w:tr>
      <w:tr>
        <w:trPr>
          <w:cantSplit/>
          <w:tblHeader w:val="false"/>
        </w:trPr>
        <w:tc>
          <w:tcPr>
            <w:tcW w:type="dxa" w:w="29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 safety stop</w:t>
            </w:r>
          </w:p>
        </w:tc>
        <w:tc>
          <w:tcPr>
            <w:tcW w:type="dxa" w:w="57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stopRules in data.js for display, the stops block in evaluatePatient() for behaviour</w:t>
            </w:r>
          </w:p>
        </w:tc>
      </w:tr>
      <w:tr>
        <w:trPr>
          <w:cantSplit/>
          <w:tblHeader w:val="false"/>
        </w:trPr>
        <w:tc>
          <w:tcPr>
            <w:tcW w:type="dxa" w:w="29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The order of the four classes</w:t>
            </w:r>
          </w:p>
        </w:tc>
        <w:tc>
          <w:tcPr>
            <w:tcW w:type="dxa" w:w="57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The order of the branches in evaluatePatient(). The only change that can’t be made in data alone</w:t>
            </w:r>
          </w:p>
        </w:tc>
      </w:tr>
      <w:tr>
        <w:trPr>
          <w:cantSplit/>
          <w:tblHeader w:val="false"/>
        </w:trPr>
        <w:tc>
          <w:tcPr>
            <w:tcW w:type="dxa" w:w="29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 class colour</w:t>
            </w:r>
          </w:p>
        </w:tc>
        <w:tc>
          <w:tcPr>
            <w:tcW w:type="dxa" w:w="57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theme.js, with the underlying value in index.css</w:t>
            </w:r>
          </w:p>
        </w:tc>
      </w:tr>
    </w:tbl>
    <w:p>
      <w:pPr>
        <w:spacing w:after="170"/>
      </w:pPr>
    </w:p>
    <w:tbl>
      <w:tblPr>
        <w:tblW w:type="dxa" w:w="9360"/>
        <w:tblBorders>
          <w:top w:val="single" w:color="9A6B1E" w:sz="2"/>
          <w:left w:val="single" w:color="9A6B1E" w:sz="20"/>
          <w:bottom w:val="single" w:color="9A6B1E" w:sz="2"/>
          <w:right w:val="single" w:color="9A6B1E" w:sz="2"/>
          <w:insideH w:val="single" w:color="auto" w:sz="4"/>
          <w:insideV w:val="single" w:color="auto" w:sz="4"/>
        </w:tblBorders>
      </w:tblPr>
      <w:tblGrid>
        <w:gridCol w:w="9360"/>
      </w:tblGrid>
      <w:tr>
        <w:tc>
          <w:tcPr>
            <w:tcW w:type="dxa" w:w="9360"/>
            <w:shd w:fill="FBF3E6" w:color="auto" w:val="clear"/>
            <w:tcMar>
              <w:top w:type="dxa" w:w="150"/>
              <w:left w:type="dxa" w:w="180"/>
              <w:bottom w:type="dxa" w:w="150"/>
              <w:right w:type="dxa" w:w="180"/>
            </w:tcMar>
          </w:tcPr>
          <w:p>
            <w:pPr>
              <w:spacing w:after="90"/>
            </w:pPr>
            <w:r>
              <w:rPr>
                <w:rFonts w:ascii="Calibri" w:cs="Calibri" w:eastAsia="Calibri" w:hAnsi="Calibri"/>
                <w:b/>
                <w:bCs/>
                <w:color w:val="9A6B1E"/>
                <w:sz w:val="20"/>
                <w:szCs w:val="20"/>
              </w:rPr>
              <w:t xml:space="preserve">The trap</w:t>
            </w:r>
          </w:p>
          <w:p>
            <w:pPr>
              <w:spacing w:after="90" w:line="270"/>
            </w:pPr>
            <w:r>
              <w:rPr>
                <w:rFonts w:ascii="Calibri" w:cs="Calibri" w:eastAsia="Calibri" w:hAnsi="Calibri"/>
                <w:color w:val="1B2A3A"/>
                <w:sz w:val="20"/>
                <w:szCs w:val="20"/>
              </w:rPr>
              <w:t xml:space="preserve">Almost every clinical value exists twice — once in data.js as text on the screen, once in logic.js as a comparison that actually runs. Change one and not the other and the site displays one threshold while applying a different one, which looks completely fine in either file on its own.</w:t>
            </w:r>
          </w:p>
          <w:p>
            <w:pPr>
              <w:spacing w:after="0" w:line="270"/>
            </w:pPr>
            <w:r>
              <w:rPr>
                <w:rFonts w:ascii="Calibri" w:cs="Calibri" w:eastAsia="Calibri" w:hAnsi="Calibri"/>
                <w:color w:val="1B2A3A"/>
                <w:sz w:val="20"/>
                <w:szCs w:val="20"/>
              </w:rPr>
              <w:t xml:space="preserve">So after any threshold change, open the Interactive tab and test a value just either side of the new boundary. That is the only check that catches it.</w:t>
            </w:r>
          </w:p>
        </w:tc>
      </w:tr>
    </w:tbl>
    <w:p>
      <w:pPr>
        <w:spacing w:after="170"/>
      </w:pPr>
    </w:p>
    <w:p>
      <w:pPr>
        <w:spacing w:after="130" w:line="278"/>
      </w:pPr>
      <w:r>
        <w:rPr>
          <w:rFonts w:ascii="Calibri" w:cs="Calibri" w:eastAsia="Calibri" w:hAnsi="Calibri"/>
          <w:color w:val="1B2A3A"/>
          <w:sz w:val="21"/>
          <w:szCs w:val="21"/>
        </w:rPr>
        <w:t xml:space="preserve">Worth remembering that the live site is the production deployment of the main branch — a merge reaches clinical users at the next deploy, with no separate release step in between. Commit messages should name the clinical change, not the file.</w:t>
      </w:r>
    </w:p>
    <w:p>
      <w:pPr>
        <w:pStyle w:val="Heading1"/>
        <w:keepNext/>
        <w:pBdr>
          <w:bottom w:val="single" w:color="C7D0D8" w:sz="6"/>
        </w:pBdr>
        <w:spacing w:after="160" w:before="400"/>
      </w:pPr>
      <w:r>
        <w:rPr>
          <w:rFonts w:ascii="Calibri" w:cs="Calibri" w:eastAsia="Calibri" w:hAnsi="Calibri"/>
          <w:b/>
          <w:bCs/>
          <w:color w:val="1B2A3A"/>
          <w:sz w:val="27"/>
          <w:szCs w:val="27"/>
        </w:rPr>
        <w:t xml:space="preserve">Open questions</w:t>
      </w:r>
    </w:p>
    <w:p>
      <w:pPr>
        <w:spacing w:after="130" w:line="278"/>
      </w:pPr>
      <w:r>
        <w:rPr>
          <w:rFonts w:ascii="Calibri" w:cs="Calibri" w:eastAsia="Calibri" w:hAnsi="Calibri"/>
          <w:color w:val="1B2A3A"/>
          <w:sz w:val="21"/>
          <w:szCs w:val="21"/>
        </w:rPr>
        <w:t xml:space="preserve">These came out of checking the document against the code. None of them is a bug; each is a place where the code, the Chart text, and our notes can be read differently, and each needs a call from the clinical side.</w:t>
      </w:r>
    </w:p>
    <w:p>
      <w:pPr>
        <w:spacing w:after="60"/>
      </w:pP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2350"/>
        <w:gridCol w:w="6290"/>
      </w:tblGrid>
      <w:tr>
        <w:trPr>
          <w:cantSplit/>
          <w:tblHeader/>
        </w:trPr>
        <w:tc>
          <w:tcPr>
            <w:tcW w:type="dxa" w:w="235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Question</w:t>
            </w:r>
          </w:p>
        </w:tc>
        <w:tc>
          <w:tcPr>
            <w:tcW w:type="dxa" w:w="6290"/>
            <w:shd w:fill="E7EEF1" w:color="auto" w:val="clear"/>
            <w:tcMar>
              <w:top w:type="dxa" w:w="85"/>
              <w:left w:type="dxa" w:w="115"/>
              <w:bottom w:type="dxa" w:w="85"/>
              <w:right w:type="dxa" w:w="115"/>
            </w:tcMar>
            <w:vAlign w:val="center"/>
          </w:tcPr>
          <w:p>
            <w:pPr>
              <w:spacing w:after="0" w:line="264"/>
            </w:pPr>
            <w:r>
              <w:rPr>
                <w:rFonts w:ascii="Calibri" w:cs="Calibri" w:eastAsia="Calibri" w:hAnsi="Calibri"/>
                <w:b/>
                <w:bCs/>
                <w:color w:val="1B2A3A"/>
                <w:sz w:val="19"/>
                <w:szCs w:val="19"/>
              </w:rPr>
              <w:t xml:space="preserve">What we found</w:t>
            </w:r>
          </w:p>
        </w:tc>
      </w:tr>
      <w:tr>
        <w:trPr>
          <w:cantSplit/>
          <w:tblHeader w:val="false"/>
        </w:trPr>
        <w:tc>
          <w:tcPr>
            <w:tcW w:type="dxa" w:w="23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UACR units</w:t>
            </w:r>
          </w:p>
        </w:tc>
        <w:tc>
          <w:tcPr>
            <w:tcW w:type="dxa" w:w="629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Everything is mg/mmol, and the only thing standing between a user and a tenfold error is the field label. A value pasted in mg/g would sail past the UACR thresholds without complaint. A unit selector or a range check would close this</w:t>
            </w:r>
          </w:p>
        </w:tc>
      </w:tr>
      <w:tr>
        <w:trPr>
          <w:cantSplit/>
          <w:tblHeader w:val="false"/>
        </w:trPr>
        <w:tc>
          <w:tcPr>
            <w:tcW w:type="dxa" w:w="23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Blank UACR</w:t>
            </w:r>
          </w:p>
        </w:tc>
        <w:tc>
          <w:tcPr>
            <w:tcW w:type="dxa" w:w="629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Leaving UACR empty makes three of the four indication criteria read “not indicated” — which is indistinguishable from a genuine negative. “Not assessable” would be the honest display</w:t>
            </w:r>
          </w:p>
        </w:tc>
      </w:tr>
      <w:tr>
        <w:trPr>
          <w:cantSplit/>
          <w:tblHeader w:val="false"/>
        </w:trPr>
        <w:tc>
          <w:tcPr>
            <w:tcW w:type="dxa" w:w="23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Chart step 1 vs the engine</w:t>
            </w:r>
          </w:p>
        </w:tc>
        <w:tc>
          <w:tcPr>
            <w:tcW w:type="dxa" w:w="629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The Chart says “K⁺ ≤ 6.0 — continue RASi → add SGLT2i”, but the engine won’t start RASi above 4.8. Both are right — one is about continuing, one about initiating — but the Chart doesn’t say which it means</w:t>
            </w:r>
          </w:p>
        </w:tc>
      </w:tr>
      <w:tr>
        <w:trPr>
          <w:cantSplit/>
          <w:tblHeader w:val="false"/>
        </w:trPr>
        <w:tc>
          <w:tcPr>
            <w:tcW w:type="dxa" w:w="23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The finerenone note</w:t>
            </w:r>
          </w:p>
        </w:tc>
        <w:tc>
          <w:tcPr>
            <w:tcW w:type="dxa" w:w="629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 Chart note reads “Consider first if eGFR &lt; 25 before SGLT2i”, while the ns-MRA indication requires eGFR ≥ 25. As written it points the opposite way to the threshold. What was intended here?</w:t>
            </w:r>
          </w:p>
        </w:tc>
      </w:tr>
      <w:tr>
        <w:trPr>
          <w:cantSplit/>
          <w:tblHeader w:val="false"/>
        </w:trPr>
        <w:tc>
          <w:tcPr>
            <w:tcW w:type="dxa" w:w="235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ns-MRA guideline vs practice</w:t>
            </w:r>
          </w:p>
        </w:tc>
        <w:tc>
          <w:tcPr>
            <w:tcW w:type="dxa" w:w="629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Both lines carry the same numbers, so the engine evaluates one condition for both. If practice is meant to be broader — as it is for the other two classes — that hasn’t made it into the code</w:t>
            </w:r>
          </w:p>
        </w:tc>
      </w:tr>
      <w:tr>
        <w:trPr>
          <w:cantSplit/>
          <w:tblHeader w:val="false"/>
        </w:trPr>
        <w:tc>
          <w:tcPr>
            <w:tcW w:type="dxa" w:w="235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GLP-1 RA practice criterion</w:t>
            </w:r>
          </w:p>
        </w:tc>
        <w:tc>
          <w:tcPr>
            <w:tcW w:type="dxa" w:w="629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A practice criterion with no eGFR floor is calculated but never used to start anything; initiation runs off the guideline criterion only. Display-only, or should it permit initiation?</w:t>
            </w:r>
          </w:p>
        </w:tc>
      </w:tr>
    </w:tbl>
    <w:p>
      <w:pPr>
        <w:spacing w:after="170"/>
      </w:pPr>
    </w:p>
    <w:p>
      <w:pPr>
        <w:spacing w:after="130" w:line="278"/>
      </w:pPr>
      <w:r>
        <w:rPr>
          <w:rFonts w:ascii="Calibri" w:cs="Calibri" w:eastAsia="Calibri" w:hAnsi="Calibri"/>
          <w:color w:val="1B2A3A"/>
          <w:sz w:val="21"/>
          <w:szCs w:val="21"/>
        </w:rPr>
        <w:t xml:space="preserve">The first two are the ones worth doing something about soon — both fail silently at the point of care, which is the worst way for a tool like this to be wrong.</w:t>
      </w:r>
    </w:p>
    <w:p>
      <w:pPr>
        <w:pStyle w:val="Heading1"/>
        <w:keepNext/>
        <w:pBdr>
          <w:bottom w:val="single" w:color="C7D0D8" w:sz="6"/>
        </w:pBdr>
        <w:spacing w:after="160" w:before="400"/>
      </w:pPr>
      <w:r>
        <w:rPr>
          <w:rFonts w:ascii="Calibri" w:cs="Calibri" w:eastAsia="Calibri" w:hAnsi="Calibri"/>
          <w:b/>
          <w:bCs/>
          <w:color w:val="1B2A3A"/>
          <w:sz w:val="27"/>
          <w:szCs w:val="27"/>
        </w:rPr>
        <w:t xml:space="preserve">Where things are</w:t>
      </w:r>
    </w:p>
    <w:tbl>
      <w:tblPr>
        <w:tblW w:type="dxa" w:w="8640"/>
        <w:tblBorders>
          <w:top w:val="single" w:color="C7D0D8" w:sz="2"/>
          <w:left w:val="single" w:color="C7D0D8" w:sz="2"/>
          <w:bottom w:val="single" w:color="C7D0D8" w:sz="2"/>
          <w:right w:val="single" w:color="C7D0D8" w:sz="2"/>
          <w:insideH w:val="single" w:color="C7D0D8" w:sz="2"/>
          <w:insideV w:val="single" w:color="C7D0D8" w:sz="2"/>
        </w:tblBorders>
      </w:tblPr>
      <w:tblGrid>
        <w:gridCol w:w="2100"/>
        <w:gridCol w:w="6540"/>
      </w:tblGrid>
      <w:tr>
        <w:trPr>
          <w:cantSplit/>
          <w:tblHeader w:val="false"/>
        </w:trPr>
        <w:tc>
          <w:tcPr>
            <w:tcW w:type="dxa" w:w="21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Live site</w:t>
            </w:r>
          </w:p>
        </w:tc>
        <w:tc>
          <w:tcPr>
            <w:tcW w:type="dxa" w:w="65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integrate-ckd-algorithm.vercel.app</w:t>
            </w:r>
          </w:p>
        </w:tc>
      </w:tr>
      <w:tr>
        <w:trPr>
          <w:cantSplit/>
          <w:tblHeader w:val="false"/>
        </w:trPr>
        <w:tc>
          <w:tcPr>
            <w:tcW w:type="dxa" w:w="21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Repository</w:t>
            </w:r>
          </w:p>
        </w:tc>
        <w:tc>
          <w:tcPr>
            <w:tcW w:type="dxa" w:w="65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github.com/parsapnp2/Integrate-CKD (public)</w:t>
            </w:r>
          </w:p>
        </w:tc>
      </w:tr>
      <w:tr>
        <w:trPr>
          <w:cantSplit/>
          <w:tblHeader w:val="false"/>
        </w:trPr>
        <w:tc>
          <w:tcPr>
            <w:tcW w:type="dxa" w:w="21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Run it locally</w:t>
            </w:r>
          </w:p>
        </w:tc>
        <w:tc>
          <w:tcPr>
            <w:tcW w:type="dxa" w:w="65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npm install, then npm run dev → localhost:5173</w:t>
            </w:r>
          </w:p>
        </w:tc>
      </w:tr>
      <w:tr>
        <w:trPr>
          <w:cantSplit/>
          <w:tblHeader w:val="false"/>
        </w:trPr>
        <w:tc>
          <w:tcPr>
            <w:tcW w:type="dxa" w:w="21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Build</w:t>
            </w:r>
          </w:p>
        </w:tc>
        <w:tc>
          <w:tcPr>
            <w:tcW w:type="dxa" w:w="65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npm run build (output in dist/), npm run preview to check it</w:t>
            </w:r>
          </w:p>
        </w:tc>
      </w:tr>
      <w:tr>
        <w:trPr>
          <w:cantSplit/>
          <w:tblHeader w:val="false"/>
        </w:trPr>
        <w:tc>
          <w:tcPr>
            <w:tcW w:type="dxa" w:w="21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Clinical content</w:t>
            </w:r>
          </w:p>
        </w:tc>
        <w:tc>
          <w:tcPr>
            <w:tcW w:type="dxa" w:w="65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src/data.js</w:t>
            </w:r>
          </w:p>
        </w:tc>
      </w:tr>
      <w:tr>
        <w:trPr>
          <w:cantSplit/>
          <w:tblHeader w:val="false"/>
        </w:trPr>
        <w:tc>
          <w:tcPr>
            <w:tcW w:type="dxa" w:w="210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Decision engine</w:t>
            </w:r>
          </w:p>
        </w:tc>
        <w:tc>
          <w:tcPr>
            <w:tcW w:type="dxa" w:w="6540"/>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src/logic.js</w:t>
            </w:r>
          </w:p>
        </w:tc>
      </w:tr>
      <w:tr>
        <w:trPr>
          <w:cantSplit/>
          <w:tblHeader w:val="false"/>
        </w:trPr>
        <w:tc>
          <w:tcPr>
            <w:tcW w:type="dxa" w:w="210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Full formal record</w:t>
            </w:r>
          </w:p>
        </w:tc>
        <w:tc>
          <w:tcPr>
            <w:tcW w:type="dxa" w:w="6540"/>
            <w:shd w:fill="F6F8F9" w:color="auto" w:val="clear"/>
            <w:tcMar>
              <w:top w:type="dxa" w:w="85"/>
              <w:left w:type="dxa" w:w="115"/>
              <w:bottom w:type="dxa" w:w="85"/>
              <w:right w:type="dxa" w:w="115"/>
            </w:tcMar>
            <w:vAlign w:val="center"/>
          </w:tcPr>
          <w:p>
            <w:pPr>
              <w:spacing w:after="0" w:line="264"/>
            </w:pPr>
            <w:r>
              <w:rPr>
                <w:rFonts w:ascii="Calibri" w:cs="Calibri" w:eastAsia="Calibri" w:hAnsi="Calibri"/>
                <w:color w:val="1B2A3A"/>
                <w:sz w:val="19"/>
                <w:szCs w:val="19"/>
              </w:rPr>
              <w:t xml:space="preserve">Integrate-CKD_Algorithm_Project_Record.docx, in the same folder as this document</w:t>
            </w:r>
          </w:p>
        </w:tc>
      </w:tr>
    </w:tbl>
    <w:p>
      <w:pPr>
        <w:spacing w:after="300"/>
      </w:pPr>
    </w:p>
    <w:p>
      <w:pPr>
        <w:pBdr>
          <w:top w:val="single" w:color="C7D0D8" w:sz="6"/>
        </w:pBdr>
        <w:spacing w:after="100" w:before="160"/>
      </w:pPr>
    </w:p>
    <w:p>
      <w:pPr>
        <w:spacing w:after="130" w:line="278"/>
      </w:pPr>
      <w:r>
        <w:rPr>
          <w:rFonts w:ascii="Calibri" w:cs="Calibri" w:eastAsia="Calibri" w:hAnsi="Calibri"/>
          <w:i/>
          <w:iCs/>
          <w:color w:val="5A6875"/>
          <w:sz w:val="18"/>
          <w:szCs w:val="18"/>
        </w:rPr>
        <w:t xml:space="preserve">Version 1.0 of these notes, 27 August 2026. The formal record alongside carries the full evidence base, the provenance of every threshold, and the change-control procedure.</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875"/>
        <w:sz w:val="16"/>
        <w:szCs w:val="16"/>
      </w:rPr>
      <w:t xml:space="preserve">Page </w:t>
    </w:r>
    <w:r>
      <w:rPr>
        <w:rFonts w:ascii="Calibri" w:cs="Calibri" w:eastAsia="Calibri" w:hAnsi="Calibri"/>
        <w:color w:val="5A6875"/>
        <w:sz w:val="16"/>
        <w:szCs w:val="16"/>
      </w:rPr>
      <w:fldChar w:fldCharType="begin"/>
      <w:instrText xml:space="preserve">PAGE</w:instrText>
      <w:fldChar w:fldCharType="separate"/>
      <w:fldChar w:fldCharType="end"/>
    </w:r>
    <w:r>
      <w:rPr>
        <w:rFonts w:ascii="Calibri" w:cs="Calibri" w:eastAsia="Calibri" w:hAnsi="Calibri"/>
        <w:color w:val="5A6875"/>
        <w:sz w:val="16"/>
        <w:szCs w:val="16"/>
      </w:rPr>
      <w:t xml:space="preserve"> of </w:t>
    </w:r>
    <w:r>
      <w:rPr>
        <w:rFonts w:ascii="Calibri" w:cs="Calibri" w:eastAsia="Calibri" w:hAnsi="Calibri"/>
        <w:color w:val="5A687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875"/>
        <w:sz w:val="16"/>
        <w:szCs w:val="16"/>
      </w:rPr>
      <w:t xml:space="preserve">Page </w:t>
    </w:r>
    <w:r>
      <w:rPr>
        <w:rFonts w:ascii="Calibri" w:cs="Calibri" w:eastAsia="Calibri" w:hAnsi="Calibri"/>
        <w:color w:val="5A6875"/>
        <w:sz w:val="16"/>
        <w:szCs w:val="16"/>
      </w:rPr>
      <w:fldChar w:fldCharType="begin"/>
      <w:instrText xml:space="preserve">PAGE</w:instrText>
      <w:fldChar w:fldCharType="separate"/>
      <w:fldChar w:fldCharType="end"/>
    </w:r>
    <w:r>
      <w:rPr>
        <w:rFonts w:ascii="Calibri" w:cs="Calibri" w:eastAsia="Calibri" w:hAnsi="Calibri"/>
        <w:color w:val="5A6875"/>
        <w:sz w:val="16"/>
        <w:szCs w:val="16"/>
      </w:rPr>
      <w:t xml:space="preserve"> of </w:t>
    </w:r>
    <w:r>
      <w:rPr>
        <w:rFonts w:ascii="Calibri" w:cs="Calibri" w:eastAsia="Calibri" w:hAnsi="Calibri"/>
        <w:color w:val="5A687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0D8" w:sz="4"/>
      </w:pBdr>
      <w:spacing w:after="60"/>
    </w:pPr>
    <w:r>
      <w:rPr>
        <w:rFonts w:ascii="Calibri" w:cs="Calibri" w:eastAsia="Calibri" w:hAnsi="Calibri"/>
        <w:color w:val="5A6875"/>
        <w:sz w:val="16"/>
        <w:szCs w:val="16"/>
      </w:rPr>
      <w:t xml:space="preserve">Integrate-CKD Algorithm — team notes  ·  27 August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A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the Integrate-CKD Algorithm site works — team notes</dc:title>
  <dc:creator>Parsa Naderian</dc:creator>
  <dc:description>Team notes on what the Integrate-CKD Algorithm site is, how it is built, and how its decision engine works.</dc:description>
  <cp:lastModifiedBy>Un-named</cp:lastModifiedBy>
  <cp:revision>1</cp:revision>
  <dcterms:created xsi:type="dcterms:W3CDTF">2026-08-27T04:55:16.712Z</dcterms:created>
  <dcterms:modified xsi:type="dcterms:W3CDTF">2026-08-27T04:55:16.712Z</dcterms:modified>
</cp:coreProperties>
</file>

<file path=docProps/custom.xml><?xml version="1.0" encoding="utf-8"?>
<Properties xmlns="http://schemas.openxmlformats.org/officeDocument/2006/custom-properties" xmlns:vt="http://schemas.openxmlformats.org/officeDocument/2006/docPropsVTypes"/>
</file>