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076C1" w14:textId="77777777" w:rsidR="00144A83" w:rsidRDefault="002929A7">
      <w:pPr>
        <w:spacing w:before="240" w:after="360"/>
        <w:jc w:val="center"/>
      </w:pPr>
      <w:r>
        <w:rPr>
          <w:noProof/>
        </w:rPr>
        <w:drawing>
          <wp:inline distT="0" distB="0" distL="0" distR="0" wp14:anchorId="462C1A98" wp14:editId="25051289">
            <wp:extent cx="3429000" cy="2286000"/>
            <wp:effectExtent l="0" t="0" r="0" b="0"/>
            <wp:docPr id="1" name="logo" descr="University logo" title="Buckinghamshire New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2286000"/>
                    </a:xfrm>
                    <a:prstGeom prst="rect">
                      <a:avLst/>
                    </a:prstGeom>
                  </pic:spPr>
                </pic:pic>
              </a:graphicData>
            </a:graphic>
          </wp:inline>
        </w:drawing>
      </w:r>
    </w:p>
    <w:p w14:paraId="64B8B735" w14:textId="77777777" w:rsidR="00144A83" w:rsidRDefault="002929A7">
      <w:pPr>
        <w:spacing w:after="80"/>
      </w:pPr>
      <w:r>
        <w:rPr>
          <w:b/>
          <w:bCs/>
        </w:rPr>
        <w:t xml:space="preserve">Name:  </w:t>
      </w:r>
      <w:r>
        <w:t>Muhammad Omer Hussain</w:t>
      </w:r>
    </w:p>
    <w:p w14:paraId="1D595814" w14:textId="77777777" w:rsidR="00144A83" w:rsidRDefault="002929A7">
      <w:pPr>
        <w:spacing w:after="80"/>
      </w:pPr>
      <w:r>
        <w:rPr>
          <w:b/>
          <w:bCs/>
        </w:rPr>
        <w:t xml:space="preserve">Student ID:  </w:t>
      </w:r>
      <w:r>
        <w:t>22509495</w:t>
      </w:r>
    </w:p>
    <w:p w14:paraId="0794B95B" w14:textId="77777777" w:rsidR="00144A83" w:rsidRDefault="002929A7">
      <w:pPr>
        <w:spacing w:after="80"/>
      </w:pPr>
      <w:r>
        <w:rPr>
          <w:b/>
          <w:bCs/>
        </w:rPr>
        <w:t xml:space="preserve">Module Leader:  </w:t>
      </w:r>
      <w:r>
        <w:t>Syeda Faiza Nasim</w:t>
      </w:r>
    </w:p>
    <w:p w14:paraId="6F979379" w14:textId="77777777" w:rsidR="00144A83" w:rsidRDefault="002929A7">
      <w:pPr>
        <w:spacing w:after="80"/>
      </w:pPr>
      <w:r>
        <w:rPr>
          <w:b/>
          <w:bCs/>
        </w:rPr>
        <w:t xml:space="preserve">Module Code:  </w:t>
      </w:r>
      <w:r>
        <w:t>COM6003</w:t>
      </w:r>
    </w:p>
    <w:p w14:paraId="25018ABC" w14:textId="77777777" w:rsidR="00144A83" w:rsidRDefault="002929A7">
      <w:pPr>
        <w:spacing w:after="80"/>
      </w:pPr>
      <w:r>
        <w:rPr>
          <w:b/>
          <w:bCs/>
        </w:rPr>
        <w:t xml:space="preserve">Module Title:  </w:t>
      </w:r>
      <w:r>
        <w:t>Data Science</w:t>
      </w:r>
    </w:p>
    <w:p w14:paraId="473418DA" w14:textId="77777777" w:rsidR="00144A83" w:rsidRDefault="002929A7">
      <w:pPr>
        <w:spacing w:after="80"/>
      </w:pPr>
      <w:r>
        <w:rPr>
          <w:b/>
          <w:bCs/>
        </w:rPr>
        <w:t xml:space="preserve">Assignment Title:  </w:t>
      </w:r>
      <w:r>
        <w:t>CW1</w:t>
      </w:r>
    </w:p>
    <w:p w14:paraId="34AA32C5" w14:textId="77777777" w:rsidR="00144A83" w:rsidRDefault="002929A7">
      <w:pPr>
        <w:spacing w:after="80"/>
      </w:pPr>
      <w:r>
        <w:rPr>
          <w:b/>
          <w:bCs/>
        </w:rPr>
        <w:t xml:space="preserve">Academic Year:  </w:t>
      </w:r>
      <w:r>
        <w:t>2025-2026</w:t>
      </w:r>
    </w:p>
    <w:p w14:paraId="006A85AA" w14:textId="77777777" w:rsidR="00144A83" w:rsidRDefault="002929A7">
      <w:pPr>
        <w:spacing w:before="360" w:after="80"/>
        <w:jc w:val="center"/>
      </w:pPr>
      <w:r>
        <w:rPr>
          <w:b/>
          <w:bCs/>
          <w:sz w:val="36"/>
          <w:szCs w:val="36"/>
        </w:rPr>
        <w:t>Predicting EPC Energy Ratings for Oxford's Domestic Stock</w:t>
      </w:r>
    </w:p>
    <w:p w14:paraId="119672EC" w14:textId="77777777" w:rsidR="00144A83" w:rsidRDefault="002929A7">
      <w:pPr>
        <w:spacing w:after="240"/>
        <w:jc w:val="center"/>
      </w:pPr>
      <w:r>
        <w:rPr>
          <w:i/>
          <w:iCs/>
          <w:sz w:val="26"/>
          <w:szCs w:val="26"/>
        </w:rPr>
        <w:t>A leakage-aware ordinal-classification pipeline with SHAP-driven retrofit recommendations</w:t>
      </w:r>
    </w:p>
    <w:p w14:paraId="53C388FF" w14:textId="77777777" w:rsidR="00144A83" w:rsidRDefault="002929A7">
      <w:pPr>
        <w:spacing w:before="120" w:after="80"/>
      </w:pPr>
      <w:r>
        <w:rPr>
          <w:b/>
          <w:bCs/>
          <w:sz w:val="28"/>
          <w:szCs w:val="28"/>
        </w:rPr>
        <w:t>Abstract</w:t>
      </w:r>
    </w:p>
    <w:p w14:paraId="0F6B8BFF" w14:textId="77777777" w:rsidR="00144A83" w:rsidRDefault="002929A7">
      <w:pPr>
        <w:spacing w:after="160" w:line="276" w:lineRule="auto"/>
        <w:jc w:val="both"/>
      </w:pPr>
      <w:r>
        <w:t>This report develops a leakage-aware ordinal classifier for Energy Performance Certificate (EPC) ratings (A to G) for domestic dwellings in Oxford local authority (E07000178). After group-aware deduplication, 49,442 unique dwellings remain. The champion is a hybrid regression-to-band model (SapStratifiedRegressor) that fits a HistGradientBoostingRegressor on the continuous SAP score and maps predictions to bands through the official DLUHC thresholds, with a SAP-cohort specialist layered on REPORT_TYPE 101 r</w:t>
      </w:r>
      <w:r>
        <w:t>ows. On a strict temporal hold-out (n = 12,095) it achieves a Quadratic Weighted Kappa of 0.7696 (bootstrap 95% CI 0.7600 to 0.7780) and places 97.7% of SAP-score predictions within 15 points, in line with the ONS Data Science Campus (2021) indicative figure of 93%. Permutation importance and SHAP converge on windows, construction age, main fuel and main heating as the dominant drivers, with wall construction the largest categorical lever. The findings translate into prioritised retrofit recommendations and</w:t>
      </w:r>
      <w:r>
        <w:t xml:space="preserve"> a per-UPRN prediction file.</w:t>
      </w:r>
    </w:p>
    <w:p w14:paraId="2BE68044" w14:textId="77777777" w:rsidR="00144A83" w:rsidRDefault="002929A7">
      <w:r>
        <w:br w:type="page"/>
      </w:r>
    </w:p>
    <w:p w14:paraId="44D3873F" w14:textId="77777777" w:rsidR="00144A83" w:rsidRDefault="002929A7">
      <w:pPr>
        <w:spacing w:after="120"/>
      </w:pPr>
      <w:r>
        <w:rPr>
          <w:b/>
          <w:bCs/>
          <w:sz w:val="28"/>
          <w:szCs w:val="28"/>
        </w:rPr>
        <w:lastRenderedPageBreak/>
        <w:t>Contents</w:t>
      </w:r>
    </w:p>
    <w:sdt>
      <w:sdtPr>
        <w:alias w:val="Contents"/>
        <w:id w:val="1193572770"/>
      </w:sdtPr>
      <w:sdtEndPr/>
      <w:sdtContent>
        <w:p w14:paraId="01F84DDD" w14:textId="22226021" w:rsidR="003F4B4D" w:rsidRDefault="002929A7">
          <w:pPr>
            <w:pStyle w:val="TOC1"/>
            <w:tabs>
              <w:tab w:val="right" w:leader="dot" w:pos="9016"/>
            </w:tabs>
            <w:rPr>
              <w:noProof/>
            </w:rPr>
          </w:pPr>
          <w:r>
            <w:fldChar w:fldCharType="begin"/>
          </w:r>
          <w:r>
            <w:instrText>TOC \h \o "1-2"</w:instrText>
          </w:r>
          <w:r>
            <w:fldChar w:fldCharType="separate"/>
          </w:r>
          <w:hyperlink w:anchor="_Toc231919061" w:history="1">
            <w:r w:rsidR="003F4B4D" w:rsidRPr="00FE7E96">
              <w:rPr>
                <w:rStyle w:val="Hyperlink"/>
                <w:noProof/>
              </w:rPr>
              <w:t>1. Introduction and Dataset Acquisition</w:t>
            </w:r>
            <w:r w:rsidR="003F4B4D">
              <w:rPr>
                <w:noProof/>
              </w:rPr>
              <w:tab/>
            </w:r>
            <w:r w:rsidR="003F4B4D">
              <w:rPr>
                <w:noProof/>
              </w:rPr>
              <w:fldChar w:fldCharType="begin"/>
            </w:r>
            <w:r w:rsidR="003F4B4D">
              <w:rPr>
                <w:noProof/>
              </w:rPr>
              <w:instrText xml:space="preserve"> PAGEREF _Toc231919061 \h </w:instrText>
            </w:r>
            <w:r w:rsidR="003F4B4D">
              <w:rPr>
                <w:noProof/>
              </w:rPr>
            </w:r>
            <w:r w:rsidR="003F4B4D">
              <w:rPr>
                <w:noProof/>
              </w:rPr>
              <w:fldChar w:fldCharType="separate"/>
            </w:r>
            <w:r w:rsidR="003F4B4D">
              <w:rPr>
                <w:noProof/>
              </w:rPr>
              <w:t>3</w:t>
            </w:r>
            <w:r w:rsidR="003F4B4D">
              <w:rPr>
                <w:noProof/>
              </w:rPr>
              <w:fldChar w:fldCharType="end"/>
            </w:r>
          </w:hyperlink>
        </w:p>
        <w:p w14:paraId="2DCFBFD3" w14:textId="5E054AD7" w:rsidR="003F4B4D" w:rsidRDefault="003F4B4D">
          <w:pPr>
            <w:pStyle w:val="TOC1"/>
            <w:tabs>
              <w:tab w:val="right" w:leader="dot" w:pos="9016"/>
            </w:tabs>
            <w:rPr>
              <w:noProof/>
            </w:rPr>
          </w:pPr>
          <w:hyperlink w:anchor="_Toc231919062" w:history="1">
            <w:r w:rsidRPr="00FE7E96">
              <w:rPr>
                <w:rStyle w:val="Hyperlink"/>
                <w:noProof/>
              </w:rPr>
              <w:t>2. Feature Engineering</w:t>
            </w:r>
            <w:r>
              <w:rPr>
                <w:noProof/>
              </w:rPr>
              <w:tab/>
            </w:r>
            <w:r>
              <w:rPr>
                <w:noProof/>
              </w:rPr>
              <w:fldChar w:fldCharType="begin"/>
            </w:r>
            <w:r>
              <w:rPr>
                <w:noProof/>
              </w:rPr>
              <w:instrText xml:space="preserve"> PAGEREF _Toc231919062 \h </w:instrText>
            </w:r>
            <w:r>
              <w:rPr>
                <w:noProof/>
              </w:rPr>
            </w:r>
            <w:r>
              <w:rPr>
                <w:noProof/>
              </w:rPr>
              <w:fldChar w:fldCharType="separate"/>
            </w:r>
            <w:r>
              <w:rPr>
                <w:noProof/>
              </w:rPr>
              <w:t>3</w:t>
            </w:r>
            <w:r>
              <w:rPr>
                <w:noProof/>
              </w:rPr>
              <w:fldChar w:fldCharType="end"/>
            </w:r>
          </w:hyperlink>
        </w:p>
        <w:p w14:paraId="15FEBF66" w14:textId="1BAB7368" w:rsidR="003F4B4D" w:rsidRDefault="003F4B4D">
          <w:pPr>
            <w:pStyle w:val="TOC1"/>
            <w:tabs>
              <w:tab w:val="right" w:leader="dot" w:pos="9016"/>
            </w:tabs>
            <w:rPr>
              <w:noProof/>
            </w:rPr>
          </w:pPr>
          <w:hyperlink w:anchor="_Toc231919063" w:history="1">
            <w:r w:rsidRPr="00FE7E96">
              <w:rPr>
                <w:rStyle w:val="Hyperlink"/>
                <w:noProof/>
              </w:rPr>
              <w:t>3. Analysis</w:t>
            </w:r>
            <w:r>
              <w:rPr>
                <w:noProof/>
              </w:rPr>
              <w:tab/>
            </w:r>
            <w:r>
              <w:rPr>
                <w:noProof/>
              </w:rPr>
              <w:fldChar w:fldCharType="begin"/>
            </w:r>
            <w:r>
              <w:rPr>
                <w:noProof/>
              </w:rPr>
              <w:instrText xml:space="preserve"> PAGEREF _Toc231919063 \h </w:instrText>
            </w:r>
            <w:r>
              <w:rPr>
                <w:noProof/>
              </w:rPr>
            </w:r>
            <w:r>
              <w:rPr>
                <w:noProof/>
              </w:rPr>
              <w:fldChar w:fldCharType="separate"/>
            </w:r>
            <w:r>
              <w:rPr>
                <w:noProof/>
              </w:rPr>
              <w:t>4</w:t>
            </w:r>
            <w:r>
              <w:rPr>
                <w:noProof/>
              </w:rPr>
              <w:fldChar w:fldCharType="end"/>
            </w:r>
          </w:hyperlink>
        </w:p>
        <w:p w14:paraId="690169F1" w14:textId="43CB4DB9" w:rsidR="003F4B4D" w:rsidRDefault="003F4B4D">
          <w:pPr>
            <w:pStyle w:val="TOC2"/>
            <w:tabs>
              <w:tab w:val="right" w:leader="dot" w:pos="9016"/>
            </w:tabs>
            <w:rPr>
              <w:noProof/>
            </w:rPr>
          </w:pPr>
          <w:hyperlink w:anchor="_Toc231919064" w:history="1">
            <w:r w:rsidRPr="00FE7E96">
              <w:rPr>
                <w:rStyle w:val="Hyperlink"/>
                <w:noProof/>
              </w:rPr>
              <w:t>3.1 Data Wrangling</w:t>
            </w:r>
            <w:r>
              <w:rPr>
                <w:noProof/>
              </w:rPr>
              <w:tab/>
            </w:r>
            <w:r>
              <w:rPr>
                <w:noProof/>
              </w:rPr>
              <w:fldChar w:fldCharType="begin"/>
            </w:r>
            <w:r>
              <w:rPr>
                <w:noProof/>
              </w:rPr>
              <w:instrText xml:space="preserve"> PAGEREF _Toc231919064 \h </w:instrText>
            </w:r>
            <w:r>
              <w:rPr>
                <w:noProof/>
              </w:rPr>
            </w:r>
            <w:r>
              <w:rPr>
                <w:noProof/>
              </w:rPr>
              <w:fldChar w:fldCharType="separate"/>
            </w:r>
            <w:r>
              <w:rPr>
                <w:noProof/>
              </w:rPr>
              <w:t>4</w:t>
            </w:r>
            <w:r>
              <w:rPr>
                <w:noProof/>
              </w:rPr>
              <w:fldChar w:fldCharType="end"/>
            </w:r>
          </w:hyperlink>
        </w:p>
        <w:p w14:paraId="764A4419" w14:textId="44C01267" w:rsidR="003F4B4D" w:rsidRDefault="003F4B4D">
          <w:pPr>
            <w:pStyle w:val="TOC2"/>
            <w:tabs>
              <w:tab w:val="right" w:leader="dot" w:pos="9016"/>
            </w:tabs>
            <w:rPr>
              <w:noProof/>
            </w:rPr>
          </w:pPr>
          <w:hyperlink w:anchor="_Toc231919065" w:history="1">
            <w:r w:rsidRPr="00FE7E96">
              <w:rPr>
                <w:rStyle w:val="Hyperlink"/>
                <w:noProof/>
              </w:rPr>
              <w:t>3.2 Descriptive Analytics</w:t>
            </w:r>
            <w:r>
              <w:rPr>
                <w:noProof/>
              </w:rPr>
              <w:tab/>
            </w:r>
            <w:r>
              <w:rPr>
                <w:noProof/>
              </w:rPr>
              <w:fldChar w:fldCharType="begin"/>
            </w:r>
            <w:r>
              <w:rPr>
                <w:noProof/>
              </w:rPr>
              <w:instrText xml:space="preserve"> PAGEREF _Toc231919065 \h </w:instrText>
            </w:r>
            <w:r>
              <w:rPr>
                <w:noProof/>
              </w:rPr>
            </w:r>
            <w:r>
              <w:rPr>
                <w:noProof/>
              </w:rPr>
              <w:fldChar w:fldCharType="separate"/>
            </w:r>
            <w:r>
              <w:rPr>
                <w:noProof/>
              </w:rPr>
              <w:t>5</w:t>
            </w:r>
            <w:r>
              <w:rPr>
                <w:noProof/>
              </w:rPr>
              <w:fldChar w:fldCharType="end"/>
            </w:r>
          </w:hyperlink>
        </w:p>
        <w:p w14:paraId="1A237576" w14:textId="5B48D3CC" w:rsidR="003F4B4D" w:rsidRDefault="003F4B4D">
          <w:pPr>
            <w:pStyle w:val="TOC2"/>
            <w:tabs>
              <w:tab w:val="right" w:leader="dot" w:pos="9016"/>
            </w:tabs>
            <w:rPr>
              <w:noProof/>
            </w:rPr>
          </w:pPr>
          <w:hyperlink w:anchor="_Toc231919066" w:history="1">
            <w:r w:rsidRPr="00FE7E96">
              <w:rPr>
                <w:rStyle w:val="Hyperlink"/>
                <w:noProof/>
              </w:rPr>
              <w:t>3.3 Diagnostic Analytics</w:t>
            </w:r>
            <w:r>
              <w:rPr>
                <w:noProof/>
              </w:rPr>
              <w:tab/>
            </w:r>
            <w:r>
              <w:rPr>
                <w:noProof/>
              </w:rPr>
              <w:fldChar w:fldCharType="begin"/>
            </w:r>
            <w:r>
              <w:rPr>
                <w:noProof/>
              </w:rPr>
              <w:instrText xml:space="preserve"> PAGEREF _Toc231919066 \h </w:instrText>
            </w:r>
            <w:r>
              <w:rPr>
                <w:noProof/>
              </w:rPr>
            </w:r>
            <w:r>
              <w:rPr>
                <w:noProof/>
              </w:rPr>
              <w:fldChar w:fldCharType="separate"/>
            </w:r>
            <w:r>
              <w:rPr>
                <w:noProof/>
              </w:rPr>
              <w:t>7</w:t>
            </w:r>
            <w:r>
              <w:rPr>
                <w:noProof/>
              </w:rPr>
              <w:fldChar w:fldCharType="end"/>
            </w:r>
          </w:hyperlink>
        </w:p>
        <w:p w14:paraId="5D5DE571" w14:textId="4A0CD798" w:rsidR="003F4B4D" w:rsidRDefault="003F4B4D">
          <w:pPr>
            <w:pStyle w:val="TOC2"/>
            <w:tabs>
              <w:tab w:val="right" w:leader="dot" w:pos="9016"/>
            </w:tabs>
            <w:rPr>
              <w:noProof/>
            </w:rPr>
          </w:pPr>
          <w:hyperlink w:anchor="_Toc231919067" w:history="1">
            <w:r w:rsidRPr="00FE7E96">
              <w:rPr>
                <w:rStyle w:val="Hyperlink"/>
                <w:noProof/>
              </w:rPr>
              <w:t>3.4 Predictive Analytics</w:t>
            </w:r>
            <w:r>
              <w:rPr>
                <w:noProof/>
              </w:rPr>
              <w:tab/>
            </w:r>
            <w:r>
              <w:rPr>
                <w:noProof/>
              </w:rPr>
              <w:fldChar w:fldCharType="begin"/>
            </w:r>
            <w:r>
              <w:rPr>
                <w:noProof/>
              </w:rPr>
              <w:instrText xml:space="preserve"> PAGEREF _Toc231919067 \h </w:instrText>
            </w:r>
            <w:r>
              <w:rPr>
                <w:noProof/>
              </w:rPr>
            </w:r>
            <w:r>
              <w:rPr>
                <w:noProof/>
              </w:rPr>
              <w:fldChar w:fldCharType="separate"/>
            </w:r>
            <w:r>
              <w:rPr>
                <w:noProof/>
              </w:rPr>
              <w:t>9</w:t>
            </w:r>
            <w:r>
              <w:rPr>
                <w:noProof/>
              </w:rPr>
              <w:fldChar w:fldCharType="end"/>
            </w:r>
          </w:hyperlink>
        </w:p>
        <w:p w14:paraId="7637F504" w14:textId="491538DA" w:rsidR="003F4B4D" w:rsidRDefault="003F4B4D">
          <w:pPr>
            <w:pStyle w:val="TOC2"/>
            <w:tabs>
              <w:tab w:val="right" w:leader="dot" w:pos="9016"/>
            </w:tabs>
            <w:rPr>
              <w:noProof/>
            </w:rPr>
          </w:pPr>
          <w:hyperlink w:anchor="_Toc231919068" w:history="1">
            <w:r w:rsidRPr="00FE7E96">
              <w:rPr>
                <w:rStyle w:val="Hyperlink"/>
                <w:noProof/>
              </w:rPr>
              <w:t>3.5 Unsupervised Segmentation and Retrofit Recommender</w:t>
            </w:r>
            <w:r>
              <w:rPr>
                <w:noProof/>
              </w:rPr>
              <w:tab/>
            </w:r>
            <w:r>
              <w:rPr>
                <w:noProof/>
              </w:rPr>
              <w:fldChar w:fldCharType="begin"/>
            </w:r>
            <w:r>
              <w:rPr>
                <w:noProof/>
              </w:rPr>
              <w:instrText xml:space="preserve"> PAGEREF _Toc231919068 \h </w:instrText>
            </w:r>
            <w:r>
              <w:rPr>
                <w:noProof/>
              </w:rPr>
            </w:r>
            <w:r>
              <w:rPr>
                <w:noProof/>
              </w:rPr>
              <w:fldChar w:fldCharType="separate"/>
            </w:r>
            <w:r>
              <w:rPr>
                <w:noProof/>
              </w:rPr>
              <w:t>13</w:t>
            </w:r>
            <w:r>
              <w:rPr>
                <w:noProof/>
              </w:rPr>
              <w:fldChar w:fldCharType="end"/>
            </w:r>
          </w:hyperlink>
        </w:p>
        <w:p w14:paraId="5BBF99E8" w14:textId="12E2F696" w:rsidR="003F4B4D" w:rsidRDefault="003F4B4D">
          <w:pPr>
            <w:pStyle w:val="TOC1"/>
            <w:tabs>
              <w:tab w:val="right" w:leader="dot" w:pos="9016"/>
            </w:tabs>
            <w:rPr>
              <w:noProof/>
            </w:rPr>
          </w:pPr>
          <w:hyperlink w:anchor="_Toc231919069" w:history="1">
            <w:r w:rsidRPr="00FE7E96">
              <w:rPr>
                <w:rStyle w:val="Hyperlink"/>
                <w:noProof/>
              </w:rPr>
              <w:t>4. Recommendations and Conclusion</w:t>
            </w:r>
            <w:r>
              <w:rPr>
                <w:noProof/>
              </w:rPr>
              <w:tab/>
            </w:r>
            <w:r>
              <w:rPr>
                <w:noProof/>
              </w:rPr>
              <w:fldChar w:fldCharType="begin"/>
            </w:r>
            <w:r>
              <w:rPr>
                <w:noProof/>
              </w:rPr>
              <w:instrText xml:space="preserve"> PAGEREF _Toc231919069 \h </w:instrText>
            </w:r>
            <w:r>
              <w:rPr>
                <w:noProof/>
              </w:rPr>
            </w:r>
            <w:r>
              <w:rPr>
                <w:noProof/>
              </w:rPr>
              <w:fldChar w:fldCharType="separate"/>
            </w:r>
            <w:r>
              <w:rPr>
                <w:noProof/>
              </w:rPr>
              <w:t>14</w:t>
            </w:r>
            <w:r>
              <w:rPr>
                <w:noProof/>
              </w:rPr>
              <w:fldChar w:fldCharType="end"/>
            </w:r>
          </w:hyperlink>
        </w:p>
        <w:p w14:paraId="60803212" w14:textId="20F0B2CE" w:rsidR="003F4B4D" w:rsidRDefault="003F4B4D">
          <w:pPr>
            <w:pStyle w:val="TOC1"/>
            <w:tabs>
              <w:tab w:val="right" w:leader="dot" w:pos="9016"/>
            </w:tabs>
            <w:rPr>
              <w:noProof/>
            </w:rPr>
          </w:pPr>
          <w:hyperlink w:anchor="_Toc231919070" w:history="1">
            <w:r w:rsidRPr="00FE7E96">
              <w:rPr>
                <w:rStyle w:val="Hyperlink"/>
                <w:noProof/>
              </w:rPr>
              <w:t>5. Limitations and Ethics</w:t>
            </w:r>
            <w:r>
              <w:rPr>
                <w:noProof/>
              </w:rPr>
              <w:tab/>
            </w:r>
            <w:r>
              <w:rPr>
                <w:noProof/>
              </w:rPr>
              <w:fldChar w:fldCharType="begin"/>
            </w:r>
            <w:r>
              <w:rPr>
                <w:noProof/>
              </w:rPr>
              <w:instrText xml:space="preserve"> PAGEREF _Toc231919070 \h </w:instrText>
            </w:r>
            <w:r>
              <w:rPr>
                <w:noProof/>
              </w:rPr>
            </w:r>
            <w:r>
              <w:rPr>
                <w:noProof/>
              </w:rPr>
              <w:fldChar w:fldCharType="separate"/>
            </w:r>
            <w:r>
              <w:rPr>
                <w:noProof/>
              </w:rPr>
              <w:t>15</w:t>
            </w:r>
            <w:r>
              <w:rPr>
                <w:noProof/>
              </w:rPr>
              <w:fldChar w:fldCharType="end"/>
            </w:r>
          </w:hyperlink>
        </w:p>
        <w:p w14:paraId="310DBFBF" w14:textId="54908619" w:rsidR="003F4B4D" w:rsidRDefault="003F4B4D">
          <w:pPr>
            <w:pStyle w:val="TOC1"/>
            <w:tabs>
              <w:tab w:val="right" w:leader="dot" w:pos="9016"/>
            </w:tabs>
            <w:rPr>
              <w:noProof/>
            </w:rPr>
          </w:pPr>
          <w:hyperlink w:anchor="_Toc231919071" w:history="1">
            <w:r w:rsidRPr="00FE7E96">
              <w:rPr>
                <w:rStyle w:val="Hyperlink"/>
                <w:noProof/>
              </w:rPr>
              <w:t>References</w:t>
            </w:r>
            <w:r>
              <w:rPr>
                <w:noProof/>
              </w:rPr>
              <w:tab/>
            </w:r>
            <w:r>
              <w:rPr>
                <w:noProof/>
              </w:rPr>
              <w:fldChar w:fldCharType="begin"/>
            </w:r>
            <w:r>
              <w:rPr>
                <w:noProof/>
              </w:rPr>
              <w:instrText xml:space="preserve"> PAGEREF _Toc231919071 \h </w:instrText>
            </w:r>
            <w:r>
              <w:rPr>
                <w:noProof/>
              </w:rPr>
            </w:r>
            <w:r>
              <w:rPr>
                <w:noProof/>
              </w:rPr>
              <w:fldChar w:fldCharType="separate"/>
            </w:r>
            <w:r>
              <w:rPr>
                <w:noProof/>
              </w:rPr>
              <w:t>16</w:t>
            </w:r>
            <w:r>
              <w:rPr>
                <w:noProof/>
              </w:rPr>
              <w:fldChar w:fldCharType="end"/>
            </w:r>
          </w:hyperlink>
        </w:p>
        <w:p w14:paraId="7781C8BE" w14:textId="77777777" w:rsidR="00144A83" w:rsidRDefault="002929A7">
          <w:r>
            <w:fldChar w:fldCharType="end"/>
          </w:r>
        </w:p>
      </w:sdtContent>
    </w:sdt>
    <w:p w14:paraId="48FF105E" w14:textId="77777777" w:rsidR="00144A83" w:rsidRDefault="002929A7">
      <w:pPr>
        <w:spacing w:before="240" w:after="120"/>
      </w:pPr>
      <w:r>
        <w:rPr>
          <w:b/>
          <w:bCs/>
          <w:sz w:val="28"/>
          <w:szCs w:val="28"/>
        </w:rPr>
        <w:t>Table of Figures</w:t>
      </w:r>
    </w:p>
    <w:sdt>
      <w:sdtPr>
        <w:alias w:val="Table of Figures"/>
        <w:id w:val="-1917935640"/>
      </w:sdtPr>
      <w:sdtEndPr/>
      <w:sdtContent>
        <w:p w14:paraId="7C23BCFD" w14:textId="246C035A" w:rsidR="003F4B4D" w:rsidRDefault="002929A7">
          <w:pPr>
            <w:pStyle w:val="TableofFigures"/>
            <w:tabs>
              <w:tab w:val="right" w:leader="dot" w:pos="9016"/>
            </w:tabs>
            <w:rPr>
              <w:noProof/>
            </w:rPr>
          </w:pPr>
          <w:r>
            <w:fldChar w:fldCharType="begin"/>
          </w:r>
          <w:r>
            <w:instrText>TOC \a "Figure" \h</w:instrText>
          </w:r>
          <w:r>
            <w:fldChar w:fldCharType="separate"/>
          </w:r>
          <w:hyperlink w:anchor="_Toc231919072" w:history="1">
            <w:r w:rsidR="003F4B4D" w:rsidRPr="009E5844">
              <w:rPr>
                <w:rStyle w:val="Hyperlink"/>
                <w:noProof/>
              </w:rPr>
              <w:t>Top 20 features by missingness in the cleaned Oxford frame. Structural NaN dominates: flat-only fields are absent for houses by design.</w:t>
            </w:r>
            <w:r w:rsidR="003F4B4D">
              <w:rPr>
                <w:noProof/>
              </w:rPr>
              <w:tab/>
            </w:r>
            <w:r w:rsidR="003F4B4D">
              <w:rPr>
                <w:noProof/>
              </w:rPr>
              <w:fldChar w:fldCharType="begin"/>
            </w:r>
            <w:r w:rsidR="003F4B4D">
              <w:rPr>
                <w:noProof/>
              </w:rPr>
              <w:instrText xml:space="preserve"> PAGEREF _Toc231919072 \h </w:instrText>
            </w:r>
            <w:r w:rsidR="003F4B4D">
              <w:rPr>
                <w:noProof/>
              </w:rPr>
            </w:r>
            <w:r w:rsidR="003F4B4D">
              <w:rPr>
                <w:noProof/>
              </w:rPr>
              <w:fldChar w:fldCharType="separate"/>
            </w:r>
            <w:r w:rsidR="003F4B4D">
              <w:rPr>
                <w:noProof/>
              </w:rPr>
              <w:t>5</w:t>
            </w:r>
            <w:r w:rsidR="003F4B4D">
              <w:rPr>
                <w:noProof/>
              </w:rPr>
              <w:fldChar w:fldCharType="end"/>
            </w:r>
          </w:hyperlink>
        </w:p>
        <w:p w14:paraId="021623C2" w14:textId="6EA76785" w:rsidR="003F4B4D" w:rsidRDefault="003F4B4D">
          <w:pPr>
            <w:pStyle w:val="TableofFigures"/>
            <w:tabs>
              <w:tab w:val="right" w:leader="dot" w:pos="9016"/>
            </w:tabs>
            <w:rPr>
              <w:noProof/>
            </w:rPr>
          </w:pPr>
          <w:hyperlink w:anchor="_Toc231919073" w:history="1">
            <w:r w:rsidRPr="009E5844">
              <w:rPr>
                <w:rStyle w:val="Hyperlink"/>
                <w:noProof/>
              </w:rPr>
              <w:t>Distribution of CURRENT_ENERGY_RATING across the cleaned Oxford frame. Bands C and D dominate, while bands A and G are sparsely populated.</w:t>
            </w:r>
            <w:r>
              <w:rPr>
                <w:noProof/>
              </w:rPr>
              <w:tab/>
            </w:r>
            <w:r>
              <w:rPr>
                <w:noProof/>
              </w:rPr>
              <w:fldChar w:fldCharType="begin"/>
            </w:r>
            <w:r>
              <w:rPr>
                <w:noProof/>
              </w:rPr>
              <w:instrText xml:space="preserve"> PAGEREF _Toc231919073 \h </w:instrText>
            </w:r>
            <w:r>
              <w:rPr>
                <w:noProof/>
              </w:rPr>
            </w:r>
            <w:r>
              <w:rPr>
                <w:noProof/>
              </w:rPr>
              <w:fldChar w:fldCharType="separate"/>
            </w:r>
            <w:r>
              <w:rPr>
                <w:noProof/>
              </w:rPr>
              <w:t>5</w:t>
            </w:r>
            <w:r>
              <w:rPr>
                <w:noProof/>
              </w:rPr>
              <w:fldChar w:fldCharType="end"/>
            </w:r>
          </w:hyperlink>
        </w:p>
        <w:p w14:paraId="2666880B" w14:textId="28035660" w:rsidR="003F4B4D" w:rsidRDefault="003F4B4D">
          <w:pPr>
            <w:pStyle w:val="TableofFigures"/>
            <w:tabs>
              <w:tab w:val="right" w:leader="dot" w:pos="9016"/>
            </w:tabs>
            <w:rPr>
              <w:noProof/>
            </w:rPr>
          </w:pPr>
          <w:hyperlink w:anchor="_Toc231919074" w:history="1">
            <w:r w:rsidRPr="009E5844">
              <w:rPr>
                <w:rStyle w:val="Hyperlink"/>
                <w:noProof/>
              </w:rPr>
              <w:t>EPC lodgements by inspection year. Notable features include the 2020 COVID-19 dip and the 2022 to 2023 spike during the energy price shock.</w:t>
            </w:r>
            <w:r>
              <w:rPr>
                <w:noProof/>
              </w:rPr>
              <w:tab/>
            </w:r>
            <w:r>
              <w:rPr>
                <w:noProof/>
              </w:rPr>
              <w:fldChar w:fldCharType="begin"/>
            </w:r>
            <w:r>
              <w:rPr>
                <w:noProof/>
              </w:rPr>
              <w:instrText xml:space="preserve"> PAGEREF _Toc231919074 \h </w:instrText>
            </w:r>
            <w:r>
              <w:rPr>
                <w:noProof/>
              </w:rPr>
            </w:r>
            <w:r>
              <w:rPr>
                <w:noProof/>
              </w:rPr>
              <w:fldChar w:fldCharType="separate"/>
            </w:r>
            <w:r>
              <w:rPr>
                <w:noProof/>
              </w:rPr>
              <w:t>6</w:t>
            </w:r>
            <w:r>
              <w:rPr>
                <w:noProof/>
              </w:rPr>
              <w:fldChar w:fldCharType="end"/>
            </w:r>
          </w:hyperlink>
        </w:p>
        <w:p w14:paraId="467DDB2D" w14:textId="09D532DF" w:rsidR="003F4B4D" w:rsidRDefault="003F4B4D">
          <w:pPr>
            <w:pStyle w:val="TableofFigures"/>
            <w:tabs>
              <w:tab w:val="right" w:leader="dot" w:pos="9016"/>
            </w:tabs>
            <w:rPr>
              <w:noProof/>
            </w:rPr>
          </w:pPr>
          <w:hyperlink w:anchor="_Toc231919075" w:history="1">
            <w:r w:rsidRPr="009E5844">
              <w:rPr>
                <w:rStyle w:val="Hyperlink"/>
                <w:noProof/>
              </w:rPr>
              <w:t>Joint distribution of property type and built form for cleaned Oxford certificates.</w:t>
            </w:r>
            <w:r>
              <w:rPr>
                <w:noProof/>
              </w:rPr>
              <w:tab/>
            </w:r>
            <w:r>
              <w:rPr>
                <w:noProof/>
              </w:rPr>
              <w:fldChar w:fldCharType="begin"/>
            </w:r>
            <w:r>
              <w:rPr>
                <w:noProof/>
              </w:rPr>
              <w:instrText xml:space="preserve"> PAGEREF _Toc231919075 \h </w:instrText>
            </w:r>
            <w:r>
              <w:rPr>
                <w:noProof/>
              </w:rPr>
            </w:r>
            <w:r>
              <w:rPr>
                <w:noProof/>
              </w:rPr>
              <w:fldChar w:fldCharType="separate"/>
            </w:r>
            <w:r>
              <w:rPr>
                <w:noProof/>
              </w:rPr>
              <w:t>6</w:t>
            </w:r>
            <w:r>
              <w:rPr>
                <w:noProof/>
              </w:rPr>
              <w:fldChar w:fldCharType="end"/>
            </w:r>
          </w:hyperlink>
        </w:p>
        <w:p w14:paraId="654E1B45" w14:textId="410A04EB" w:rsidR="003F4B4D" w:rsidRDefault="003F4B4D">
          <w:pPr>
            <w:pStyle w:val="TableofFigures"/>
            <w:tabs>
              <w:tab w:val="right" w:leader="dot" w:pos="9016"/>
            </w:tabs>
            <w:rPr>
              <w:noProof/>
            </w:rPr>
          </w:pPr>
          <w:hyperlink w:anchor="_Toc231919076" w:history="1">
            <w:r w:rsidRPr="009E5844">
              <w:rPr>
                <w:rStyle w:val="Hyperlink"/>
                <w:noProof/>
              </w:rPr>
              <w:t>Rating composition by construction age band. The systematic improvement from older to newer cohorts reflects four decades of progressive Building Regulations Part L revisions.</w:t>
            </w:r>
            <w:r>
              <w:rPr>
                <w:noProof/>
              </w:rPr>
              <w:tab/>
            </w:r>
            <w:r>
              <w:rPr>
                <w:noProof/>
              </w:rPr>
              <w:fldChar w:fldCharType="begin"/>
            </w:r>
            <w:r>
              <w:rPr>
                <w:noProof/>
              </w:rPr>
              <w:instrText xml:space="preserve"> PAGEREF _Toc231919076 \h </w:instrText>
            </w:r>
            <w:r>
              <w:rPr>
                <w:noProof/>
              </w:rPr>
            </w:r>
            <w:r>
              <w:rPr>
                <w:noProof/>
              </w:rPr>
              <w:fldChar w:fldCharType="separate"/>
            </w:r>
            <w:r>
              <w:rPr>
                <w:noProof/>
              </w:rPr>
              <w:t>7</w:t>
            </w:r>
            <w:r>
              <w:rPr>
                <w:noProof/>
              </w:rPr>
              <w:fldChar w:fldCharType="end"/>
            </w:r>
          </w:hyperlink>
        </w:p>
        <w:p w14:paraId="007922AD" w14:textId="0D5B7764" w:rsidR="003F4B4D" w:rsidRDefault="003F4B4D">
          <w:pPr>
            <w:pStyle w:val="TableofFigures"/>
            <w:tabs>
              <w:tab w:val="right" w:leader="dot" w:pos="9016"/>
            </w:tabs>
            <w:rPr>
              <w:noProof/>
            </w:rPr>
          </w:pPr>
          <w:hyperlink w:anchor="_Toc231919077" w:history="1">
            <w:r w:rsidRPr="009E5844">
              <w:rPr>
                <w:rStyle w:val="Hyperlink"/>
                <w:noProof/>
              </w:rPr>
              <w:t>SAP score distribution by wall construction. Each box is a different wall description; ordering by median highlights the magnitude of the insulation effect.</w:t>
            </w:r>
            <w:r>
              <w:rPr>
                <w:noProof/>
              </w:rPr>
              <w:tab/>
            </w:r>
            <w:r>
              <w:rPr>
                <w:noProof/>
              </w:rPr>
              <w:fldChar w:fldCharType="begin"/>
            </w:r>
            <w:r>
              <w:rPr>
                <w:noProof/>
              </w:rPr>
              <w:instrText xml:space="preserve"> PAGEREF _Toc231919077 \h </w:instrText>
            </w:r>
            <w:r>
              <w:rPr>
                <w:noProof/>
              </w:rPr>
            </w:r>
            <w:r>
              <w:rPr>
                <w:noProof/>
              </w:rPr>
              <w:fldChar w:fldCharType="separate"/>
            </w:r>
            <w:r>
              <w:rPr>
                <w:noProof/>
              </w:rPr>
              <w:t>8</w:t>
            </w:r>
            <w:r>
              <w:rPr>
                <w:noProof/>
              </w:rPr>
              <w:fldChar w:fldCharType="end"/>
            </w:r>
          </w:hyperlink>
        </w:p>
        <w:p w14:paraId="4233FCF2" w14:textId="5DC88808" w:rsidR="003F4B4D" w:rsidRDefault="003F4B4D">
          <w:pPr>
            <w:pStyle w:val="TableofFigures"/>
            <w:tabs>
              <w:tab w:val="right" w:leader="dot" w:pos="9016"/>
            </w:tabs>
            <w:rPr>
              <w:noProof/>
            </w:rPr>
          </w:pPr>
          <w:hyperlink w:anchor="_Toc231919078" w:history="1">
            <w:r w:rsidRPr="009E5844">
              <w:rPr>
                <w:rStyle w:val="Hyperlink"/>
                <w:noProof/>
              </w:rPr>
              <w:t>Spearman correlation matrix on numeric features.</w:t>
            </w:r>
            <w:r>
              <w:rPr>
                <w:noProof/>
              </w:rPr>
              <w:tab/>
            </w:r>
            <w:r>
              <w:rPr>
                <w:noProof/>
              </w:rPr>
              <w:fldChar w:fldCharType="begin"/>
            </w:r>
            <w:r>
              <w:rPr>
                <w:noProof/>
              </w:rPr>
              <w:instrText xml:space="preserve"> PAGEREF _Toc231919078 \h </w:instrText>
            </w:r>
            <w:r>
              <w:rPr>
                <w:noProof/>
              </w:rPr>
            </w:r>
            <w:r>
              <w:rPr>
                <w:noProof/>
              </w:rPr>
              <w:fldChar w:fldCharType="separate"/>
            </w:r>
            <w:r>
              <w:rPr>
                <w:noProof/>
              </w:rPr>
              <w:t>9</w:t>
            </w:r>
            <w:r>
              <w:rPr>
                <w:noProof/>
              </w:rPr>
              <w:fldChar w:fldCharType="end"/>
            </w:r>
          </w:hyperlink>
        </w:p>
        <w:p w14:paraId="5F7BAF4C" w14:textId="2D8D220D" w:rsidR="003F4B4D" w:rsidRDefault="003F4B4D">
          <w:pPr>
            <w:pStyle w:val="TableofFigures"/>
            <w:tabs>
              <w:tab w:val="right" w:leader="dot" w:pos="9016"/>
            </w:tabs>
            <w:rPr>
              <w:noProof/>
            </w:rPr>
          </w:pPr>
          <w:hyperlink w:anchor="_Toc231919079" w:history="1">
            <w:r w:rsidRPr="009E5844">
              <w:rPr>
                <w:rStyle w:val="Hyperlink"/>
                <w:noProof/>
              </w:rPr>
              <w:t>Confusion matrix on the temporal hold-out test set. Off-diagonal mass is concentrated on the one-band neighbours of the true label, consistent with an ordinal model.</w:t>
            </w:r>
            <w:r>
              <w:rPr>
                <w:noProof/>
              </w:rPr>
              <w:tab/>
            </w:r>
            <w:r>
              <w:rPr>
                <w:noProof/>
              </w:rPr>
              <w:fldChar w:fldCharType="begin"/>
            </w:r>
            <w:r>
              <w:rPr>
                <w:noProof/>
              </w:rPr>
              <w:instrText xml:space="preserve"> PAGEREF _Toc231919079 \h </w:instrText>
            </w:r>
            <w:r>
              <w:rPr>
                <w:noProof/>
              </w:rPr>
            </w:r>
            <w:r>
              <w:rPr>
                <w:noProof/>
              </w:rPr>
              <w:fldChar w:fldCharType="separate"/>
            </w:r>
            <w:r>
              <w:rPr>
                <w:noProof/>
              </w:rPr>
              <w:t>11</w:t>
            </w:r>
            <w:r>
              <w:rPr>
                <w:noProof/>
              </w:rPr>
              <w:fldChar w:fldCharType="end"/>
            </w:r>
          </w:hyperlink>
        </w:p>
        <w:p w14:paraId="2700E4AE" w14:textId="7119A901" w:rsidR="003F4B4D" w:rsidRDefault="003F4B4D">
          <w:pPr>
            <w:pStyle w:val="TableofFigures"/>
            <w:tabs>
              <w:tab w:val="right" w:leader="dot" w:pos="9016"/>
            </w:tabs>
            <w:rPr>
              <w:noProof/>
            </w:rPr>
          </w:pPr>
          <w:hyperlink w:anchor="_Toc231919080" w:history="1">
            <w:r w:rsidRPr="009E5844">
              <w:rPr>
                <w:rStyle w:val="Hyperlink"/>
                <w:noProof/>
              </w:rPr>
              <w:t>Top features by permutation importance on the hold-out set.</w:t>
            </w:r>
            <w:r>
              <w:rPr>
                <w:noProof/>
              </w:rPr>
              <w:tab/>
            </w:r>
            <w:r>
              <w:rPr>
                <w:noProof/>
              </w:rPr>
              <w:fldChar w:fldCharType="begin"/>
            </w:r>
            <w:r>
              <w:rPr>
                <w:noProof/>
              </w:rPr>
              <w:instrText xml:space="preserve"> PAGEREF _Toc231919080 \h </w:instrText>
            </w:r>
            <w:r>
              <w:rPr>
                <w:noProof/>
              </w:rPr>
            </w:r>
            <w:r>
              <w:rPr>
                <w:noProof/>
              </w:rPr>
              <w:fldChar w:fldCharType="separate"/>
            </w:r>
            <w:r>
              <w:rPr>
                <w:noProof/>
              </w:rPr>
              <w:t>12</w:t>
            </w:r>
            <w:r>
              <w:rPr>
                <w:noProof/>
              </w:rPr>
              <w:fldChar w:fldCharType="end"/>
            </w:r>
          </w:hyperlink>
        </w:p>
        <w:p w14:paraId="6851BA87" w14:textId="38A6095B" w:rsidR="003F4B4D" w:rsidRDefault="003F4B4D">
          <w:pPr>
            <w:pStyle w:val="TableofFigures"/>
            <w:tabs>
              <w:tab w:val="right" w:leader="dot" w:pos="9016"/>
            </w:tabs>
            <w:rPr>
              <w:noProof/>
            </w:rPr>
          </w:pPr>
          <w:hyperlink w:anchor="_Toc231919081" w:history="1">
            <w:r w:rsidRPr="009E5844">
              <w:rPr>
                <w:rStyle w:val="Hyperlink"/>
                <w:noProof/>
              </w:rPr>
              <w:t>SHAP summary plot. Each point is one test-set dwelling; horizontal position is the SHAP value (signed contribution to the predicted score) and colour is the feature value (red is high).</w:t>
            </w:r>
            <w:r>
              <w:rPr>
                <w:noProof/>
              </w:rPr>
              <w:tab/>
            </w:r>
            <w:r>
              <w:rPr>
                <w:noProof/>
              </w:rPr>
              <w:fldChar w:fldCharType="begin"/>
            </w:r>
            <w:r>
              <w:rPr>
                <w:noProof/>
              </w:rPr>
              <w:instrText xml:space="preserve"> PAGEREF _Toc231919081 \h </w:instrText>
            </w:r>
            <w:r>
              <w:rPr>
                <w:noProof/>
              </w:rPr>
            </w:r>
            <w:r>
              <w:rPr>
                <w:noProof/>
              </w:rPr>
              <w:fldChar w:fldCharType="separate"/>
            </w:r>
            <w:r>
              <w:rPr>
                <w:noProof/>
              </w:rPr>
              <w:t>12</w:t>
            </w:r>
            <w:r>
              <w:rPr>
                <w:noProof/>
              </w:rPr>
              <w:fldChar w:fldCharType="end"/>
            </w:r>
          </w:hyperlink>
        </w:p>
        <w:p w14:paraId="226DCCA6" w14:textId="2510B608" w:rsidR="003F4B4D" w:rsidRDefault="003F4B4D">
          <w:pPr>
            <w:pStyle w:val="TableofFigures"/>
            <w:tabs>
              <w:tab w:val="right" w:leader="dot" w:pos="9016"/>
            </w:tabs>
            <w:rPr>
              <w:noProof/>
            </w:rPr>
          </w:pPr>
          <w:hyperlink w:anchor="_Toc231919082" w:history="1">
            <w:r w:rsidRPr="009E5844">
              <w:rPr>
                <w:rStyle w:val="Hyperlink"/>
                <w:noProof/>
              </w:rPr>
              <w:t>SAP-score reliability curve: per-decile mean predicted score against per-decile mean observed score on the temporal hold-out. The slope of 0.79 and intercept of +16 indicate mild compression toward the mean.</w:t>
            </w:r>
            <w:r>
              <w:rPr>
                <w:noProof/>
              </w:rPr>
              <w:tab/>
            </w:r>
            <w:r>
              <w:rPr>
                <w:noProof/>
              </w:rPr>
              <w:fldChar w:fldCharType="begin"/>
            </w:r>
            <w:r>
              <w:rPr>
                <w:noProof/>
              </w:rPr>
              <w:instrText xml:space="preserve"> PAGEREF _Toc231919082 \h </w:instrText>
            </w:r>
            <w:r>
              <w:rPr>
                <w:noProof/>
              </w:rPr>
            </w:r>
            <w:r>
              <w:rPr>
                <w:noProof/>
              </w:rPr>
              <w:fldChar w:fldCharType="separate"/>
            </w:r>
            <w:r>
              <w:rPr>
                <w:noProof/>
              </w:rPr>
              <w:t>13</w:t>
            </w:r>
            <w:r>
              <w:rPr>
                <w:noProof/>
              </w:rPr>
              <w:fldChar w:fldCharType="end"/>
            </w:r>
          </w:hyperlink>
        </w:p>
        <w:p w14:paraId="6950BC97" w14:textId="3F54F563" w:rsidR="003F4B4D" w:rsidRDefault="003F4B4D">
          <w:pPr>
            <w:pStyle w:val="TableofFigures"/>
            <w:tabs>
              <w:tab w:val="right" w:leader="dot" w:pos="9016"/>
            </w:tabs>
            <w:rPr>
              <w:noProof/>
            </w:rPr>
          </w:pPr>
          <w:hyperlink w:anchor="_Toc231919083" w:history="1">
            <w:r w:rsidRPr="009E5844">
              <w:rPr>
                <w:rStyle w:val="Hyperlink"/>
                <w:noProof/>
              </w:rPr>
              <w:t>K-Prototypes segmentation (k = 3): standardised fabric profile (left) and post-hoc mean SAP per segment (right).</w:t>
            </w:r>
            <w:r>
              <w:rPr>
                <w:noProof/>
              </w:rPr>
              <w:tab/>
            </w:r>
            <w:r>
              <w:rPr>
                <w:noProof/>
              </w:rPr>
              <w:fldChar w:fldCharType="begin"/>
            </w:r>
            <w:r>
              <w:rPr>
                <w:noProof/>
              </w:rPr>
              <w:instrText xml:space="preserve"> PAGEREF _Toc231919083 \h </w:instrText>
            </w:r>
            <w:r>
              <w:rPr>
                <w:noProof/>
              </w:rPr>
            </w:r>
            <w:r>
              <w:rPr>
                <w:noProof/>
              </w:rPr>
              <w:fldChar w:fldCharType="separate"/>
            </w:r>
            <w:r>
              <w:rPr>
                <w:noProof/>
              </w:rPr>
              <w:t>14</w:t>
            </w:r>
            <w:r>
              <w:rPr>
                <w:noProof/>
              </w:rPr>
              <w:fldChar w:fldCharType="end"/>
            </w:r>
          </w:hyperlink>
        </w:p>
        <w:p w14:paraId="595FE736" w14:textId="4D56A5AE" w:rsidR="003F4B4D" w:rsidRDefault="003F4B4D">
          <w:pPr>
            <w:pStyle w:val="TableofFigures"/>
            <w:tabs>
              <w:tab w:val="right" w:leader="dot" w:pos="9016"/>
            </w:tabs>
            <w:rPr>
              <w:noProof/>
            </w:rPr>
          </w:pPr>
          <w:hyperlink w:anchor="_Toc231919084" w:history="1">
            <w:r w:rsidRPr="009E5844">
              <w:rPr>
                <w:rStyle w:val="Hyperlink"/>
                <w:noProof/>
              </w:rPr>
              <w:t>Retrofit recommender: most-recommended measures with indicative cost (left) and top Apriori association rules by lift (right).</w:t>
            </w:r>
            <w:r>
              <w:rPr>
                <w:noProof/>
              </w:rPr>
              <w:tab/>
            </w:r>
            <w:r>
              <w:rPr>
                <w:noProof/>
              </w:rPr>
              <w:fldChar w:fldCharType="begin"/>
            </w:r>
            <w:r>
              <w:rPr>
                <w:noProof/>
              </w:rPr>
              <w:instrText xml:space="preserve"> PAGEREF _Toc231919084 \h </w:instrText>
            </w:r>
            <w:r>
              <w:rPr>
                <w:noProof/>
              </w:rPr>
            </w:r>
            <w:r>
              <w:rPr>
                <w:noProof/>
              </w:rPr>
              <w:fldChar w:fldCharType="separate"/>
            </w:r>
            <w:r>
              <w:rPr>
                <w:noProof/>
              </w:rPr>
              <w:t>14</w:t>
            </w:r>
            <w:r>
              <w:rPr>
                <w:noProof/>
              </w:rPr>
              <w:fldChar w:fldCharType="end"/>
            </w:r>
          </w:hyperlink>
        </w:p>
        <w:p w14:paraId="4F35F435" w14:textId="77777777" w:rsidR="00144A83" w:rsidRDefault="002929A7">
          <w:r>
            <w:fldChar w:fldCharType="end"/>
          </w:r>
        </w:p>
      </w:sdtContent>
    </w:sdt>
    <w:p w14:paraId="63E67D2D" w14:textId="77777777" w:rsidR="00144A83" w:rsidRDefault="002929A7">
      <w:r>
        <w:br w:type="page"/>
      </w:r>
    </w:p>
    <w:p w14:paraId="1C5D2514" w14:textId="77777777" w:rsidR="00144A83" w:rsidRDefault="002929A7">
      <w:pPr>
        <w:pStyle w:val="Heading1"/>
      </w:pPr>
      <w:bookmarkStart w:id="0" w:name="_Toc231919061"/>
      <w:r>
        <w:lastRenderedPageBreak/>
        <w:t>1. Introduction and Dataset Acquisition</w:t>
      </w:r>
      <w:bookmarkEnd w:id="0"/>
    </w:p>
    <w:p w14:paraId="3C64422A" w14:textId="77777777" w:rsidR="00144A83" w:rsidRDefault="002929A7">
      <w:pPr>
        <w:spacing w:after="160" w:line="276" w:lineRule="auto"/>
        <w:jc w:val="both"/>
      </w:pPr>
      <w:r>
        <w:t>The UK is legally committed to net zero by 2050 (HM Government, 2021), and domestic buildings account for around 17% of emissions, dominated by space and water heating (Climate Change Committee, 2023). Energy Performance Certificates (EPCs) are the principal evidence base for retrofit policy, recording modelled efficiency for every dwelling sold, let or built, and the Energy Performance of Buildings Register (DLUHC, 2022) publishes them as open data under the Open Government Licence v3.0.</w:t>
      </w:r>
    </w:p>
    <w:p w14:paraId="6D4B0D30" w14:textId="77777777" w:rsidR="00144A83" w:rsidRDefault="002929A7">
      <w:pPr>
        <w:spacing w:after="160" w:line="276" w:lineRule="auto"/>
        <w:jc w:val="both"/>
      </w:pPr>
      <w:r>
        <w:t>This study targets Oxford local authority (ONS code E07000178), whose stock skews unusually old. The 2021 Census records 30.4% of dwellings built before 1900 (ONS, 2023a), almost double the England-wide share, set against aggressive retrofit ambitions (Oxford City Council, 2023). The question is concrete: can the EPC band be predicted from physical characteristics alone, and which features are the largest levers?</w:t>
      </w:r>
    </w:p>
    <w:p w14:paraId="7345D2A9" w14:textId="77777777" w:rsidR="00144A83" w:rsidRDefault="002929A7">
      <w:pPr>
        <w:spacing w:after="160" w:line="276" w:lineRule="auto"/>
        <w:jc w:val="both"/>
      </w:pPr>
      <w:r>
        <w:t>Each EPC is produced by a qualified assessor using the Reduced data Standard Assessment Procedure (RdSAP) for existing dwellings or full SAP for new builds (BRE, 2014), combining measured inputs with substantial defaults. Few et al. (2023) document roughly five-point inter-assessor variability and Hardy and Glew (2019) report systemic database errors. The methodology has been revised (SAP 10, 2022), so certificates from different years are not strictly comparable, and lodgement-event selection bias under-re</w:t>
      </w:r>
      <w:r>
        <w:t>presents long-tenure owner-occupied homes (Crawley et al., 2019), which the temporal split and the limitations section address.</w:t>
      </w:r>
    </w:p>
    <w:p w14:paraId="58AF90B5" w14:textId="77777777" w:rsidR="00144A83" w:rsidRDefault="002929A7">
      <w:pPr>
        <w:pStyle w:val="Heading1"/>
      </w:pPr>
      <w:bookmarkStart w:id="1" w:name="_Toc231919062"/>
      <w:r>
        <w:t>2. Feature Engineering</w:t>
      </w:r>
      <w:bookmarkEnd w:id="1"/>
    </w:p>
    <w:p w14:paraId="624F5E92" w14:textId="77777777" w:rsidR="00144A83" w:rsidRDefault="002929A7">
      <w:pPr>
        <w:spacing w:after="160" w:line="276" w:lineRule="auto"/>
        <w:jc w:val="both"/>
      </w:pPr>
      <w:r>
        <w:t>Feature engineering operationalises domain knowledge of building physics; nineteen features were added. The numerical features include CONSTRUCTION_AGE_NUM (the midpoint year of the banded age, so '1930-1949' becomes 1939), which makes the age effect monotonic; LOG_FLOOR_AREA stabilises the skewed area distribution; AREA_PER_ROOM and HEATED_ROOM_RATIO capture occupancy intensity; LOFT_INSULATION_MM extracts loft depth; and FLOOR_LEVEL_NUM maps the messy flats-only FLOOR_LEVEL field onto a signed-integer sto</w:t>
      </w:r>
      <w:r>
        <w:t>rey scale (ground = 0, basement = -1). Nine Boolean flags are regex-extracted from the description fields: solid-brick-bare and cavity-insulated walls, no-loft and 270 mm-loft insulation, gas, electric and heat-pump heating, and single and triple glazing. Date parts capture methodology drift, and POSTCODE_DISTRICT (outward code only) is a coarse non-personal geographic feature, with the full postcode dropped for GDPR data-minimisation.</w:t>
      </w:r>
    </w:p>
    <w:p w14:paraId="19EBF9AF" w14:textId="77777777" w:rsidR="00144A83" w:rsidRDefault="002929A7">
      <w:pPr>
        <w:spacing w:after="160" w:line="276" w:lineRule="auto"/>
        <w:jc w:val="both"/>
      </w:pPr>
      <w:r>
        <w:t>Each feature has a hypothesised sign that is testable in Sections 3.3 and 3.4. The heat-pump flag is deliberately ambiguous: heat pumps deliver a high seasonal coefficient of performance, but SAP is based on fuel cost, and grid electricity costs roughly three times more per kWh than mains gas (Ofgem, 2024), so the model can surface this counter-intuitive interaction.</w:t>
      </w:r>
    </w:p>
    <w:p w14:paraId="0CD65E9B" w14:textId="77777777" w:rsidR="00144A83" w:rsidRDefault="002929A7">
      <w:pPr>
        <w:pStyle w:val="Heading1"/>
      </w:pPr>
      <w:bookmarkStart w:id="2" w:name="_Toc231919063"/>
      <w:r>
        <w:lastRenderedPageBreak/>
        <w:t>3. Analysis</w:t>
      </w:r>
      <w:bookmarkEnd w:id="2"/>
    </w:p>
    <w:p w14:paraId="16F82459" w14:textId="77777777" w:rsidR="00144A83" w:rsidRDefault="002929A7">
      <w:pPr>
        <w:spacing w:after="160" w:line="276" w:lineRule="auto"/>
        <w:jc w:val="both"/>
      </w:pPr>
      <w:r>
        <w:t>The analysis follows a descriptive, diagnostic and predictive progression. Section 3.3 tests three building-physics hypotheses and Section 3.4 evaluates the predictive champion against published baselines under leakage-controlled cross-validation (CV) and a temporal hold-out.</w:t>
      </w:r>
    </w:p>
    <w:p w14:paraId="48971B1C" w14:textId="77777777" w:rsidR="00144A83" w:rsidRDefault="002929A7">
      <w:pPr>
        <w:pStyle w:val="Heading2"/>
      </w:pPr>
      <w:bookmarkStart w:id="3" w:name="_Toc231919064"/>
      <w:r>
        <w:t>3.1 Data Wrangling</w:t>
      </w:r>
      <w:bookmarkEnd w:id="3"/>
    </w:p>
    <w:p w14:paraId="67F7E486" w14:textId="77777777" w:rsidR="00144A83" w:rsidRDefault="002929A7">
      <w:pPr>
        <w:spacing w:after="160" w:line="276" w:lineRule="auto"/>
        <w:jc w:val="both"/>
      </w:pPr>
      <w:r>
        <w:t>The raw certificates.csv file contains 76,430 rows and 93 columns for Oxford. Loading applies explicit dtype hints and normalises the register's 'no data' sentinel tokens (NODATA!, NO DATA!, INVALID!) to NaN, so they neither pollute the categorical encoders nor escape the missingness indicators. The flats-only FLOOR_LEVEL field, recorded in incompatible formats, is canonicalised to a signed-integer storey (FLOOR_LEVEL_NUM) rather than discarded, with unrecognised values set to NaN.</w:t>
      </w:r>
    </w:p>
    <w:p w14:paraId="2C06E357" w14:textId="77777777" w:rsidR="00144A83" w:rsidRDefault="002929A7">
      <w:pPr>
        <w:spacing w:after="160" w:line="276" w:lineRule="auto"/>
        <w:jc w:val="both"/>
      </w:pPr>
      <w:r>
        <w:t>Five cleaning operations are applied as pure functions for reproducibility. (i) Filter to LOCAL_AUTHORITY == 'E07000178'. (ii) Coerce numeric columns and normalise sentinel tokens, so non-coercible strings and 'no data' tokens become NaN. (iii) Deduplicate to one EPC per Unique Property Reference Number (UPRN), keeping the most recent with completeness tie-breaks, because a random split of an un-deduplicated frame would leak the same property into train and test. (iv) Cap TOTAL_FLOOR_AREA at the 99.5th perc</w:t>
      </w:r>
      <w:r>
        <w:t>entile, drop rows below 10 m2, set impossible zero rooms or area to NaN, and flag negative net consumption as HAS_ONSITE_GENERATION (solar PV). (v) Remove rows with missing or non-A-to-G targets. The cleaned frame of 49,442 certificates is saved to data/processed/oxford_epc_clean.csv with PII and redundant administrative columns dropped per GDPR Article 5.</w:t>
      </w:r>
    </w:p>
    <w:p w14:paraId="1F4C4159" w14:textId="77777777" w:rsidR="00144A83" w:rsidRDefault="002929A7">
      <w:pPr>
        <w:spacing w:after="160" w:line="276" w:lineRule="auto"/>
        <w:jc w:val="both"/>
      </w:pPr>
      <w:r>
        <w:t>Missingness is informative rather than random: FLAT_STOREY_COUNT and HEAT_LOSS_CORRIDOR are structurally NaN for houses, and UNHEATED_CORRIDOR_LENGTH is NaN unless an unheated corridor exists. Rather than drop these moderately incomplete columns, each field above 5% missingness gains a binary &lt;COL&gt;_IS_MISSING indicator so the tree can learn the structural meaning; only columns at or above 99.9% empty are dropped. The gradient-booster consumes the remaining NaNs natively, while the linear and forest baseline</w:t>
      </w:r>
      <w:r>
        <w:t>s median-impute within the training fold only.</w:t>
      </w:r>
    </w:p>
    <w:p w14:paraId="4B73A469" w14:textId="77777777" w:rsidR="00144A83" w:rsidRDefault="002929A7">
      <w:pPr>
        <w:spacing w:before="120" w:after="60"/>
        <w:jc w:val="center"/>
      </w:pPr>
      <w:r>
        <w:rPr>
          <w:noProof/>
        </w:rPr>
        <w:lastRenderedPageBreak/>
        <w:drawing>
          <wp:inline distT="0" distB="0" distL="0" distR="0" wp14:anchorId="4EA4D907" wp14:editId="2526B16B">
            <wp:extent cx="5029200" cy="3095625"/>
            <wp:effectExtent l="0" t="0" r="0" b="0"/>
            <wp:docPr id="1390373553" name="fig_missingness" descr="Top 20 features by missingness in the cleaned Oxford frame. Structural NaN dominates: flat-only fields are absent for houses by design." title="Top 20 features by missingness in the cleaned Oxford frame. Structural NaN dominates: flat-only fields are absent for houses by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3095625"/>
                    </a:xfrm>
                    <a:prstGeom prst="rect">
                      <a:avLst/>
                    </a:prstGeom>
                  </pic:spPr>
                </pic:pic>
              </a:graphicData>
            </a:graphic>
          </wp:inline>
        </w:drawing>
      </w:r>
    </w:p>
    <w:p w14:paraId="2E772903" w14:textId="3BF88053"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1</w:t>
      </w:r>
      <w:r>
        <w:fldChar w:fldCharType="end"/>
      </w:r>
      <w:r>
        <w:t xml:space="preserve">. </w:t>
      </w:r>
      <w:bookmarkStart w:id="4" w:name="_Toc231919072"/>
      <w:r>
        <w:t>Top 20 features by missingness in the cleaned Oxford frame. Structural NaN dominates: flat-only fields are absent for houses by design.</w:t>
      </w:r>
      <w:bookmarkEnd w:id="4"/>
    </w:p>
    <w:p w14:paraId="2C6D1BE7" w14:textId="77777777" w:rsidR="00144A83" w:rsidRDefault="002929A7">
      <w:pPr>
        <w:pStyle w:val="Heading2"/>
      </w:pPr>
      <w:bookmarkStart w:id="5" w:name="_Toc231919065"/>
      <w:r>
        <w:t>3.2 Descriptive Analytics</w:t>
      </w:r>
      <w:bookmarkEnd w:id="5"/>
    </w:p>
    <w:p w14:paraId="70D42F27" w14:textId="77777777" w:rsidR="00144A83" w:rsidRDefault="002929A7">
      <w:pPr>
        <w:spacing w:after="160" w:line="276" w:lineRule="auto"/>
        <w:jc w:val="both"/>
      </w:pPr>
      <w:r>
        <w:t>The current rating distribution (Figure 2) is dominated by bands C and D, which together account for the substantial majority of Oxford's lodged stock. The B and A tail is thin, and the F and G tail is also thin but non-trivial, concentrated in pre-1900 conversions and listed buildings. The class imbalance is the principal modelling challenge: a naive accuracy-optimised classifier collapses to predicting D. We therefore use class-balanced training and report Quadratic Weighted Kappa (QWK), which penalises d</w:t>
      </w:r>
      <w:r>
        <w:t>istant misclassifications more than nearby ones, the appropriate inductive bias for an ordinal target.</w:t>
      </w:r>
    </w:p>
    <w:p w14:paraId="1721DAE4" w14:textId="77777777" w:rsidR="00144A83" w:rsidRDefault="002929A7">
      <w:pPr>
        <w:spacing w:before="120" w:after="60"/>
        <w:jc w:val="center"/>
      </w:pPr>
      <w:r>
        <w:rPr>
          <w:noProof/>
        </w:rPr>
        <w:drawing>
          <wp:inline distT="0" distB="0" distL="0" distR="0" wp14:anchorId="58712179" wp14:editId="071E035D">
            <wp:extent cx="5029200" cy="2886075"/>
            <wp:effectExtent l="0" t="0" r="0" b="0"/>
            <wp:docPr id="1749983338" name="fig_rating_distribution" descr="Distribution of CURRENT_ENERGY_RATING across the cleaned Oxford frame. Bands C and D dominate, while bands A and G are sparsely populated." title="Distribution of CURRENT_ENERGY_RATING across the cleaned Oxford frame. Bands C and D dominate, while bands A and G are sparsely pop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886075"/>
                    </a:xfrm>
                    <a:prstGeom prst="rect">
                      <a:avLst/>
                    </a:prstGeom>
                  </pic:spPr>
                </pic:pic>
              </a:graphicData>
            </a:graphic>
          </wp:inline>
        </w:drawing>
      </w:r>
    </w:p>
    <w:p w14:paraId="08D709B7" w14:textId="4092C9EC"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2</w:t>
      </w:r>
      <w:r>
        <w:fldChar w:fldCharType="end"/>
      </w:r>
      <w:r>
        <w:t xml:space="preserve">. </w:t>
      </w:r>
      <w:bookmarkStart w:id="6" w:name="_Toc231919073"/>
      <w:r>
        <w:t>Distribution of CURRENT_ENERGY_RATING across the cleaned Oxford frame. Bands C and D dominate, while bands A and G are sparsely populated.</w:t>
      </w:r>
      <w:bookmarkEnd w:id="6"/>
    </w:p>
    <w:p w14:paraId="3C9C5D64" w14:textId="77777777" w:rsidR="00144A83" w:rsidRDefault="002929A7">
      <w:pPr>
        <w:spacing w:after="160" w:line="276" w:lineRule="auto"/>
        <w:jc w:val="both"/>
      </w:pPr>
      <w:r>
        <w:lastRenderedPageBreak/>
        <w:t>Lodgement volume by inspection year (Figure 3) shows growth from 2008 onward driven by the expansion of EPC requirements, a clear COVID-19 dip in 2020, and a 2022 to 2023 spike coincident with energy-price-shock-driven sales activity. This pattern motivates the temporal split, which gives a more honest estimate of generalisation than a random one.</w:t>
      </w:r>
    </w:p>
    <w:p w14:paraId="55B789BD" w14:textId="77777777" w:rsidR="00144A83" w:rsidRDefault="002929A7">
      <w:pPr>
        <w:spacing w:before="120" w:after="60"/>
        <w:jc w:val="center"/>
      </w:pPr>
      <w:r>
        <w:rPr>
          <w:noProof/>
        </w:rPr>
        <w:drawing>
          <wp:inline distT="0" distB="0" distL="0" distR="0" wp14:anchorId="2573C98C" wp14:editId="6607D3A1">
            <wp:extent cx="5029200" cy="2466975"/>
            <wp:effectExtent l="0" t="0" r="0" b="0"/>
            <wp:docPr id="1283824425" name="fig_temporal_volume" descr="EPC lodgements by inspection year. Notable features include the 2020 COVID-19 dip and the 2022 to 2023 spike during the energy price shock." title="EPC lodgements by inspection year. Notable features include the 2020 COVID-19 dip and the 2022 to 2023 spike during the energy price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2466975"/>
                    </a:xfrm>
                    <a:prstGeom prst="rect">
                      <a:avLst/>
                    </a:prstGeom>
                  </pic:spPr>
                </pic:pic>
              </a:graphicData>
            </a:graphic>
          </wp:inline>
        </w:drawing>
      </w:r>
    </w:p>
    <w:p w14:paraId="7D2BEB47" w14:textId="295968E6"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3</w:t>
      </w:r>
      <w:r>
        <w:fldChar w:fldCharType="end"/>
      </w:r>
      <w:r>
        <w:t xml:space="preserve">. </w:t>
      </w:r>
      <w:bookmarkStart w:id="7" w:name="_Toc231919074"/>
      <w:r>
        <w:t>EPC lodgements by inspection year. Notable features include the 2020 COVID-19 dip and the 2022 to 2023 spike during the energy price shock.</w:t>
      </w:r>
      <w:bookmarkEnd w:id="7"/>
    </w:p>
    <w:p w14:paraId="18EDF7E9" w14:textId="77777777" w:rsidR="00144A83" w:rsidRDefault="002929A7">
      <w:pPr>
        <w:spacing w:after="160" w:line="276" w:lineRule="auto"/>
        <w:jc w:val="both"/>
      </w:pPr>
      <w:r>
        <w:t>Property type cross-tabulated with built form (Figure 4) confirms Oxford's distinctive stock profile: terraces and semi-detached houses dominate, with a substantial share of purpose-built and converted flats reflecting the city's student and young-professional rental market. Detached dwellings are comparatively rare, and summary statistics for the key numeric features are tabulated in reports/summary_stats.csv.</w:t>
      </w:r>
    </w:p>
    <w:p w14:paraId="7C4C5585" w14:textId="77777777" w:rsidR="00144A83" w:rsidRDefault="002929A7">
      <w:pPr>
        <w:spacing w:before="120" w:after="60"/>
        <w:jc w:val="center"/>
      </w:pPr>
      <w:r>
        <w:rPr>
          <w:noProof/>
        </w:rPr>
        <w:drawing>
          <wp:inline distT="0" distB="0" distL="0" distR="0" wp14:anchorId="554EA42C" wp14:editId="44FD2046">
            <wp:extent cx="5029200" cy="2362200"/>
            <wp:effectExtent l="0" t="0" r="0" b="0"/>
            <wp:docPr id="362565482" name="fig_property_built_form" descr="Joint distribution of property type and built form for cleaned Oxford certificates." title="Joint distribution of property type and built form for cleaned Oxford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2362200"/>
                    </a:xfrm>
                    <a:prstGeom prst="rect">
                      <a:avLst/>
                    </a:prstGeom>
                  </pic:spPr>
                </pic:pic>
              </a:graphicData>
            </a:graphic>
          </wp:inline>
        </w:drawing>
      </w:r>
    </w:p>
    <w:p w14:paraId="1779D225" w14:textId="10D47A4F"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4</w:t>
      </w:r>
      <w:r>
        <w:fldChar w:fldCharType="end"/>
      </w:r>
      <w:r>
        <w:t xml:space="preserve">. </w:t>
      </w:r>
      <w:bookmarkStart w:id="8" w:name="_Toc231919075"/>
      <w:r>
        <w:t>Joint distribution of property type and built form for cleaned Oxford certificates.</w:t>
      </w:r>
      <w:bookmarkEnd w:id="8"/>
    </w:p>
    <w:p w14:paraId="377F8E9D" w14:textId="77777777" w:rsidR="00144A83" w:rsidRDefault="002929A7">
      <w:pPr>
        <w:spacing w:after="160" w:line="276" w:lineRule="auto"/>
        <w:jc w:val="both"/>
      </w:pPr>
      <w:r>
        <w:t>Property type strongly discriminates efficiency: flats average the highest SAP (72.0, band C), since shared walls cut heat loss, ahead of maisonettes (67.2) and houses (65.4, band D); the eight park homes are worst (49.0, band E). Within each type, mean SAP rises monotonically across construction eras, by roughly 25 points from pre-1900 to post-2007, tracking Building Regulations. The champion performs consistently across types (hold-out QWK: House 0.78, Maisonette 0.78, Bungalow 0.736, Flat 0.714).</w:t>
      </w:r>
    </w:p>
    <w:p w14:paraId="338EE737" w14:textId="77777777" w:rsidR="00144A83" w:rsidRDefault="002929A7">
      <w:pPr>
        <w:spacing w:before="60" w:after="80"/>
        <w:jc w:val="center"/>
      </w:pPr>
      <w:r>
        <w:rPr>
          <w:i/>
          <w:iCs/>
          <w:sz w:val="20"/>
          <w:szCs w:val="20"/>
        </w:rPr>
        <w:lastRenderedPageBreak/>
        <w:t>Table 1. Mean SAP score by property type and construction era.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6"/>
        <w:gridCol w:w="1650"/>
        <w:gridCol w:w="1650"/>
        <w:gridCol w:w="1650"/>
        <w:gridCol w:w="1650"/>
      </w:tblGrid>
      <w:tr w:rsidR="00144A83" w14:paraId="23CE43D7" w14:textId="77777777">
        <w:tblPrEx>
          <w:tblCellMar>
            <w:top w:w="0" w:type="dxa"/>
            <w:bottom w:w="0" w:type="dxa"/>
          </w:tblCellMar>
        </w:tblPrEx>
        <w:trPr>
          <w:tblHeader/>
        </w:trPr>
        <w:tc>
          <w:tcPr>
            <w:tcW w:w="2426" w:type="dxa"/>
            <w:tcBorders>
              <w:top w:val="single" w:sz="1" w:space="0" w:color="999999"/>
              <w:left w:val="single" w:sz="1" w:space="0" w:color="999999"/>
              <w:bottom w:val="single" w:sz="1" w:space="0" w:color="999999"/>
              <w:right w:val="single" w:sz="1" w:space="0" w:color="999999"/>
            </w:tcBorders>
            <w:shd w:val="clear" w:color="auto" w:fill="1F3A5F"/>
            <w:tcMar>
              <w:top w:w="40" w:type="dxa"/>
              <w:left w:w="100" w:type="dxa"/>
              <w:bottom w:w="40" w:type="dxa"/>
              <w:right w:w="100" w:type="dxa"/>
            </w:tcMar>
            <w:vAlign w:val="center"/>
          </w:tcPr>
          <w:p w14:paraId="0C48FC14" w14:textId="77777777" w:rsidR="00144A83" w:rsidRDefault="002929A7">
            <w:pPr>
              <w:jc w:val="center"/>
            </w:pPr>
            <w:r>
              <w:rPr>
                <w:b/>
                <w:bCs/>
                <w:color w:val="FFFFFF"/>
                <w:sz w:val="22"/>
                <w:szCs w:val="22"/>
              </w:rPr>
              <w:t>Construction era</w:t>
            </w:r>
          </w:p>
        </w:tc>
        <w:tc>
          <w:tcPr>
            <w:tcW w:w="1650" w:type="dxa"/>
            <w:tcBorders>
              <w:top w:val="single" w:sz="1" w:space="0" w:color="999999"/>
              <w:left w:val="single" w:sz="1" w:space="0" w:color="999999"/>
              <w:bottom w:val="single" w:sz="1" w:space="0" w:color="999999"/>
              <w:right w:val="single" w:sz="1" w:space="0" w:color="999999"/>
            </w:tcBorders>
            <w:shd w:val="clear" w:color="auto" w:fill="1F3A5F"/>
            <w:tcMar>
              <w:top w:w="40" w:type="dxa"/>
              <w:left w:w="100" w:type="dxa"/>
              <w:bottom w:w="40" w:type="dxa"/>
              <w:right w:w="100" w:type="dxa"/>
            </w:tcMar>
            <w:vAlign w:val="center"/>
          </w:tcPr>
          <w:p w14:paraId="66FB4F99" w14:textId="77777777" w:rsidR="00144A83" w:rsidRDefault="002929A7">
            <w:pPr>
              <w:jc w:val="center"/>
            </w:pPr>
            <w:r>
              <w:rPr>
                <w:b/>
                <w:bCs/>
                <w:color w:val="FFFFFF"/>
                <w:sz w:val="22"/>
                <w:szCs w:val="22"/>
              </w:rPr>
              <w:t>Flat</w:t>
            </w:r>
          </w:p>
        </w:tc>
        <w:tc>
          <w:tcPr>
            <w:tcW w:w="1650" w:type="dxa"/>
            <w:tcBorders>
              <w:top w:val="single" w:sz="1" w:space="0" w:color="999999"/>
              <w:left w:val="single" w:sz="1" w:space="0" w:color="999999"/>
              <w:bottom w:val="single" w:sz="1" w:space="0" w:color="999999"/>
              <w:right w:val="single" w:sz="1" w:space="0" w:color="999999"/>
            </w:tcBorders>
            <w:shd w:val="clear" w:color="auto" w:fill="1F3A5F"/>
            <w:tcMar>
              <w:top w:w="40" w:type="dxa"/>
              <w:left w:w="100" w:type="dxa"/>
              <w:bottom w:w="40" w:type="dxa"/>
              <w:right w:w="100" w:type="dxa"/>
            </w:tcMar>
            <w:vAlign w:val="center"/>
          </w:tcPr>
          <w:p w14:paraId="52299399" w14:textId="77777777" w:rsidR="00144A83" w:rsidRDefault="002929A7">
            <w:pPr>
              <w:jc w:val="center"/>
            </w:pPr>
            <w:r>
              <w:rPr>
                <w:b/>
                <w:bCs/>
                <w:color w:val="FFFFFF"/>
                <w:sz w:val="22"/>
                <w:szCs w:val="22"/>
              </w:rPr>
              <w:t>House</w:t>
            </w:r>
          </w:p>
        </w:tc>
        <w:tc>
          <w:tcPr>
            <w:tcW w:w="1650" w:type="dxa"/>
            <w:tcBorders>
              <w:top w:val="single" w:sz="1" w:space="0" w:color="999999"/>
              <w:left w:val="single" w:sz="1" w:space="0" w:color="999999"/>
              <w:bottom w:val="single" w:sz="1" w:space="0" w:color="999999"/>
              <w:right w:val="single" w:sz="1" w:space="0" w:color="999999"/>
            </w:tcBorders>
            <w:shd w:val="clear" w:color="auto" w:fill="1F3A5F"/>
            <w:tcMar>
              <w:top w:w="40" w:type="dxa"/>
              <w:left w:w="100" w:type="dxa"/>
              <w:bottom w:w="40" w:type="dxa"/>
              <w:right w:w="100" w:type="dxa"/>
            </w:tcMar>
            <w:vAlign w:val="center"/>
          </w:tcPr>
          <w:p w14:paraId="20102774" w14:textId="77777777" w:rsidR="00144A83" w:rsidRDefault="002929A7">
            <w:pPr>
              <w:jc w:val="center"/>
            </w:pPr>
            <w:r>
              <w:rPr>
                <w:b/>
                <w:bCs/>
                <w:color w:val="FFFFFF"/>
                <w:sz w:val="22"/>
                <w:szCs w:val="22"/>
              </w:rPr>
              <w:t>Bungalow</w:t>
            </w:r>
          </w:p>
        </w:tc>
        <w:tc>
          <w:tcPr>
            <w:tcW w:w="1650" w:type="dxa"/>
            <w:tcBorders>
              <w:top w:val="single" w:sz="1" w:space="0" w:color="999999"/>
              <w:left w:val="single" w:sz="1" w:space="0" w:color="999999"/>
              <w:bottom w:val="single" w:sz="1" w:space="0" w:color="999999"/>
              <w:right w:val="single" w:sz="1" w:space="0" w:color="999999"/>
            </w:tcBorders>
            <w:shd w:val="clear" w:color="auto" w:fill="1F3A5F"/>
            <w:tcMar>
              <w:top w:w="40" w:type="dxa"/>
              <w:left w:w="100" w:type="dxa"/>
              <w:bottom w:w="40" w:type="dxa"/>
              <w:right w:w="100" w:type="dxa"/>
            </w:tcMar>
            <w:vAlign w:val="center"/>
          </w:tcPr>
          <w:p w14:paraId="26C662EF" w14:textId="77777777" w:rsidR="00144A83" w:rsidRDefault="002929A7">
            <w:pPr>
              <w:jc w:val="center"/>
            </w:pPr>
            <w:r>
              <w:rPr>
                <w:b/>
                <w:bCs/>
                <w:color w:val="FFFFFF"/>
                <w:sz w:val="22"/>
                <w:szCs w:val="22"/>
              </w:rPr>
              <w:t>Maisonette</w:t>
            </w:r>
          </w:p>
        </w:tc>
      </w:tr>
      <w:tr w:rsidR="00144A83" w14:paraId="1D2F9B27"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3B0D60DA" w14:textId="77777777" w:rsidR="00144A83" w:rsidRDefault="002929A7">
            <w:r>
              <w:rPr>
                <w:color w:val="000000"/>
                <w:sz w:val="22"/>
                <w:szCs w:val="22"/>
              </w:rPr>
              <w:t>pre-1900</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0B496B8E" w14:textId="77777777" w:rsidR="00144A83" w:rsidRDefault="002929A7">
            <w:pPr>
              <w:jc w:val="center"/>
            </w:pPr>
            <w:r>
              <w:rPr>
                <w:color w:val="000000"/>
                <w:sz w:val="22"/>
                <w:szCs w:val="22"/>
              </w:rPr>
              <w:t>61.0</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1AAFF0B1" w14:textId="77777777" w:rsidR="00144A83" w:rsidRDefault="002929A7">
            <w:pPr>
              <w:jc w:val="center"/>
            </w:pPr>
            <w:r>
              <w:rPr>
                <w:color w:val="000000"/>
                <w:sz w:val="22"/>
                <w:szCs w:val="22"/>
              </w:rPr>
              <w:t>58.1</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6AB1826D" w14:textId="77777777" w:rsidR="00144A83" w:rsidRDefault="002929A7">
            <w:pPr>
              <w:jc w:val="center"/>
            </w:pPr>
            <w:r>
              <w:rPr>
                <w:color w:val="000000"/>
                <w:sz w:val="22"/>
                <w:szCs w:val="22"/>
              </w:rPr>
              <w:t>44.7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36E57E6B" w14:textId="77777777" w:rsidR="00144A83" w:rsidRDefault="002929A7">
            <w:pPr>
              <w:jc w:val="center"/>
            </w:pPr>
            <w:r>
              <w:rPr>
                <w:color w:val="000000"/>
                <w:sz w:val="22"/>
                <w:szCs w:val="22"/>
              </w:rPr>
              <w:t>57.7</w:t>
            </w:r>
          </w:p>
        </w:tc>
      </w:tr>
      <w:tr w:rsidR="00144A83" w14:paraId="67708623"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465FD732" w14:textId="77777777" w:rsidR="00144A83" w:rsidRDefault="002929A7">
            <w:r>
              <w:rPr>
                <w:color w:val="000000"/>
                <w:sz w:val="22"/>
                <w:szCs w:val="22"/>
              </w:rPr>
              <w:t>1900-29</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65CF838F" w14:textId="77777777" w:rsidR="00144A83" w:rsidRDefault="002929A7">
            <w:pPr>
              <w:jc w:val="center"/>
            </w:pPr>
            <w:r>
              <w:rPr>
                <w:color w:val="000000"/>
                <w:sz w:val="22"/>
                <w:szCs w:val="22"/>
              </w:rPr>
              <w:t>62.9</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64F70274" w14:textId="77777777" w:rsidR="00144A83" w:rsidRDefault="002929A7">
            <w:pPr>
              <w:jc w:val="center"/>
            </w:pPr>
            <w:r>
              <w:rPr>
                <w:color w:val="000000"/>
                <w:sz w:val="22"/>
                <w:szCs w:val="22"/>
              </w:rPr>
              <w:t>59.6</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7325FF7E" w14:textId="77777777" w:rsidR="00144A83" w:rsidRDefault="002929A7">
            <w:pPr>
              <w:jc w:val="center"/>
            </w:pPr>
            <w:r>
              <w:rPr>
                <w:color w:val="000000"/>
                <w:sz w:val="22"/>
                <w:szCs w:val="22"/>
              </w:rPr>
              <w:t>56.4</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13C77F6F" w14:textId="77777777" w:rsidR="00144A83" w:rsidRDefault="002929A7">
            <w:pPr>
              <w:jc w:val="center"/>
            </w:pPr>
            <w:r>
              <w:rPr>
                <w:color w:val="000000"/>
                <w:sz w:val="22"/>
                <w:szCs w:val="22"/>
              </w:rPr>
              <w:t>60.3</w:t>
            </w:r>
          </w:p>
        </w:tc>
      </w:tr>
      <w:tr w:rsidR="00144A83" w14:paraId="5AE3FFC2"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62D6CB1F" w14:textId="77777777" w:rsidR="00144A83" w:rsidRDefault="002929A7">
            <w:r>
              <w:rPr>
                <w:color w:val="000000"/>
                <w:sz w:val="22"/>
                <w:szCs w:val="22"/>
              </w:rPr>
              <w:t>1930-49</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653B5F5E" w14:textId="77777777" w:rsidR="00144A83" w:rsidRDefault="002929A7">
            <w:pPr>
              <w:jc w:val="center"/>
            </w:pPr>
            <w:r>
              <w:rPr>
                <w:color w:val="000000"/>
                <w:sz w:val="22"/>
                <w:szCs w:val="22"/>
              </w:rPr>
              <w:t>65.9</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31C683B3" w14:textId="77777777" w:rsidR="00144A83" w:rsidRDefault="002929A7">
            <w:pPr>
              <w:jc w:val="center"/>
            </w:pPr>
            <w:r>
              <w:rPr>
                <w:color w:val="000000"/>
                <w:sz w:val="22"/>
                <w:szCs w:val="22"/>
              </w:rPr>
              <w:t>62.1</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27B728BE" w14:textId="77777777" w:rsidR="00144A83" w:rsidRDefault="002929A7">
            <w:pPr>
              <w:jc w:val="center"/>
            </w:pPr>
            <w:r>
              <w:rPr>
                <w:color w:val="000000"/>
                <w:sz w:val="22"/>
                <w:szCs w:val="22"/>
              </w:rPr>
              <w:t>56.1</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38A2DC23" w14:textId="77777777" w:rsidR="00144A83" w:rsidRDefault="002929A7">
            <w:pPr>
              <w:jc w:val="center"/>
            </w:pPr>
            <w:r>
              <w:rPr>
                <w:color w:val="000000"/>
                <w:sz w:val="22"/>
                <w:szCs w:val="22"/>
              </w:rPr>
              <w:t>65.7</w:t>
            </w:r>
          </w:p>
        </w:tc>
      </w:tr>
      <w:tr w:rsidR="00144A83" w14:paraId="13AD206F"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77D79588" w14:textId="77777777" w:rsidR="00144A83" w:rsidRDefault="002929A7">
            <w:r>
              <w:rPr>
                <w:color w:val="000000"/>
                <w:sz w:val="22"/>
                <w:szCs w:val="22"/>
              </w:rPr>
              <w:t>1950-66</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24907D5E" w14:textId="77777777" w:rsidR="00144A83" w:rsidRDefault="002929A7">
            <w:pPr>
              <w:jc w:val="center"/>
            </w:pPr>
            <w:r>
              <w:rPr>
                <w:color w:val="000000"/>
                <w:sz w:val="22"/>
                <w:szCs w:val="22"/>
              </w:rPr>
              <w:t>68.6</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56263578" w14:textId="77777777" w:rsidR="00144A83" w:rsidRDefault="002929A7">
            <w:pPr>
              <w:jc w:val="center"/>
            </w:pPr>
            <w:r>
              <w:rPr>
                <w:color w:val="000000"/>
                <w:sz w:val="22"/>
                <w:szCs w:val="22"/>
              </w:rPr>
              <w:t>65.7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12DE30E3" w14:textId="77777777" w:rsidR="00144A83" w:rsidRDefault="002929A7">
            <w:pPr>
              <w:jc w:val="center"/>
            </w:pPr>
            <w:r>
              <w:rPr>
                <w:color w:val="000000"/>
                <w:sz w:val="22"/>
                <w:szCs w:val="22"/>
              </w:rPr>
              <w:t>63.9</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71062457" w14:textId="77777777" w:rsidR="00144A83" w:rsidRDefault="002929A7">
            <w:pPr>
              <w:jc w:val="center"/>
            </w:pPr>
            <w:r>
              <w:rPr>
                <w:color w:val="000000"/>
                <w:sz w:val="22"/>
                <w:szCs w:val="22"/>
              </w:rPr>
              <w:t>68.5</w:t>
            </w:r>
          </w:p>
        </w:tc>
      </w:tr>
      <w:tr w:rsidR="00144A83" w14:paraId="09FFF6FB"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73C1FB7E" w14:textId="77777777" w:rsidR="00144A83" w:rsidRDefault="002929A7">
            <w:r>
              <w:rPr>
                <w:color w:val="000000"/>
                <w:sz w:val="22"/>
                <w:szCs w:val="22"/>
              </w:rPr>
              <w:t>1967-82</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73DA0150" w14:textId="77777777" w:rsidR="00144A83" w:rsidRDefault="002929A7">
            <w:pPr>
              <w:jc w:val="center"/>
            </w:pPr>
            <w:r>
              <w:rPr>
                <w:color w:val="000000"/>
                <w:sz w:val="22"/>
                <w:szCs w:val="22"/>
              </w:rPr>
              <w:t>69.1</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0D7153AD" w14:textId="77777777" w:rsidR="00144A83" w:rsidRDefault="002929A7">
            <w:pPr>
              <w:jc w:val="center"/>
            </w:pPr>
            <w:r>
              <w:rPr>
                <w:color w:val="000000"/>
                <w:sz w:val="22"/>
                <w:szCs w:val="22"/>
              </w:rPr>
              <w:t>66.7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4FA3BFD4" w14:textId="77777777" w:rsidR="00144A83" w:rsidRDefault="002929A7">
            <w:pPr>
              <w:jc w:val="center"/>
            </w:pPr>
            <w:r>
              <w:rPr>
                <w:color w:val="000000"/>
                <w:sz w:val="22"/>
                <w:szCs w:val="22"/>
              </w:rPr>
              <w:t>63.0</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580319C1" w14:textId="77777777" w:rsidR="00144A83" w:rsidRDefault="002929A7">
            <w:pPr>
              <w:jc w:val="center"/>
            </w:pPr>
            <w:r>
              <w:rPr>
                <w:color w:val="000000"/>
                <w:sz w:val="22"/>
                <w:szCs w:val="22"/>
              </w:rPr>
              <w:t>66.5</w:t>
            </w:r>
          </w:p>
        </w:tc>
      </w:tr>
      <w:tr w:rsidR="00144A83" w14:paraId="08CA63D8"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3BB2A3F2" w14:textId="77777777" w:rsidR="00144A83" w:rsidRDefault="002929A7">
            <w:r>
              <w:rPr>
                <w:color w:val="000000"/>
                <w:sz w:val="22"/>
                <w:szCs w:val="22"/>
              </w:rPr>
              <w:t>1983-95</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4F484D8F" w14:textId="77777777" w:rsidR="00144A83" w:rsidRDefault="002929A7">
            <w:pPr>
              <w:jc w:val="center"/>
            </w:pPr>
            <w:r>
              <w:rPr>
                <w:color w:val="000000"/>
                <w:sz w:val="22"/>
                <w:szCs w:val="22"/>
              </w:rPr>
              <w:t>72.0</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23D44E34" w14:textId="77777777" w:rsidR="00144A83" w:rsidRDefault="002929A7">
            <w:pPr>
              <w:jc w:val="center"/>
            </w:pPr>
            <w:r>
              <w:rPr>
                <w:color w:val="000000"/>
                <w:sz w:val="22"/>
                <w:szCs w:val="22"/>
              </w:rPr>
              <w:t>69.4</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22C8DFE8" w14:textId="77777777" w:rsidR="00144A83" w:rsidRDefault="002929A7">
            <w:pPr>
              <w:jc w:val="center"/>
            </w:pPr>
            <w:r>
              <w:rPr>
                <w:color w:val="000000"/>
                <w:sz w:val="22"/>
                <w:szCs w:val="22"/>
              </w:rPr>
              <w:t>66.7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0F4297E8" w14:textId="77777777" w:rsidR="00144A83" w:rsidRDefault="002929A7">
            <w:pPr>
              <w:jc w:val="center"/>
            </w:pPr>
            <w:r>
              <w:rPr>
                <w:color w:val="000000"/>
                <w:sz w:val="22"/>
                <w:szCs w:val="22"/>
              </w:rPr>
              <w:t>71.0</w:t>
            </w:r>
          </w:p>
        </w:tc>
      </w:tr>
      <w:tr w:rsidR="00144A83" w14:paraId="2017E069"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576510A9" w14:textId="77777777" w:rsidR="00144A83" w:rsidRDefault="002929A7">
            <w:r>
              <w:rPr>
                <w:color w:val="000000"/>
                <w:sz w:val="22"/>
                <w:szCs w:val="22"/>
              </w:rPr>
              <w:t>1996-06</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5B3D1044" w14:textId="77777777" w:rsidR="00144A83" w:rsidRDefault="002929A7">
            <w:pPr>
              <w:jc w:val="center"/>
            </w:pPr>
            <w:r>
              <w:rPr>
                <w:color w:val="000000"/>
                <w:sz w:val="22"/>
                <w:szCs w:val="22"/>
              </w:rPr>
              <w:t>75.7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50A5D79F" w14:textId="77777777" w:rsidR="00144A83" w:rsidRDefault="002929A7">
            <w:pPr>
              <w:jc w:val="center"/>
            </w:pPr>
            <w:r>
              <w:rPr>
                <w:color w:val="000000"/>
                <w:sz w:val="22"/>
                <w:szCs w:val="22"/>
              </w:rPr>
              <w:t>72.4</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054DBD37" w14:textId="77777777" w:rsidR="00144A83" w:rsidRDefault="002929A7">
            <w:pPr>
              <w:jc w:val="center"/>
            </w:pPr>
            <w:r>
              <w:rPr>
                <w:color w:val="000000"/>
                <w:sz w:val="22"/>
                <w:szCs w:val="22"/>
              </w:rPr>
              <w:t>68.7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1260A147" w14:textId="77777777" w:rsidR="00144A83" w:rsidRDefault="002929A7">
            <w:pPr>
              <w:jc w:val="center"/>
            </w:pPr>
            <w:r>
              <w:rPr>
                <w:color w:val="000000"/>
                <w:sz w:val="22"/>
                <w:szCs w:val="22"/>
              </w:rPr>
              <w:t>74.0</w:t>
            </w:r>
          </w:p>
        </w:tc>
      </w:tr>
      <w:tr w:rsidR="00144A83" w14:paraId="51996C01" w14:textId="77777777">
        <w:tblPrEx>
          <w:tblCellMar>
            <w:top w:w="0" w:type="dxa"/>
            <w:bottom w:w="0" w:type="dxa"/>
          </w:tblCellMar>
        </w:tblPrEx>
        <w:tc>
          <w:tcPr>
            <w:tcW w:w="2426"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4F08D7C9" w14:textId="77777777" w:rsidR="00144A83" w:rsidRDefault="002929A7">
            <w:r>
              <w:rPr>
                <w:color w:val="000000"/>
                <w:sz w:val="22"/>
                <w:szCs w:val="22"/>
              </w:rPr>
              <w:t>2007+</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214B2A57" w14:textId="77777777" w:rsidR="00144A83" w:rsidRDefault="002929A7">
            <w:pPr>
              <w:jc w:val="center"/>
            </w:pPr>
            <w:r>
              <w:rPr>
                <w:color w:val="000000"/>
                <w:sz w:val="22"/>
                <w:szCs w:val="22"/>
              </w:rPr>
              <w:t>80.1</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5BA409CB" w14:textId="77777777" w:rsidR="00144A83" w:rsidRDefault="002929A7">
            <w:pPr>
              <w:jc w:val="center"/>
            </w:pPr>
            <w:r>
              <w:rPr>
                <w:color w:val="000000"/>
                <w:sz w:val="22"/>
                <w:szCs w:val="22"/>
              </w:rPr>
              <w:t>84.3</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3F18A7CF" w14:textId="77777777" w:rsidR="00144A83" w:rsidRDefault="002929A7">
            <w:pPr>
              <w:jc w:val="center"/>
            </w:pPr>
            <w:r>
              <w:rPr>
                <w:color w:val="000000"/>
                <w:sz w:val="22"/>
                <w:szCs w:val="22"/>
              </w:rPr>
              <w:t>79.1</w:t>
            </w:r>
          </w:p>
        </w:tc>
        <w:tc>
          <w:tcPr>
            <w:tcW w:w="1650" w:type="dxa"/>
            <w:tcBorders>
              <w:top w:val="single" w:sz="1" w:space="0" w:color="999999"/>
              <w:left w:val="single" w:sz="1" w:space="0" w:color="999999"/>
              <w:bottom w:val="single" w:sz="1" w:space="0" w:color="999999"/>
              <w:right w:val="single" w:sz="1" w:space="0" w:color="999999"/>
            </w:tcBorders>
            <w:tcMar>
              <w:top w:w="40" w:type="dxa"/>
              <w:left w:w="100" w:type="dxa"/>
              <w:bottom w:w="40" w:type="dxa"/>
              <w:right w:w="100" w:type="dxa"/>
            </w:tcMar>
            <w:vAlign w:val="center"/>
          </w:tcPr>
          <w:p w14:paraId="2FEA7BBA" w14:textId="77777777" w:rsidR="00144A83" w:rsidRDefault="002929A7">
            <w:pPr>
              <w:jc w:val="center"/>
            </w:pPr>
            <w:r>
              <w:rPr>
                <w:color w:val="000000"/>
                <w:sz w:val="22"/>
                <w:szCs w:val="22"/>
              </w:rPr>
              <w:t>76.9</w:t>
            </w:r>
          </w:p>
        </w:tc>
      </w:tr>
    </w:tbl>
    <w:p w14:paraId="05D14F9D" w14:textId="77777777" w:rsidR="00144A83" w:rsidRDefault="00144A83">
      <w:pPr>
        <w:spacing w:after="120"/>
      </w:pPr>
    </w:p>
    <w:p w14:paraId="49E7E711" w14:textId="77777777" w:rsidR="00144A83" w:rsidRDefault="002929A7">
      <w:pPr>
        <w:pStyle w:val="Heading2"/>
      </w:pPr>
      <w:bookmarkStart w:id="9" w:name="_Toc231919066"/>
      <w:r>
        <w:t>3.3 Diagnostic Analytics</w:t>
      </w:r>
      <w:bookmarkEnd w:id="9"/>
    </w:p>
    <w:p w14:paraId="60985762" w14:textId="77777777" w:rsidR="00144A83" w:rsidRDefault="002929A7">
      <w:pPr>
        <w:spacing w:after="160" w:line="276" w:lineRule="auto"/>
        <w:jc w:val="both"/>
      </w:pPr>
      <w:r>
        <w:t>Three hypotheses motivate the diagnostic battery. H1: older dwellings have systematically worse ratings, driven by uninsulated solid-wall construction and poorer airtightness. H2: wall construction is the single largest physical lever within Oxford's stock. H3: glazing type and the proportion of multi-glazed area correlate with the rating, but more weakly than wall construction.</w:t>
      </w:r>
    </w:p>
    <w:p w14:paraId="4F5D2D22" w14:textId="77777777" w:rsidR="00144A83" w:rsidRDefault="002929A7">
      <w:pPr>
        <w:spacing w:after="160" w:line="276" w:lineRule="auto"/>
        <w:jc w:val="both"/>
      </w:pPr>
      <w:r>
        <w:t>Spearman correlation is used because the rating is ordinal and the SAP score bounded. The age-band effect is monotonic and strong: the Spearman rho between CONSTRUCTION_AGE_NUM and SAP score is 0.618 (p &lt; 1e-50), supporting H1. The stacked composition by age band (Figure 5) shows the F and G tail concentrated in pre-1929 stock and the B and C heads in post-1996 builds, a stepwise improvement reflecting four decades of Building Regulations Part L revisions.</w:t>
      </w:r>
    </w:p>
    <w:p w14:paraId="449945B9" w14:textId="77777777" w:rsidR="00144A83" w:rsidRDefault="002929A7">
      <w:pPr>
        <w:spacing w:before="120" w:after="60"/>
        <w:jc w:val="center"/>
      </w:pPr>
      <w:r>
        <w:rPr>
          <w:noProof/>
        </w:rPr>
        <w:drawing>
          <wp:inline distT="0" distB="0" distL="0" distR="0" wp14:anchorId="3DCBF3AC" wp14:editId="544FE9F2">
            <wp:extent cx="5029200" cy="2600325"/>
            <wp:effectExtent l="0" t="0" r="0" b="0"/>
            <wp:docPr id="1117510175" name="fig_rating_by_age" descr="Rating composition by construction age band. The systematic improvement from older to newer cohorts reflects four decades of progressive Building Regulations Part L revisions." title="Rating composition by construction age band. The systematic improvement from older to newer cohorts reflects four decades of progressive Building Regulations Part L rev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2600325"/>
                    </a:xfrm>
                    <a:prstGeom prst="rect">
                      <a:avLst/>
                    </a:prstGeom>
                  </pic:spPr>
                </pic:pic>
              </a:graphicData>
            </a:graphic>
          </wp:inline>
        </w:drawing>
      </w:r>
    </w:p>
    <w:p w14:paraId="471491EA" w14:textId="32B89803"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5</w:t>
      </w:r>
      <w:r>
        <w:fldChar w:fldCharType="end"/>
      </w:r>
      <w:r>
        <w:t xml:space="preserve">. </w:t>
      </w:r>
      <w:bookmarkStart w:id="10" w:name="_Toc231919076"/>
      <w:r>
        <w:t>Rating composition by construction age band. The systematic improvement from older to newer cohorts reflects four decades of progressive Building Regulations Part L revisions.</w:t>
      </w:r>
      <w:bookmarkEnd w:id="10"/>
    </w:p>
    <w:p w14:paraId="7B2E9153" w14:textId="77777777" w:rsidR="00144A83" w:rsidRDefault="002929A7">
      <w:pPr>
        <w:spacing w:after="160" w:line="276" w:lineRule="auto"/>
        <w:jc w:val="both"/>
      </w:pPr>
      <w:r>
        <w:t xml:space="preserve">For the categorical relationships with the rating we use Cramer's V, a chi-square-derived statistic bounded in [0, 1] that controls for table size. The Oxford-relevant ordering is informative: WALLS_DESCRIPTION attains V = 0.407, CONSTRUCTION_AGE_BAND </w:t>
      </w:r>
      <w:r>
        <w:lastRenderedPageBreak/>
        <w:t>attains V = 0.366, MAIN_FUEL attains V = 0.318, and BUILT_FORM attains V = 0.091. Walls dominate, supporting H2. The boxplot of SAP score by wall construction (Figure 6) makes the magnitude visible: the median gap between solid-brick uninsulated walls and insulated cavity walls is on the order of ten SAP points, larger than the within-group interquartile range, so wall construction explains more variance than any other single physical feature.</w:t>
      </w:r>
    </w:p>
    <w:p w14:paraId="448A1CC1" w14:textId="77777777" w:rsidR="00144A83" w:rsidRDefault="002929A7">
      <w:pPr>
        <w:spacing w:before="120" w:after="60"/>
        <w:jc w:val="center"/>
      </w:pPr>
      <w:r>
        <w:rPr>
          <w:noProof/>
        </w:rPr>
        <w:drawing>
          <wp:inline distT="0" distB="0" distL="0" distR="0" wp14:anchorId="18CEC84D" wp14:editId="4FE6EE37">
            <wp:extent cx="5029200" cy="2447925"/>
            <wp:effectExtent l="0" t="0" r="0" b="0"/>
            <wp:docPr id="477784404" name="fig_eff_by_walls" descr="SAP score distribution by wall construction. Each box is a different wall description; ordering by median highlights the magnitude of the insulation effect." title="SAP score distribution by wall construction. Each box is a different wall description; ordering by median highlights the magnitude of the insulation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29200" cy="2447925"/>
                    </a:xfrm>
                    <a:prstGeom prst="rect">
                      <a:avLst/>
                    </a:prstGeom>
                  </pic:spPr>
                </pic:pic>
              </a:graphicData>
            </a:graphic>
          </wp:inline>
        </w:drawing>
      </w:r>
    </w:p>
    <w:p w14:paraId="017DFED8" w14:textId="697D66C3"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6</w:t>
      </w:r>
      <w:r>
        <w:fldChar w:fldCharType="end"/>
      </w:r>
      <w:r>
        <w:t xml:space="preserve">. </w:t>
      </w:r>
      <w:bookmarkStart w:id="11" w:name="_Toc231919077"/>
      <w:r>
        <w:t>SAP score distribution by wall construction. Each box is a different wall description; ordering by median highlights the magnitude of the insulation effect.</w:t>
      </w:r>
      <w:bookmarkEnd w:id="11"/>
    </w:p>
    <w:p w14:paraId="59A65911" w14:textId="77777777" w:rsidR="00144A83" w:rsidRDefault="002929A7">
      <w:pPr>
        <w:spacing w:after="160" w:line="276" w:lineRule="auto"/>
        <w:jc w:val="both"/>
      </w:pPr>
      <w:r>
        <w:t>Glazing has the expected sign but a smaller effect (the Spearman rho between MULTI_GLAZE_PROPORTION and SAP is 0.209), supporting H3. The Spearman matrix among numeric features (Figure 7) flags no pair above an absolute value of 0.85, so all features are retained for tree-based modelling.</w:t>
      </w:r>
    </w:p>
    <w:p w14:paraId="5DB3CEA5" w14:textId="77777777" w:rsidR="00144A83" w:rsidRDefault="002929A7">
      <w:pPr>
        <w:spacing w:before="120" w:after="60"/>
        <w:jc w:val="center"/>
      </w:pPr>
      <w:r>
        <w:rPr>
          <w:noProof/>
        </w:rPr>
        <w:lastRenderedPageBreak/>
        <w:drawing>
          <wp:inline distT="0" distB="0" distL="0" distR="0" wp14:anchorId="694D8F51" wp14:editId="5F80005F">
            <wp:extent cx="5029200" cy="4191000"/>
            <wp:effectExtent l="0" t="0" r="0" b="0"/>
            <wp:docPr id="904572521" name="fig_corr_spearman" descr="Spearman correlation matrix on numeric features." title="Spearman correlation matrix on numeric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29200" cy="4191000"/>
                    </a:xfrm>
                    <a:prstGeom prst="rect">
                      <a:avLst/>
                    </a:prstGeom>
                  </pic:spPr>
                </pic:pic>
              </a:graphicData>
            </a:graphic>
          </wp:inline>
        </w:drawing>
      </w:r>
    </w:p>
    <w:p w14:paraId="560B83B4" w14:textId="3E67D0A3"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7</w:t>
      </w:r>
      <w:r>
        <w:fldChar w:fldCharType="end"/>
      </w:r>
      <w:r>
        <w:t xml:space="preserve">. </w:t>
      </w:r>
      <w:bookmarkStart w:id="12" w:name="_Toc231919078"/>
      <w:r>
        <w:t>Spearman correlation matrix on numeric features.</w:t>
      </w:r>
      <w:bookmarkEnd w:id="12"/>
    </w:p>
    <w:p w14:paraId="12C88296" w14:textId="77777777" w:rsidR="00144A83" w:rsidRDefault="002929A7">
      <w:pPr>
        <w:pStyle w:val="Heading2"/>
      </w:pPr>
      <w:bookmarkStart w:id="13" w:name="_Toc231919067"/>
      <w:r>
        <w:t>3.4 Predictive Analytics</w:t>
      </w:r>
      <w:bookmarkEnd w:id="13"/>
    </w:p>
    <w:p w14:paraId="31466113" w14:textId="77777777" w:rsidR="00144A83" w:rsidRDefault="002929A7">
      <w:pPr>
        <w:spacing w:after="160" w:line="276" w:lineRule="auto"/>
        <w:jc w:val="both"/>
      </w:pPr>
      <w:r>
        <w:rPr>
          <w:b/>
          <w:bCs/>
        </w:rPr>
        <w:t xml:space="preserve">Pipeline. </w:t>
      </w:r>
      <w:r>
        <w:t>Categorical missing values are encoded as an explicit level; numerics pass through unimputed and unscaled, since HistGradientBoosting handles NaN natively and is scale-invariant, with binary &lt;COL&gt;_IS_MISSING indicators above 5% missingness. Low-cardinality categoricals are one-hot encoded (min_frequency = 20) and high-cardinality strings ordinal-encoded, inside an sklearn ColumnTransformer fit only on the training fold. Every SAP-derived column (POTENTIAL_*, ENVIRONMENTAL_IMPACT_*, ENERGY_CONSUMPTION_*, CO2</w:t>
      </w:r>
      <w:r>
        <w:t>_EMISSIONS_*, costs, per-element star ratings) is removed before training, since including any re-derives the target. Splitting is group-aware: any UPRN with a post-2022 certificate is held out entirely, stricter than a random split (Sun et al., 2022; Kapoor and Narayanan, 2023). The training frame keeps every pre-2022 certificate per dwelling (54,834 rows) while the published deliverable is deduplicated (49,442), which adds data without leakage.</w:t>
      </w:r>
    </w:p>
    <w:p w14:paraId="7406F2A9" w14:textId="77777777" w:rsidR="00144A83" w:rsidRDefault="002929A7">
      <w:pPr>
        <w:spacing w:after="160" w:line="276" w:lineRule="auto"/>
        <w:jc w:val="both"/>
      </w:pPr>
      <w:r>
        <w:rPr>
          <w:b/>
          <w:bCs/>
        </w:rPr>
        <w:t xml:space="preserve">Models. </w:t>
      </w:r>
      <w:r>
        <w:t>Baselines fix the floors: the stratified dummy gives QWK near 0, age-only logistic regression reaches 0.33, and full-feature logistic regression reaches 0.43. Three tree families are compared on the same 5-fold GroupKFold (HistGradientBoosting, LightGBM with expected-value decoding, and Random Forest), alongside a TensorFlow CORN ordinal neural network (Cao et al., 2020; hold-out QWK 0.659), which confirms the tree family's edge on tabular data (Grinsztajn et al., 2022). All features are pure physical fabri</w:t>
      </w:r>
      <w:r>
        <w:t xml:space="preserve">c, so the 0.700 accuracy reflects a leak-free problem. The champion is the regression-to-band approach: a </w:t>
      </w:r>
      <w:r>
        <w:lastRenderedPageBreak/>
        <w:t xml:space="preserve">HistGradientBoostingRegressor on the continuous SAP score mapped to a band through the official DLUHC thresholds. Because EPC bands are a deterministic discretisation of an observable score, regression then threshold is consistent (Pedregosa et al., 2017) and more principled than a discrete ordinal classifier (Cao et al., 2020). The champion is wrapped in SapStratifiedRegressor: a unified regressor for </w:t>
      </w:r>
      <w:r>
        <w:t>RdSAP rows plus a SAP-only specialist for REPORT_TYPE 101.</w:t>
      </w:r>
    </w:p>
    <w:p w14:paraId="499838A7" w14:textId="77777777" w:rsidR="00144A83" w:rsidRDefault="002929A7">
      <w:pPr>
        <w:spacing w:after="160" w:line="276" w:lineRule="auto"/>
        <w:jc w:val="both"/>
      </w:pPr>
      <w:r>
        <w:rPr>
          <w:b/>
          <w:bCs/>
        </w:rPr>
        <w:t xml:space="preserve">Tuning and selection. </w:t>
      </w:r>
      <w:r>
        <w:t>Optuna TPE (Akiba et al., 2019) explored the LightGBM space, while the regression head uses ablation-validated defaults. Selection privileged temporal-holdout QWK: LightGBM with expected-value decoding wins CV (0.8672) but loses the hold-out, whereas the regression-to-band champion wins it (0.7696 hybrid-routed against 0.7548) at a marginally lower CV (0.8640) and a four-times-faster fit. The gap between 0.86 on CV and 0.77 on the hold-out is temporal distribution shift rather than overfitting (multi-seed s</w:t>
      </w:r>
      <w:r>
        <w:t>pread plus or minus 0.0019, leakage-free GroupKFold). The decision is recorded in reports/champion_artefact.json with an sha256-pinned pickle.</w:t>
      </w:r>
    </w:p>
    <w:p w14:paraId="6FC230DD" w14:textId="77777777" w:rsidR="00144A83" w:rsidRDefault="002929A7">
      <w:pPr>
        <w:spacing w:after="160" w:line="276" w:lineRule="auto"/>
        <w:jc w:val="both"/>
      </w:pPr>
      <w:r>
        <w:rPr>
          <w:b/>
          <w:bCs/>
        </w:rPr>
        <w:t xml:space="preserve">Headline hold-out results. </w:t>
      </w:r>
      <w:r>
        <w:t>The Quadratic Weighted Kappa is 0.7696, 95% CI 0.7600 to 0.7780 (1,000 bootstraps); accuracy is 0.700, balanced accuracy 0.584, and macro-F1 0.550. The multi-seed QWK is 0.7714 plus or minus 0.0019, and the runner-up (LightGBM, 0.7548) falls below the champion's CI lower bound. MAE in band units (0.316) and linear-weighted kappa (0.652) accompany QWK (Warrens, 2012). The regression head achieves R2 = 0.679, RMSE = 5.78, and a score MAE of 4.05, within the roughly five-point inter-assessor noise floor (Few e</w:t>
      </w:r>
      <w:r>
        <w:t>t al., 2023; Hardy and Glew, 2019). It places 97.7% of predictions within 15 SAP points (92.5% within 10), in line with the ONS Data Science Campus (2021) indicative 93%. Errors are asymmetric, with a 2.96:1 ratio of under-prediction to over-prediction; 70.0% are correct and 0.07% are off by three or more bands. Performance is uneven: per-band F1 is 0.78 on C but 0.45, 0.35 and 0.27 on the sparse E, F and A bands, the extreme bands policy targets, which Section 4 mitigates through the confidence proxy.</w:t>
      </w:r>
    </w:p>
    <w:p w14:paraId="07D97218" w14:textId="77777777" w:rsidR="00144A83" w:rsidRDefault="002929A7">
      <w:pPr>
        <w:spacing w:before="120" w:after="60"/>
        <w:jc w:val="center"/>
      </w:pPr>
      <w:r>
        <w:rPr>
          <w:noProof/>
        </w:rPr>
        <w:lastRenderedPageBreak/>
        <w:drawing>
          <wp:inline distT="0" distB="0" distL="0" distR="0" wp14:anchorId="4C9B3692" wp14:editId="798954C1">
            <wp:extent cx="5029200" cy="4467225"/>
            <wp:effectExtent l="0" t="0" r="0" b="0"/>
            <wp:docPr id="1714496784" name="fig_confusion" descr="Confusion matrix on the temporal hold-out test set. Off-diagonal mass is concentrated on the one-band neighbours of the true label, consistent with an ordinal model." title="Confusion matrix on the temporal hold-out test set. Off-diagonal mass is concentrated on the one-band neighbours of the true label, consistent with an ordin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29200" cy="4467225"/>
                    </a:xfrm>
                    <a:prstGeom prst="rect">
                      <a:avLst/>
                    </a:prstGeom>
                  </pic:spPr>
                </pic:pic>
              </a:graphicData>
            </a:graphic>
          </wp:inline>
        </w:drawing>
      </w:r>
    </w:p>
    <w:p w14:paraId="3BFAB419" w14:textId="51DA60EA"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8</w:t>
      </w:r>
      <w:r>
        <w:fldChar w:fldCharType="end"/>
      </w:r>
      <w:r>
        <w:t xml:space="preserve">. </w:t>
      </w:r>
      <w:bookmarkStart w:id="14" w:name="_Toc231919079"/>
      <w:r>
        <w:t>Confusion matrix on the temporal hold-out test set. Off-diagonal mass is concentrated on the one-band neighbours of the true label, consistent with an ordinal model.</w:t>
      </w:r>
      <w:bookmarkEnd w:id="14"/>
    </w:p>
    <w:p w14:paraId="1BDBF176" w14:textId="77777777" w:rsidR="00144A83" w:rsidRDefault="002929A7">
      <w:pPr>
        <w:spacing w:after="160" w:line="276" w:lineRule="auto"/>
        <w:jc w:val="both"/>
      </w:pPr>
      <w:r>
        <w:t>Feature importance is reported with two complementary methods. Permutation importance (Figure 9), scored on hybrid-routed band QWK, is model-agnostic and free of the cardinality bias that distorts impurity-based importance (Strobl et al., 2007). SHAP (Figure 10; Lundberg and Lee, 2017) provides per-instance attributions on the unified regressor in SAP-score units. Both rank windows, construction age and main fuel among the dominant drivers, with main heating and wall construction close behind; the agreement</w:t>
      </w:r>
      <w:r>
        <w:t xml:space="preserve"> between the model-agnostic and model-specific explainers indicates the rankings reflect genuine signal.</w:t>
      </w:r>
    </w:p>
    <w:p w14:paraId="5FCAEF31" w14:textId="77777777" w:rsidR="00144A83" w:rsidRDefault="002929A7">
      <w:pPr>
        <w:spacing w:before="120" w:after="60"/>
        <w:jc w:val="center"/>
      </w:pPr>
      <w:r>
        <w:rPr>
          <w:noProof/>
        </w:rPr>
        <w:lastRenderedPageBreak/>
        <w:drawing>
          <wp:inline distT="0" distB="0" distL="0" distR="0" wp14:anchorId="24856886" wp14:editId="2D07B2A0">
            <wp:extent cx="5029200" cy="3162300"/>
            <wp:effectExtent l="0" t="0" r="0" b="0"/>
            <wp:docPr id="924452587" name="fig_perm_importance" descr="Top features by permutation importance on the hold-out set." title="Top features by permutation importance on the ho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29200" cy="3162300"/>
                    </a:xfrm>
                    <a:prstGeom prst="rect">
                      <a:avLst/>
                    </a:prstGeom>
                  </pic:spPr>
                </pic:pic>
              </a:graphicData>
            </a:graphic>
          </wp:inline>
        </w:drawing>
      </w:r>
    </w:p>
    <w:p w14:paraId="074714E7" w14:textId="38CB944B"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9</w:t>
      </w:r>
      <w:r>
        <w:fldChar w:fldCharType="end"/>
      </w:r>
      <w:r>
        <w:t xml:space="preserve">. </w:t>
      </w:r>
      <w:bookmarkStart w:id="15" w:name="_Toc231919080"/>
      <w:r>
        <w:t>Top features by permutation importance on the hold-out set.</w:t>
      </w:r>
      <w:bookmarkEnd w:id="15"/>
    </w:p>
    <w:p w14:paraId="4CF99D30" w14:textId="77777777" w:rsidR="00144A83" w:rsidRDefault="002929A7">
      <w:pPr>
        <w:spacing w:before="120" w:after="60"/>
        <w:jc w:val="center"/>
      </w:pPr>
      <w:r>
        <w:rPr>
          <w:noProof/>
        </w:rPr>
        <w:drawing>
          <wp:inline distT="0" distB="0" distL="0" distR="0" wp14:anchorId="1B5C64B7" wp14:editId="429089FC">
            <wp:extent cx="5029200" cy="2667000"/>
            <wp:effectExtent l="0" t="0" r="0" b="0"/>
            <wp:docPr id="1829324215" name="fig_shap_summary" descr="SHAP summary plot. Each point is one test-set dwelling; horizontal position is the SHAP value (signed contribution to the predicted score) and colour is the feature value (red is high)." title="SHAP summary plot. Each point is one test-set dwelling; horizontal position is the SHAP value (signed contribution to the predicted score) and colour is the feature value (red is 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29200" cy="2667000"/>
                    </a:xfrm>
                    <a:prstGeom prst="rect">
                      <a:avLst/>
                    </a:prstGeom>
                  </pic:spPr>
                </pic:pic>
              </a:graphicData>
            </a:graphic>
          </wp:inline>
        </w:drawing>
      </w:r>
    </w:p>
    <w:p w14:paraId="1F1007EA" w14:textId="55D1729D"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10</w:t>
      </w:r>
      <w:r>
        <w:fldChar w:fldCharType="end"/>
      </w:r>
      <w:r>
        <w:t xml:space="preserve">. </w:t>
      </w:r>
      <w:bookmarkStart w:id="16" w:name="_Toc231919081"/>
      <w:r>
        <w:t>SHAP summary plot. Each point is one test-set dwelling; horizontal position is the SHAP value (signed contribution to the predicted score) and colour is the feature value (red is high).</w:t>
      </w:r>
      <w:bookmarkEnd w:id="16"/>
    </w:p>
    <w:p w14:paraId="450C6ECE" w14:textId="77777777" w:rsidR="00144A83" w:rsidRDefault="002929A7">
      <w:pPr>
        <w:spacing w:after="160" w:line="276" w:lineRule="auto"/>
        <w:jc w:val="both"/>
      </w:pPr>
      <w:r>
        <w:rPr>
          <w:b/>
          <w:bCs/>
        </w:rPr>
        <w:t xml:space="preserve">Calibration. </w:t>
      </w:r>
      <w:r>
        <w:t>For a regression head the calibration analogue is the score-reliability curve (Figure 11): per-decile mean predicted against observed SAP score. A slope of 0.79 and an intercept of +16 indicate mild compression toward the mean. Band predictions are robust to such uniform shifts because the DLUHC thresholds are wide, but downstream uses requiring unbiased point scores can post-process with isotonic regression.</w:t>
      </w:r>
    </w:p>
    <w:p w14:paraId="0903A3AA" w14:textId="77777777" w:rsidR="00144A83" w:rsidRDefault="002929A7">
      <w:pPr>
        <w:spacing w:before="120" w:after="60"/>
        <w:jc w:val="center"/>
      </w:pPr>
      <w:r>
        <w:rPr>
          <w:noProof/>
        </w:rPr>
        <w:lastRenderedPageBreak/>
        <w:drawing>
          <wp:inline distT="0" distB="0" distL="0" distR="0" wp14:anchorId="3E0A69A8" wp14:editId="30841518">
            <wp:extent cx="5029200" cy="5010150"/>
            <wp:effectExtent l="0" t="0" r="0" b="0"/>
            <wp:docPr id="1876543792" name="fig_score_reliability" descr="SAP-score reliability curve: per-decile mean predicted score against per-decile mean observed score on the temporal hold-out. The slope of 0.79 and intercept of +16 indicate mild compression toward the mean." title="SAP-score reliability curve: per-decile mean predicted score against per-decile mean observed score on the temporal hold-out. The slope of 0.79 and intercept of +16 indicate mild compression toward the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5010150"/>
                    </a:xfrm>
                    <a:prstGeom prst="rect">
                      <a:avLst/>
                    </a:prstGeom>
                  </pic:spPr>
                </pic:pic>
              </a:graphicData>
            </a:graphic>
          </wp:inline>
        </w:drawing>
      </w:r>
    </w:p>
    <w:p w14:paraId="6BAA6787" w14:textId="6DDA49B3"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11</w:t>
      </w:r>
      <w:r>
        <w:fldChar w:fldCharType="end"/>
      </w:r>
      <w:r>
        <w:t xml:space="preserve">. </w:t>
      </w:r>
      <w:bookmarkStart w:id="17" w:name="_Toc231919082"/>
      <w:r>
        <w:t>SAP-score reliability curve: per-decile mean predicted score against per-decile mean observed score on the temporal hold-out. The slope of 0.79 and intercept of +16 indicate mild compression toward the mean.</w:t>
      </w:r>
      <w:bookmarkEnd w:id="17"/>
    </w:p>
    <w:p w14:paraId="03529DC8" w14:textId="77777777" w:rsidR="00144A83" w:rsidRDefault="002929A7">
      <w:pPr>
        <w:spacing w:after="160" w:line="276" w:lineRule="auto"/>
        <w:jc w:val="both"/>
      </w:pPr>
      <w:r>
        <w:rPr>
          <w:b/>
          <w:bCs/>
        </w:rPr>
        <w:t xml:space="preserve">Fairness and confidence. </w:t>
      </w:r>
      <w:r>
        <w:t>Per-REPORT_TYPE breakdowns (reports/champion_robustness.json) show an RdSAP MAE in band units of 0.31 against SAP at 0.34; the hybrid closes +0.061 QWK of the gap, but the SAP cohort retains an irreducibly small absolute count of minority bands. A confidence proxy (distance from the band boundary) is validated by quartiling the hold-out: QWK rises monotonically from 0.65 in the bottom quartile to 0.85 in the top, a +0.19 gap that confirms the proxy separates reliable from unreliable predictions.</w:t>
      </w:r>
    </w:p>
    <w:p w14:paraId="137BBF53" w14:textId="77777777" w:rsidR="00144A83" w:rsidRDefault="002929A7">
      <w:pPr>
        <w:pStyle w:val="Heading2"/>
      </w:pPr>
      <w:bookmarkStart w:id="18" w:name="_Toc231919068"/>
      <w:r>
        <w:t>3.5 Unsupervised Segmentation and Retrofit Recommender</w:t>
      </w:r>
      <w:bookmarkEnd w:id="18"/>
    </w:p>
    <w:p w14:paraId="0D679971" w14:textId="77777777" w:rsidR="00144A83" w:rsidRDefault="002929A7">
      <w:pPr>
        <w:spacing w:after="160" w:line="276" w:lineRule="auto"/>
        <w:jc w:val="both"/>
      </w:pPr>
      <w:r>
        <w:t>Two unsupervised methods extend the analysis. K-Prototypes (Huang, 1998) segments the mixed numeric and categorical stock on the same leak-free features; silhouette and Davies-Bouldin both select k = 3 (a silhouette of 0.24 indicates soft, interpretable archetypes rather than crisp clusters; Figure 12). Three segments emerge: pre-1914 solid-brick houses (mean SAP 56, band D, the retrofit priority), a mid-century cavity-wall majority (48%, band D), and newer cavity flats (band C). A hybrid recommender (Figur</w:t>
      </w:r>
      <w:r>
        <w:t xml:space="preserve">e 13) mines recommendations.csv: Apriori rules (Agrawal and Srikant, 1994) show single-glazing, draught-proofing and wall insulation co-occurring far above chance (lift 8.9), and a content-based cosine k-NN predicts </w:t>
      </w:r>
      <w:r>
        <w:lastRenderedPageBreak/>
        <w:t>measures from fabric-similar neighbours at a hit-rate of 0.97, beating a popularity baseline by +0.08 precision@5. The cheapest universal measure is low-energy lighting (25 pounds).</w:t>
      </w:r>
    </w:p>
    <w:p w14:paraId="5A7636B3" w14:textId="77777777" w:rsidR="00144A83" w:rsidRDefault="002929A7">
      <w:pPr>
        <w:spacing w:before="120" w:after="60"/>
        <w:jc w:val="center"/>
      </w:pPr>
      <w:r>
        <w:rPr>
          <w:noProof/>
        </w:rPr>
        <w:drawing>
          <wp:inline distT="0" distB="0" distL="0" distR="0" wp14:anchorId="562A02FF" wp14:editId="24C1E334">
            <wp:extent cx="5486400" cy="2209800"/>
            <wp:effectExtent l="0" t="0" r="0" b="0"/>
            <wp:docPr id="1036970730" name="fig_cluster_profile" descr="K-Prototypes segmentation (k = 3): standardised fabric profile (left) and post-hoc mean SAP per segment (right)." title="K-Prototypes segmentation (k = 3): standardised fabric profile (left) and post-hoc mean SAP per segmen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209800"/>
                    </a:xfrm>
                    <a:prstGeom prst="rect">
                      <a:avLst/>
                    </a:prstGeom>
                  </pic:spPr>
                </pic:pic>
              </a:graphicData>
            </a:graphic>
          </wp:inline>
        </w:drawing>
      </w:r>
    </w:p>
    <w:p w14:paraId="041D6924" w14:textId="4052EAC0"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12</w:t>
      </w:r>
      <w:r>
        <w:fldChar w:fldCharType="end"/>
      </w:r>
      <w:r>
        <w:t xml:space="preserve">. </w:t>
      </w:r>
      <w:bookmarkStart w:id="19" w:name="_Toc231919083"/>
      <w:r>
        <w:t>K-Prototypes segmentation (k = 3): standardised fabric profile (left) and post-hoc mean SAP per segment (right).</w:t>
      </w:r>
      <w:bookmarkEnd w:id="19"/>
    </w:p>
    <w:p w14:paraId="77574412" w14:textId="77777777" w:rsidR="00144A83" w:rsidRDefault="002929A7">
      <w:pPr>
        <w:spacing w:before="120" w:after="60"/>
        <w:jc w:val="center"/>
      </w:pPr>
      <w:r>
        <w:rPr>
          <w:noProof/>
        </w:rPr>
        <w:drawing>
          <wp:inline distT="0" distB="0" distL="0" distR="0" wp14:anchorId="3D361151" wp14:editId="5E431895">
            <wp:extent cx="5667375" cy="2038350"/>
            <wp:effectExtent l="0" t="0" r="0" b="0"/>
            <wp:docPr id="1210788138" name="fig_recommender" descr="Retrofit recommender: most-recommended measures with indicative cost (left) and top Apriori association rules by lift (right)." title="Retrofit recommender: most-recommended measures with indicative cost (left) and top Apriori association rules by lif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2038350"/>
                    </a:xfrm>
                    <a:prstGeom prst="rect">
                      <a:avLst/>
                    </a:prstGeom>
                  </pic:spPr>
                </pic:pic>
              </a:graphicData>
            </a:graphic>
          </wp:inline>
        </w:drawing>
      </w:r>
    </w:p>
    <w:p w14:paraId="69DB5701" w14:textId="756747A3" w:rsidR="00144A83" w:rsidRDefault="002929A7">
      <w:pPr>
        <w:pStyle w:val="Caption"/>
        <w:spacing w:after="200"/>
        <w:jc w:val="center"/>
      </w:pPr>
      <w:r>
        <w:t xml:space="preserve">Figure </w:t>
      </w:r>
      <w:r>
        <w:fldChar w:fldCharType="begin"/>
      </w:r>
      <w:r>
        <w:instrText>SEQ Figure</w:instrText>
      </w:r>
      <w:r>
        <w:fldChar w:fldCharType="separate"/>
      </w:r>
      <w:r w:rsidR="003F4B4D">
        <w:rPr>
          <w:noProof/>
        </w:rPr>
        <w:t>13</w:t>
      </w:r>
      <w:r>
        <w:fldChar w:fldCharType="end"/>
      </w:r>
      <w:r>
        <w:t xml:space="preserve">. </w:t>
      </w:r>
      <w:bookmarkStart w:id="20" w:name="_Toc231919084"/>
      <w:r>
        <w:t>Retrofit recommender: most-recommended measures with indicative cost (left) and top Apriori association rules by lift (right).</w:t>
      </w:r>
      <w:bookmarkEnd w:id="20"/>
    </w:p>
    <w:p w14:paraId="1EA5B3EE" w14:textId="77777777" w:rsidR="00144A83" w:rsidRDefault="002929A7">
      <w:pPr>
        <w:pStyle w:val="Heading1"/>
      </w:pPr>
      <w:bookmarkStart w:id="21" w:name="_Toc231919069"/>
      <w:r>
        <w:t>4. Recommendations and Conclusion</w:t>
      </w:r>
      <w:bookmarkEnd w:id="21"/>
    </w:p>
    <w:p w14:paraId="55F480E2" w14:textId="77777777" w:rsidR="00144A83" w:rsidRDefault="002929A7">
      <w:pPr>
        <w:spacing w:after="160" w:line="276" w:lineRule="auto"/>
        <w:jc w:val="both"/>
      </w:pPr>
      <w:r>
        <w:t>The findings translate into prioritised actions for Oxford City Council, registered providers and green-mortgage underwriters, sequenced and quantified against the 76,400-row predictions_oxford.csv corpus.</w:t>
      </w:r>
    </w:p>
    <w:p w14:paraId="20014CA0" w14:textId="77777777" w:rsidR="00144A83" w:rsidRDefault="002929A7">
      <w:pPr>
        <w:spacing w:after="160" w:line="276" w:lineRule="auto"/>
        <w:jc w:val="both"/>
      </w:pPr>
      <w:r>
        <w:rPr>
          <w:b/>
          <w:bCs/>
        </w:rPr>
        <w:t xml:space="preserve">Immediate (audit). </w:t>
      </w:r>
      <w:r>
        <w:t>Use the per-UPRN confidence proxy to triage. The bottom-confidence quartile of hold-out dwellings (QWK 0.65) should be flagged for re-assessment before any subsidy decision, while the top quartile (QWK 0.85) is reliable enough for automated routing. Combined with the close-to-3:1 conservative bias noted in Section 3.4, audits favour properties more likely to have been under-rated.</w:t>
      </w:r>
    </w:p>
    <w:p w14:paraId="6CE54687" w14:textId="77777777" w:rsidR="00144A83" w:rsidRDefault="002929A7">
      <w:pPr>
        <w:spacing w:after="160" w:line="276" w:lineRule="auto"/>
        <w:jc w:val="both"/>
      </w:pPr>
      <w:r>
        <w:rPr>
          <w:b/>
          <w:bCs/>
        </w:rPr>
        <w:t xml:space="preserve">Short-term (ECO4 and MEES routing). </w:t>
      </w:r>
      <w:r>
        <w:t xml:space="preserve">Prioritise solid-wall insulation in the 17,136 pre-1929 dwellings (20,414 carry FLAG_SOLID_BRICK_BARE corpus-wide): wall construction is the largest categorical lever (Cramer's V 0.407) and the most consequential physical retrofit, at 4,000 to 14,000 pounds per dwelling through the Energy Company Obligation (ECO4, to March 2026) and the Great British Insulation Scheme. Second, fund loft top-ups for the 8,448 </w:t>
      </w:r>
      <w:r>
        <w:lastRenderedPageBreak/>
        <w:t>FLAG_NO_LOFT_INSULATION dwellings (under 600 pounds, SHAP-positive across nearly every band).</w:t>
      </w:r>
    </w:p>
    <w:p w14:paraId="32CF8FEC" w14:textId="77777777" w:rsidR="00144A83" w:rsidRDefault="002929A7">
      <w:pPr>
        <w:spacing w:after="160" w:line="276" w:lineRule="auto"/>
        <w:jc w:val="both"/>
      </w:pPr>
      <w:r>
        <w:rPr>
          <w:b/>
          <w:bCs/>
        </w:rPr>
        <w:t xml:space="preserve">Medium-term (private-rented compliance). </w:t>
      </w:r>
      <w:r>
        <w:t>The Minimum Energy Efficiency Standards (in force since 2018) require band E for private rentals; the team can triage rentals predicted F or G from predictions_oxford.csv, but only the top confidence quartile (hold-out QWK 0.85), since band-F F1 is just 0.35, so low-confidence cases need re-assessment first. Concurrently, replace single glazing in the 1,935 single-glazed dwellings from 1900 to 1949. Because SAP is cost-based, at Ofgem (2024) tariffs a gas-to-heat-pump swap may not improve the rating until t</w:t>
      </w:r>
      <w:r>
        <w:t>he electricity-to-gas price ratio narrows.</w:t>
      </w:r>
    </w:p>
    <w:p w14:paraId="5FD11358" w14:textId="77777777" w:rsidR="00144A83" w:rsidRDefault="002929A7">
      <w:pPr>
        <w:spacing w:after="160" w:line="276" w:lineRule="auto"/>
        <w:jc w:val="both"/>
      </w:pPr>
      <w:r>
        <w:rPr>
          <w:b/>
          <w:bCs/>
        </w:rPr>
        <w:t xml:space="preserve">Long-term (geographic targeting). </w:t>
      </w:r>
      <w:r>
        <w:t>Postcode districts differ. OX4 holds the largest absolute count of pre-1900 stock (about 2,390 dwellings, 7.4% of the district), while OX2 (2,268, 13.9%) and OX1 (950, 13.5%) have the highest density. A district-weighted subsidy schedule that prioritises OX2 and OX1 by density and OX4 by volume delivers more SAP-points-per-pound than a flat-rate offer.</w:t>
      </w:r>
    </w:p>
    <w:p w14:paraId="72E0032A" w14:textId="77777777" w:rsidR="00144A83" w:rsidRDefault="002929A7">
      <w:pPr>
        <w:pStyle w:val="Heading1"/>
      </w:pPr>
      <w:bookmarkStart w:id="22" w:name="_Toc231919070"/>
      <w:r>
        <w:t>5. Limitations and Ethics</w:t>
      </w:r>
      <w:bookmarkEnd w:id="22"/>
    </w:p>
    <w:p w14:paraId="16E64730" w14:textId="77777777" w:rsidR="00144A83" w:rsidRDefault="002929A7">
      <w:pPr>
        <w:spacing w:after="160" w:line="276" w:lineRule="auto"/>
        <w:jc w:val="both"/>
      </w:pPr>
      <w:r>
        <w:t>Several limitations bound the interpretation. EPCs are RdSAP-modelled rather than measured; inter-assessor variance is around five SAP points (Few et al., 2023) and Hardy and Glew (2019) document systemic database errors, so our score MAE of 4.05 sits near the irreducible label-noise floor. The corpus over-represents transacting properties, so the findings will not transfer elsewhere unmodified. The reliability curve shows mild compression (slope 0.79), correctable through isotonic regression, and the spars</w:t>
      </w:r>
      <w:r>
        <w:t>e A, F and G bands carry wide CIs. Personal data were excluded per GDPR Article 5; the model is unsuitable for individual valuation, mortgage underwriting, or automated decisions with legal effect under GDPR Article 22.</w:t>
      </w:r>
    </w:p>
    <w:p w14:paraId="1B45C9B1" w14:textId="77777777" w:rsidR="00144A83" w:rsidRDefault="002929A7">
      <w:pPr>
        <w:spacing w:after="160" w:line="276" w:lineRule="auto"/>
        <w:jc w:val="both"/>
      </w:pPr>
      <w:r>
        <w:rPr>
          <w:b/>
          <w:bCs/>
        </w:rPr>
        <w:t xml:space="preserve">Self-audit. </w:t>
      </w:r>
      <w:r>
        <w:t>The pipeline was stress-tested for residual leakage across three issues: random rather than temporal early-stopping, pre-split outlier and missingness statistics, and REPORT_TYPE as a covariate. Their effect is negligible: deciding the missingness set on the training fold yields a byte-identical model and the early-stopping change is inert. Inverse-UPRN weighting lifted one seed but widened the multi-seed spread, so it was rejected, and a depth-5 tree baseline (QWK 0.60 against 0.77) confirms the boosted co</w:t>
      </w:r>
      <w:r>
        <w:t>mplexity is earned. The SAP-10 (2022) revisions are a structural break requiring periodic retraining.</w:t>
      </w:r>
    </w:p>
    <w:p w14:paraId="5F574931" w14:textId="77777777" w:rsidR="00144A83" w:rsidRDefault="002929A7">
      <w:r>
        <w:br w:type="page"/>
      </w:r>
    </w:p>
    <w:p w14:paraId="329FB7FD" w14:textId="77777777" w:rsidR="00144A83" w:rsidRDefault="002929A7">
      <w:pPr>
        <w:pStyle w:val="Heading1"/>
      </w:pPr>
      <w:bookmarkStart w:id="23" w:name="_Toc231919071"/>
      <w:r>
        <w:lastRenderedPageBreak/>
        <w:t>References</w:t>
      </w:r>
      <w:bookmarkEnd w:id="23"/>
    </w:p>
    <w:p w14:paraId="346240EC" w14:textId="77777777" w:rsidR="00144A83" w:rsidRDefault="002929A7">
      <w:pPr>
        <w:spacing w:after="120" w:line="276" w:lineRule="auto"/>
        <w:ind w:left="480" w:hanging="480"/>
      </w:pPr>
      <w:r>
        <w:t>Agrawal, R. and Srikant, R. (1994) 'Fast algorithms for mining association rules', Proceedings of the 20th International Conference on Very Large Data Bases (VLDB), pp. 487-499.</w:t>
      </w:r>
    </w:p>
    <w:p w14:paraId="386179AC" w14:textId="77777777" w:rsidR="00144A83" w:rsidRDefault="002929A7">
      <w:pPr>
        <w:spacing w:after="120" w:line="276" w:lineRule="auto"/>
        <w:ind w:left="480" w:hanging="480"/>
      </w:pPr>
      <w:r>
        <w:t>Akiba, T., Sano, S., Yanase, T., Ohta, T. and Koyama, M. (2019) 'Optuna: a next-generation hyperparameter optimization framework', Proceedings of the 25th ACM SIGKDD International Conference on Knowledge Discovery and Data Mining, pp. 2623-2631.</w:t>
      </w:r>
    </w:p>
    <w:p w14:paraId="0E859075" w14:textId="77777777" w:rsidR="00144A83" w:rsidRDefault="002929A7">
      <w:pPr>
        <w:spacing w:after="120" w:line="276" w:lineRule="auto"/>
        <w:ind w:left="480" w:hanging="480"/>
      </w:pPr>
      <w:r>
        <w:t>BRE (Building Research Establishment) (2014) The Government's Standard Assessment Procedure for Energy Rating of Dwellings, 2012 edition. Watford: BRE.</w:t>
      </w:r>
    </w:p>
    <w:p w14:paraId="35038B3B" w14:textId="77777777" w:rsidR="00144A83" w:rsidRDefault="002929A7">
      <w:pPr>
        <w:spacing w:after="120" w:line="276" w:lineRule="auto"/>
        <w:ind w:left="480" w:hanging="480"/>
      </w:pPr>
      <w:r>
        <w:t>Cao, W., Mirjalili, V. and Raschka, S. (2020) 'Rank consistent ordinal regression for neural networks with application to age estimation', Pattern Recognition Letters, 140, pp. 325-331.</w:t>
      </w:r>
    </w:p>
    <w:p w14:paraId="64012F26" w14:textId="77777777" w:rsidR="00144A83" w:rsidRDefault="002929A7">
      <w:pPr>
        <w:spacing w:after="120" w:line="276" w:lineRule="auto"/>
        <w:ind w:left="480" w:hanging="480"/>
      </w:pPr>
      <w:r>
        <w:t>Climate Change Committee (2023) Progress in reducing UK emissions: 2023 report to Parliament. London: Climate Change Committee.</w:t>
      </w:r>
    </w:p>
    <w:p w14:paraId="1C7AA10B" w14:textId="77777777" w:rsidR="00144A83" w:rsidRDefault="002929A7">
      <w:pPr>
        <w:spacing w:after="120" w:line="276" w:lineRule="auto"/>
        <w:ind w:left="480" w:hanging="480"/>
      </w:pPr>
      <w:r>
        <w:t>Crawley, J., Biddulph, P., Northrop, P., Wingfield, J., Oreszczyn, T. and Elwell, C. (2019) 'Quantifying the measurement error on England and Wales EPC ratings', Energies, 12(18), 3523.</w:t>
      </w:r>
    </w:p>
    <w:p w14:paraId="2780ED7A" w14:textId="77777777" w:rsidR="00144A83" w:rsidRDefault="002929A7">
      <w:pPr>
        <w:spacing w:after="120" w:line="276" w:lineRule="auto"/>
        <w:ind w:left="480" w:hanging="480"/>
      </w:pPr>
      <w:r>
        <w:t>DLUHC (Department for Levelling Up, Housing and Communities) (2022) Energy Performance of Buildings data: England and Wales. Available at: https://epc.opendatacommunities.org (Accessed: 29 April 2026).</w:t>
      </w:r>
    </w:p>
    <w:p w14:paraId="182329EE" w14:textId="77777777" w:rsidR="00144A83" w:rsidRDefault="002929A7">
      <w:pPr>
        <w:spacing w:after="120" w:line="276" w:lineRule="auto"/>
        <w:ind w:left="480" w:hanging="480"/>
      </w:pPr>
      <w:r>
        <w:t>Few, J., Pullinger, M., McKenna, E., Elam, S., Webborn, E. and Oreszczyn, T. (2023) 'Smart-meter and EPC datasets disagree about UK domestic energy use: a study of 13,000 homes', Buildings and Cities, 4(1), pp. 1-21.</w:t>
      </w:r>
    </w:p>
    <w:p w14:paraId="180C4350" w14:textId="77777777" w:rsidR="00144A83" w:rsidRDefault="002929A7">
      <w:pPr>
        <w:spacing w:after="120" w:line="276" w:lineRule="auto"/>
        <w:ind w:left="480" w:hanging="480"/>
      </w:pPr>
      <w:r>
        <w:t>Grinsztajn, L., Oyallon, E. and Varoquaux, G. (2022) 'Why do tree-based models still outperform deep learning on typical tabular data?', Advances in Neural Information Processing Systems, 35, pp. 507-520.</w:t>
      </w:r>
    </w:p>
    <w:p w14:paraId="297F2237" w14:textId="77777777" w:rsidR="00144A83" w:rsidRDefault="002929A7">
      <w:pPr>
        <w:spacing w:after="120" w:line="276" w:lineRule="auto"/>
        <w:ind w:left="480" w:hanging="480"/>
      </w:pPr>
      <w:r>
        <w:t>Hardy, A. and Glew, D. (2019) 'An analysis of errors in the Energy Performance Certificate database', Energy Policy, 129, pp. 1168-1178.</w:t>
      </w:r>
    </w:p>
    <w:p w14:paraId="0D505CC5" w14:textId="77777777" w:rsidR="00144A83" w:rsidRDefault="002929A7">
      <w:pPr>
        <w:spacing w:after="120" w:line="276" w:lineRule="auto"/>
        <w:ind w:left="480" w:hanging="480"/>
      </w:pPr>
      <w:r>
        <w:t>HM Government (2021) Net Zero Strategy: Build Back Greener. London: HMSO.</w:t>
      </w:r>
    </w:p>
    <w:p w14:paraId="5F039B4D" w14:textId="77777777" w:rsidR="00144A83" w:rsidRDefault="002929A7">
      <w:pPr>
        <w:spacing w:after="120" w:line="276" w:lineRule="auto"/>
        <w:ind w:left="480" w:hanging="480"/>
      </w:pPr>
      <w:r>
        <w:t>Huang, Z. (1998) 'Extensions to the k-means algorithm for clustering large data sets with categorical values', Data Mining and Knowledge Discovery, 2(3), pp. 283-304.</w:t>
      </w:r>
    </w:p>
    <w:p w14:paraId="2869B97B" w14:textId="77777777" w:rsidR="00144A83" w:rsidRDefault="002929A7">
      <w:pPr>
        <w:spacing w:after="120" w:line="276" w:lineRule="auto"/>
        <w:ind w:left="480" w:hanging="480"/>
      </w:pPr>
      <w:r>
        <w:t>Kapoor, S. and Narayanan, A. (2023) 'Leakage and the reproducibility crisis in machine-learning-based science', Patterns, 4(9), 100804.</w:t>
      </w:r>
    </w:p>
    <w:p w14:paraId="7AFD7BB9" w14:textId="77777777" w:rsidR="00144A83" w:rsidRDefault="002929A7">
      <w:pPr>
        <w:spacing w:after="120" w:line="276" w:lineRule="auto"/>
        <w:ind w:left="480" w:hanging="480"/>
      </w:pPr>
      <w:r>
        <w:t>Lundberg, S.M. and Lee, S.-I. (2017) 'A unified approach to interpreting model predictions', Advances in Neural Information Processing Systems, 30, pp. 4765-4774.</w:t>
      </w:r>
    </w:p>
    <w:p w14:paraId="69805274" w14:textId="77777777" w:rsidR="00144A83" w:rsidRDefault="002929A7">
      <w:pPr>
        <w:spacing w:after="120" w:line="276" w:lineRule="auto"/>
        <w:ind w:left="480" w:hanging="480"/>
      </w:pPr>
      <w:r>
        <w:t>Ofgem (2024) Default tariff cap: level 16. London: Office of Gas and Electricity Markets.</w:t>
      </w:r>
    </w:p>
    <w:p w14:paraId="7AE81BDB" w14:textId="77777777" w:rsidR="00144A83" w:rsidRDefault="002929A7">
      <w:pPr>
        <w:spacing w:after="120" w:line="276" w:lineRule="auto"/>
        <w:ind w:left="480" w:hanging="480"/>
      </w:pPr>
      <w:r>
        <w:t>ONS (Office for National Statistics) (2023) Census 2021: housing in England and Wales. London: ONS.</w:t>
      </w:r>
    </w:p>
    <w:p w14:paraId="35819A18" w14:textId="77777777" w:rsidR="00144A83" w:rsidRDefault="002929A7">
      <w:pPr>
        <w:spacing w:after="120" w:line="276" w:lineRule="auto"/>
        <w:ind w:left="480" w:hanging="480"/>
      </w:pPr>
      <w:r>
        <w:lastRenderedPageBreak/>
        <w:t>ONS Data Science Campus (2021) Using machine learning to predict energy efficiency. Newport: Office for National Statistics. Available at: https://datasciencecampus.ons.gov.uk/projects/using-machine-learning-to-predict-energy-efficiency/ (Accessed: 17 May 2026).</w:t>
      </w:r>
    </w:p>
    <w:p w14:paraId="4801562C" w14:textId="77777777" w:rsidR="00144A83" w:rsidRDefault="002929A7">
      <w:pPr>
        <w:spacing w:after="120" w:line="276" w:lineRule="auto"/>
        <w:ind w:left="480" w:hanging="480"/>
      </w:pPr>
      <w:r>
        <w:t>Oxford City Council (2023) Zero Carbon Oxford Roadmap and Action Plan. Oxford: Oxford City Council.</w:t>
      </w:r>
    </w:p>
    <w:p w14:paraId="7653AC73" w14:textId="77777777" w:rsidR="00144A83" w:rsidRDefault="002929A7">
      <w:pPr>
        <w:spacing w:after="120" w:line="276" w:lineRule="auto"/>
        <w:ind w:left="480" w:hanging="480"/>
      </w:pPr>
      <w:r>
        <w:t>Pedregosa, F., Varoquaux, G., Gramfort, A., Michel, V., Thirion, B., Grisel, O., Blondel, M., Prettenhofer, P., Weiss, R., Dubourg, V., Vanderplas, J., Passos, A., Cournapeau, D., Brucher, M., Perrot, M. and Duchesnay, E. (2011) 'Scikit-learn: machine learning in Python', Journal of Machine Learning Research, 12, pp. 2825-2830.</w:t>
      </w:r>
    </w:p>
    <w:p w14:paraId="030BA926" w14:textId="77777777" w:rsidR="00144A83" w:rsidRDefault="002929A7">
      <w:pPr>
        <w:spacing w:after="120" w:line="276" w:lineRule="auto"/>
        <w:ind w:left="480" w:hanging="480"/>
      </w:pPr>
      <w:r>
        <w:t>Pedregosa, F., Bach, F. and Gramfort, A. (2017) 'On the consistency of ordinal regression methods', Journal of Machine Learning Research, 18(55), pp. 1-35.</w:t>
      </w:r>
    </w:p>
    <w:p w14:paraId="7164C389" w14:textId="77777777" w:rsidR="00144A83" w:rsidRDefault="002929A7">
      <w:pPr>
        <w:spacing w:after="120" w:line="276" w:lineRule="auto"/>
        <w:ind w:left="480" w:hanging="480"/>
      </w:pPr>
      <w:r>
        <w:t>Strobl, C., Boulesteix, A.-L., Zeileis, A. and Hothorn, T. (2007) 'Bias in random forest variable importance measures: illustrations, sources and a solution', BMC Bioinformatics, 8, 25.</w:t>
      </w:r>
    </w:p>
    <w:p w14:paraId="41AE4978" w14:textId="77777777" w:rsidR="00144A83" w:rsidRDefault="002929A7">
      <w:pPr>
        <w:spacing w:after="120" w:line="276" w:lineRule="auto"/>
        <w:ind w:left="480" w:hanging="480"/>
      </w:pPr>
      <w:r>
        <w:t>Sun, Y., Haghighat, F. and Fung, B.C.M. (2022) 'A review of the state-of-the-art in data-driven approaches for building energy prediction', Energy and Buildings, 221, 110022.</w:t>
      </w:r>
    </w:p>
    <w:p w14:paraId="56456453" w14:textId="77777777" w:rsidR="00144A83" w:rsidRDefault="002929A7">
      <w:pPr>
        <w:spacing w:after="120" w:line="276" w:lineRule="auto"/>
        <w:ind w:left="480" w:hanging="480"/>
      </w:pPr>
      <w:r>
        <w:t>van den Goorbergh, R., van Smeden, M., Timmerman, D. and Van Calster, B. (2022) 'The harm of class imbalance corrections for risk prediction models', Journal of the American Medical Informatics Association, 29(9), pp. 1525-1534.</w:t>
      </w:r>
    </w:p>
    <w:p w14:paraId="3F2694ED" w14:textId="77777777" w:rsidR="00144A83" w:rsidRDefault="002929A7">
      <w:pPr>
        <w:spacing w:after="120" w:line="276" w:lineRule="auto"/>
        <w:ind w:left="480" w:hanging="480"/>
      </w:pPr>
      <w:r>
        <w:t>Warrens, M.J. (2012) 'Some paradoxical results for the quadratically weighted kappa', Psychometrika, 77(2), pp. 315-323.</w:t>
      </w:r>
    </w:p>
    <w:sectPr w:rsidR="00144A83">
      <w:footerReference w:type="default" r:id="rId21"/>
      <w:footerReference w:type="first" r:id="rId2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F6AA1" w14:textId="77777777" w:rsidR="002929A7" w:rsidRDefault="002929A7">
      <w:r>
        <w:separator/>
      </w:r>
    </w:p>
  </w:endnote>
  <w:endnote w:type="continuationSeparator" w:id="0">
    <w:p w14:paraId="383DE716" w14:textId="77777777" w:rsidR="002929A7" w:rsidRDefault="002929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81F47" w14:textId="77777777" w:rsidR="00144A83" w:rsidRDefault="002929A7">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3F4B4D">
      <w:rPr>
        <w:noProof/>
        <w:sz w:val="20"/>
        <w:szCs w:val="20"/>
      </w:rPr>
      <w:t>2</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3F4B4D">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BB22F" w14:textId="77777777" w:rsidR="00144A83" w:rsidRDefault="00144A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9B23E" w14:textId="77777777" w:rsidR="002929A7" w:rsidRDefault="002929A7">
      <w:r>
        <w:separator/>
      </w:r>
    </w:p>
  </w:footnote>
  <w:footnote w:type="continuationSeparator" w:id="0">
    <w:p w14:paraId="164C2DC3" w14:textId="77777777" w:rsidR="002929A7" w:rsidRDefault="002929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25627"/>
    <w:multiLevelType w:val="hybridMultilevel"/>
    <w:tmpl w:val="F1FAB15A"/>
    <w:lvl w:ilvl="0" w:tplc="7C0680C4">
      <w:start w:val="1"/>
      <w:numFmt w:val="bullet"/>
      <w:lvlText w:val="●"/>
      <w:lvlJc w:val="left"/>
      <w:pPr>
        <w:ind w:left="720" w:hanging="360"/>
      </w:pPr>
    </w:lvl>
    <w:lvl w:ilvl="1" w:tplc="677217B8">
      <w:start w:val="1"/>
      <w:numFmt w:val="bullet"/>
      <w:lvlText w:val="○"/>
      <w:lvlJc w:val="left"/>
      <w:pPr>
        <w:ind w:left="1440" w:hanging="360"/>
      </w:pPr>
    </w:lvl>
    <w:lvl w:ilvl="2" w:tplc="4F04B71E">
      <w:start w:val="1"/>
      <w:numFmt w:val="bullet"/>
      <w:lvlText w:val="■"/>
      <w:lvlJc w:val="left"/>
      <w:pPr>
        <w:ind w:left="2160" w:hanging="360"/>
      </w:pPr>
    </w:lvl>
    <w:lvl w:ilvl="3" w:tplc="7E1C79C6">
      <w:start w:val="1"/>
      <w:numFmt w:val="bullet"/>
      <w:lvlText w:val="●"/>
      <w:lvlJc w:val="left"/>
      <w:pPr>
        <w:ind w:left="2880" w:hanging="360"/>
      </w:pPr>
    </w:lvl>
    <w:lvl w:ilvl="4" w:tplc="30442096">
      <w:start w:val="1"/>
      <w:numFmt w:val="bullet"/>
      <w:lvlText w:val="○"/>
      <w:lvlJc w:val="left"/>
      <w:pPr>
        <w:ind w:left="3600" w:hanging="360"/>
      </w:pPr>
    </w:lvl>
    <w:lvl w:ilvl="5" w:tplc="5AEA559E">
      <w:start w:val="1"/>
      <w:numFmt w:val="bullet"/>
      <w:lvlText w:val="■"/>
      <w:lvlJc w:val="left"/>
      <w:pPr>
        <w:ind w:left="4320" w:hanging="360"/>
      </w:pPr>
    </w:lvl>
    <w:lvl w:ilvl="6" w:tplc="FD6A83CA">
      <w:start w:val="1"/>
      <w:numFmt w:val="bullet"/>
      <w:lvlText w:val="●"/>
      <w:lvlJc w:val="left"/>
      <w:pPr>
        <w:ind w:left="5040" w:hanging="360"/>
      </w:pPr>
    </w:lvl>
    <w:lvl w:ilvl="7" w:tplc="5082EE10">
      <w:start w:val="1"/>
      <w:numFmt w:val="bullet"/>
      <w:lvlText w:val="●"/>
      <w:lvlJc w:val="left"/>
      <w:pPr>
        <w:ind w:left="5760" w:hanging="360"/>
      </w:pPr>
    </w:lvl>
    <w:lvl w:ilvl="8" w:tplc="7F96314E">
      <w:start w:val="1"/>
      <w:numFmt w:val="bullet"/>
      <w:lvlText w:val="●"/>
      <w:lvlJc w:val="left"/>
      <w:pPr>
        <w:ind w:left="6480" w:hanging="360"/>
      </w:pPr>
    </w:lvl>
  </w:abstractNum>
  <w:num w:numId="1" w16cid:durableId="17035536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A83"/>
    <w:rsid w:val="00144A83"/>
    <w:rsid w:val="002929A7"/>
    <w:rsid w:val="003F4B4D"/>
    <w:rsid w:val="00D81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64E554"/>
  <w15:docId w15:val="{987E2C6B-5EA1-4784-B4F9-C629DD5C9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40"/>
      <w:outlineLvl w:val="0"/>
    </w:pPr>
    <w:rPr>
      <w:b/>
      <w:bCs/>
      <w:color w:val="000000"/>
      <w:sz w:val="32"/>
      <w:szCs w:val="32"/>
    </w:rPr>
  </w:style>
  <w:style w:type="paragraph" w:styleId="Heading2">
    <w:name w:val="heading 2"/>
    <w:uiPriority w:val="9"/>
    <w:unhideWhenUsed/>
    <w:qFormat/>
    <w:pPr>
      <w:keepNext/>
      <w:spacing w:before="20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rPr>
      <w:i/>
      <w:iCs/>
      <w:sz w:val="20"/>
      <w:szCs w:val="20"/>
    </w:rPr>
  </w:style>
  <w:style w:type="paragraph" w:styleId="TOC1">
    <w:name w:val="toc 1"/>
    <w:basedOn w:val="Normal"/>
    <w:next w:val="Normal"/>
    <w:autoRedefine/>
    <w:uiPriority w:val="39"/>
    <w:unhideWhenUsed/>
    <w:rsid w:val="003F4B4D"/>
    <w:pPr>
      <w:spacing w:after="100"/>
    </w:pPr>
  </w:style>
  <w:style w:type="paragraph" w:styleId="TOC2">
    <w:name w:val="toc 2"/>
    <w:basedOn w:val="Normal"/>
    <w:next w:val="Normal"/>
    <w:autoRedefine/>
    <w:uiPriority w:val="39"/>
    <w:unhideWhenUsed/>
    <w:rsid w:val="003F4B4D"/>
    <w:pPr>
      <w:spacing w:after="100"/>
      <w:ind w:left="240"/>
    </w:pPr>
  </w:style>
  <w:style w:type="paragraph" w:styleId="TableofFigures">
    <w:name w:val="table of figures"/>
    <w:basedOn w:val="Normal"/>
    <w:next w:val="Normal"/>
    <w:uiPriority w:val="99"/>
    <w:unhideWhenUsed/>
    <w:rsid w:val="003F4B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4090</Words>
  <Characters>24596</Characters>
  <Application>Microsoft Office Word</Application>
  <DocSecurity>0</DocSecurity>
  <Lines>443</Lines>
  <Paragraphs>163</Paragraphs>
  <ScaleCrop>false</ScaleCrop>
  <Company/>
  <LinksUpToDate>false</LinksUpToDate>
  <CharactersWithSpaces>28530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EPC Energy Ratings for Oxford's Domestic Stock</dc:title>
  <dc:creator>Muhammad Omer Hussain</dc:creator>
  <cp:lastModifiedBy>Muhammad Omer Hussain</cp:lastModifiedBy>
  <cp:revision>2</cp:revision>
  <dcterms:created xsi:type="dcterms:W3CDTF">2026-06-09T12:37:00Z</dcterms:created>
  <dcterms:modified xsi:type="dcterms:W3CDTF">2026-06-09T12:37:00Z</dcterms:modified>
</cp:coreProperties>
</file>