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AF6C" w14:textId="503B2342" w:rsidR="00530D31" w:rsidRDefault="00530D31">
      <w:pPr>
        <w:spacing w:line="240" w:lineRule="auto"/>
        <w:ind w:firstLine="0"/>
        <w:jc w:val="left"/>
      </w:pPr>
    </w:p>
    <w:p w14:paraId="2D34A049" w14:textId="77777777" w:rsidR="00987EDC" w:rsidRDefault="00987EDC" w:rsidP="00987EDC">
      <w:pPr>
        <w:spacing w:before="240" w:after="360"/>
        <w:ind w:firstLine="0"/>
        <w:jc w:val="center"/>
      </w:pPr>
    </w:p>
    <w:p w14:paraId="68B8A025" w14:textId="6BC7FE7B" w:rsidR="00E279F8" w:rsidRPr="00707D78" w:rsidRDefault="00E279F8" w:rsidP="00E279F8">
      <w:pPr>
        <w:spacing w:before="240" w:after="360"/>
        <w:ind w:firstLine="0"/>
        <w:jc w:val="center"/>
      </w:pPr>
      <w:r>
        <w:rPr>
          <w:noProof/>
        </w:rPr>
        <w:drawing>
          <wp:anchor distT="0" distB="0" distL="114300" distR="114300" simplePos="0" relativeHeight="251658240" behindDoc="0" locked="0" layoutInCell="1" allowOverlap="1" wp14:anchorId="462C1A98" wp14:editId="2C264886">
            <wp:simplePos x="0" y="0"/>
            <wp:positionH relativeFrom="margin">
              <wp:posOffset>-89535</wp:posOffset>
            </wp:positionH>
            <wp:positionV relativeFrom="paragraph">
              <wp:posOffset>629876</wp:posOffset>
            </wp:positionV>
            <wp:extent cx="5980176" cy="3986784"/>
            <wp:effectExtent l="0" t="0" r="1905" b="0"/>
            <wp:wrapSquare wrapText="bothSides"/>
            <wp:docPr id="1" name="logo" descr="University logo" title="Buckinghamshire New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0176" cy="3986784"/>
                    </a:xfrm>
                    <a:prstGeom prst="rect">
                      <a:avLst/>
                    </a:prstGeom>
                  </pic:spPr>
                </pic:pic>
              </a:graphicData>
            </a:graphic>
            <wp14:sizeRelH relativeFrom="margin">
              <wp14:pctWidth>0</wp14:pctWidth>
            </wp14:sizeRelH>
            <wp14:sizeRelV relativeFrom="margin">
              <wp14:pctHeight>0</wp14:pctHeight>
            </wp14:sizeRelV>
          </wp:anchor>
        </w:drawing>
      </w:r>
    </w:p>
    <w:p w14:paraId="4E842E4F" w14:textId="4F402B3F" w:rsidR="00442997" w:rsidRDefault="00442997" w:rsidP="00442997">
      <w:r>
        <w:t xml:space="preserve">                                     </w:t>
      </w:r>
      <w:r w:rsidR="002929A7" w:rsidRPr="00442997">
        <w:rPr>
          <w:b/>
          <w:bCs/>
        </w:rPr>
        <w:t>Name:</w:t>
      </w:r>
      <w:r w:rsidR="002929A7" w:rsidRPr="00442997">
        <w:t xml:space="preserve">  Muhammad Omer Hussain</w:t>
      </w:r>
    </w:p>
    <w:p w14:paraId="78AC4005" w14:textId="4627DE9D" w:rsidR="00442997" w:rsidRDefault="00442997" w:rsidP="00442997">
      <w:r>
        <w:t xml:space="preserve">                                             </w:t>
      </w:r>
      <w:r w:rsidR="002929A7" w:rsidRPr="00442997">
        <w:rPr>
          <w:b/>
          <w:bCs/>
        </w:rPr>
        <w:t>Student ID:</w:t>
      </w:r>
      <w:r w:rsidR="002929A7" w:rsidRPr="00442997">
        <w:t xml:space="preserve">  22509495</w:t>
      </w:r>
    </w:p>
    <w:p w14:paraId="6CFE205F" w14:textId="3AE2D857" w:rsidR="00144A83" w:rsidRPr="00442997" w:rsidRDefault="00442997" w:rsidP="00442997">
      <w:pPr>
        <w:jc w:val="left"/>
      </w:pPr>
      <w:r>
        <w:t xml:space="preserve">                                   </w:t>
      </w:r>
      <w:r w:rsidR="002929A7" w:rsidRPr="00442997">
        <w:rPr>
          <w:b/>
          <w:bCs/>
        </w:rPr>
        <w:t>Module Leader:</w:t>
      </w:r>
      <w:r w:rsidR="002929A7" w:rsidRPr="00442997">
        <w:t xml:space="preserve">  Syeda Faiza Nasim</w:t>
      </w:r>
    </w:p>
    <w:p w14:paraId="72E0905F" w14:textId="2885F931" w:rsidR="00442997" w:rsidRDefault="00442997" w:rsidP="00442997">
      <w:pPr>
        <w:ind w:left="720" w:firstLine="0"/>
      </w:pPr>
      <w:r>
        <w:t xml:space="preserve">                                           </w:t>
      </w:r>
      <w:r w:rsidR="002929A7" w:rsidRPr="00442997">
        <w:rPr>
          <w:b/>
          <w:bCs/>
        </w:rPr>
        <w:t>Module Code:</w:t>
      </w:r>
      <w:r w:rsidR="002929A7" w:rsidRPr="00442997">
        <w:t xml:space="preserve">  COM6003</w:t>
      </w:r>
    </w:p>
    <w:p w14:paraId="0E6A1DAF" w14:textId="6F488FF5" w:rsidR="00144A83" w:rsidRPr="00442997" w:rsidRDefault="00442997" w:rsidP="00442997">
      <w:pPr>
        <w:ind w:left="720" w:firstLine="0"/>
        <w:jc w:val="left"/>
      </w:pPr>
      <w:r>
        <w:t xml:space="preserve">                                         </w:t>
      </w:r>
      <w:r w:rsidR="005A0FED">
        <w:t xml:space="preserve"> </w:t>
      </w:r>
      <w:r w:rsidR="002929A7" w:rsidRPr="00442997">
        <w:rPr>
          <w:b/>
          <w:bCs/>
        </w:rPr>
        <w:t>Module Title:</w:t>
      </w:r>
      <w:r w:rsidR="002929A7" w:rsidRPr="00442997">
        <w:t xml:space="preserve">  Data Science</w:t>
      </w:r>
    </w:p>
    <w:p w14:paraId="2ADF4313" w14:textId="77777777" w:rsidR="00442997" w:rsidRDefault="00442997" w:rsidP="00442997">
      <w:pPr>
        <w:ind w:firstLine="0"/>
      </w:pPr>
      <w:r>
        <w:t xml:space="preserve">                                                        </w:t>
      </w:r>
      <w:r w:rsidR="002929A7" w:rsidRPr="00442997">
        <w:rPr>
          <w:b/>
          <w:bCs/>
        </w:rPr>
        <w:t>Assignment Title:</w:t>
      </w:r>
      <w:r w:rsidR="002929A7" w:rsidRPr="00442997">
        <w:t xml:space="preserve">  CW1</w:t>
      </w:r>
    </w:p>
    <w:p w14:paraId="0C51146E" w14:textId="7EE80FDC" w:rsidR="00144A83" w:rsidRPr="00442997" w:rsidRDefault="00442997" w:rsidP="00442997">
      <w:pPr>
        <w:ind w:firstLine="0"/>
        <w:jc w:val="left"/>
      </w:pPr>
      <w:r>
        <w:t xml:space="preserve">                                                     </w:t>
      </w:r>
      <w:r w:rsidR="002929A7" w:rsidRPr="00442997">
        <w:rPr>
          <w:b/>
          <w:bCs/>
        </w:rPr>
        <w:t>Academic Year:</w:t>
      </w:r>
      <w:r w:rsidR="002929A7" w:rsidRPr="00442997">
        <w:t xml:space="preserve">  2025-2026</w:t>
      </w:r>
    </w:p>
    <w:p w14:paraId="1D898246" w14:textId="77777777" w:rsidR="0039464E" w:rsidRPr="00707D78" w:rsidRDefault="0039464E" w:rsidP="0039464E">
      <w:pPr>
        <w:spacing w:after="80"/>
        <w:jc w:val="center"/>
      </w:pPr>
    </w:p>
    <w:p w14:paraId="3F5787C1" w14:textId="77777777" w:rsidR="0039464E" w:rsidRPr="00707D78" w:rsidRDefault="0039464E" w:rsidP="0039464E">
      <w:pPr>
        <w:spacing w:after="80"/>
        <w:jc w:val="center"/>
      </w:pPr>
    </w:p>
    <w:p w14:paraId="1BFFC62A" w14:textId="77777777" w:rsidR="0039464E" w:rsidRPr="00707D78" w:rsidRDefault="0039464E" w:rsidP="0039464E">
      <w:pPr>
        <w:spacing w:after="80"/>
        <w:jc w:val="center"/>
      </w:pPr>
    </w:p>
    <w:p w14:paraId="3E6204F0" w14:textId="77777777" w:rsidR="0039464E" w:rsidRPr="00707D78" w:rsidRDefault="0039464E" w:rsidP="0039464E">
      <w:pPr>
        <w:spacing w:after="80"/>
        <w:jc w:val="center"/>
      </w:pPr>
    </w:p>
    <w:p w14:paraId="672D2DB9" w14:textId="77777777" w:rsidR="005B400C" w:rsidRDefault="005B400C" w:rsidP="0039464E">
      <w:pPr>
        <w:spacing w:after="80"/>
        <w:jc w:val="center"/>
        <w:sectPr w:rsidR="005B400C" w:rsidSect="005B400C">
          <w:footerReference w:type="default" r:id="rId10"/>
          <w:pgSz w:w="11906" w:h="16838"/>
          <w:pgMar w:top="1440" w:right="1440" w:bottom="1440" w:left="1440" w:header="720" w:footer="720" w:gutter="0"/>
          <w:pgNumType w:start="0"/>
          <w:cols w:space="720"/>
          <w:titlePg/>
          <w:docGrid w:linePitch="360"/>
        </w:sectPr>
      </w:pPr>
    </w:p>
    <w:p w14:paraId="461A95AD" w14:textId="29F737D8" w:rsidR="0039464E" w:rsidRDefault="0039464E" w:rsidP="0039464E">
      <w:pPr>
        <w:spacing w:after="80"/>
        <w:jc w:val="center"/>
      </w:pPr>
    </w:p>
    <w:p w14:paraId="2C504DA2" w14:textId="56136F4E" w:rsidR="00530D31" w:rsidRDefault="00530D31" w:rsidP="00530D31">
      <w:r>
        <w:rPr>
          <w:noProof/>
        </w:rPr>
        <mc:AlternateContent>
          <mc:Choice Requires="wpg">
            <w:drawing>
              <wp:anchor distT="0" distB="0" distL="114300" distR="114300" simplePos="0" relativeHeight="251663360" behindDoc="0" locked="0" layoutInCell="1" allowOverlap="1" wp14:anchorId="1FBEFF18" wp14:editId="4178D90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0160" b="2095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prstGeom prst="horizontalScroll">
                            <a:avLst/>
                          </a:prstGeom>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horizontalScroll">
                            <a:avLst/>
                          </a:prstGeom>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74B237" id="Group 157"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Rectangle 51" o:spid="_x0000_s1027" type="#_x0000_t98" style="position:absolute;width:73152;height:11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" fillcolor="black [3200]" strokecolor="white [3201]" strokeweight="2pt">
                  <v:stroke joinstyle="miter"/>
                </v:shape>
                <v:shape id="Rectangle 151" o:spid="_x0000_s1028" type="#_x0000_t9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" fillcolor="black [3200]" strokecolor="white [3201]" strokeweight="2pt">
                  <v:stroke joinstyle="miter"/>
                </v:shape>
                <w10:wrap anchorx="page" anchory="page"/>
              </v:group>
            </w:pict>
          </mc:Fallback>
        </mc:AlternateContent>
      </w:r>
    </w:p>
    <w:p w14:paraId="2D57F43B" w14:textId="113FCC35" w:rsidR="005F4538" w:rsidRDefault="0060682C" w:rsidP="0039464E">
      <w:pPr>
        <w:spacing w:after="80"/>
        <w:jc w:val="center"/>
      </w:pPr>
      <w:r>
        <w:rPr>
          <w:noProof/>
        </w:rPr>
        <mc:AlternateContent>
          <mc:Choice Requires="wps">
            <w:drawing>
              <wp:anchor distT="0" distB="0" distL="114300" distR="114300" simplePos="0" relativeHeight="251660288" behindDoc="0" locked="0" layoutInCell="1" allowOverlap="1" wp14:anchorId="4823841B" wp14:editId="5789D7BB">
                <wp:simplePos x="0" y="0"/>
                <wp:positionH relativeFrom="margin">
                  <wp:align>center</wp:align>
                </wp:positionH>
                <wp:positionV relativeFrom="page">
                  <wp:posOffset>1561229</wp:posOffset>
                </wp:positionV>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E6F52" w14:textId="781710E1" w:rsidR="00530D31" w:rsidRDefault="005C3C00" w:rsidP="00530D31">
                            <w:pPr>
                              <w:jc w:val="right"/>
                              <w:rPr>
                                <w:color w:val="156082" w:themeColor="accent1"/>
                                <w:sz w:val="64"/>
                                <w:szCs w:val="64"/>
                              </w:rPr>
                            </w:pPr>
                            <w:sdt>
                              <w:sdtPr>
                                <w:rPr>
                                  <w:b/>
                                  <w:bCs/>
                                  <w:caps/>
                                  <w:color w:val="000000" w:themeColor="tex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30D31" w:rsidRPr="0060682C">
                                  <w:rPr>
                                    <w:b/>
                                    <w:bCs/>
                                    <w:caps/>
                                    <w:color w:val="000000" w:themeColor="text1"/>
                                    <w:sz w:val="52"/>
                                    <w:szCs w:val="52"/>
                                  </w:rPr>
                                  <w:t>Predicting EPC Energy Ratings for Oxford's Domestic Stock</w:t>
                                </w:r>
                              </w:sdtContent>
                            </w:sdt>
                          </w:p>
                          <w:sdt>
                            <w:sdtPr>
                              <w:rPr>
                                <w:i/>
                                <w:iCs/>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CA18AA3" w14:textId="1B2C2BFB" w:rsidR="00530D31" w:rsidRDefault="00530D31" w:rsidP="00530D31">
                                <w:pPr>
                                  <w:jc w:val="right"/>
                                  <w:rPr>
                                    <w:smallCaps/>
                                    <w:color w:val="404040" w:themeColor="text1" w:themeTint="BF"/>
                                    <w:sz w:val="36"/>
                                    <w:szCs w:val="36"/>
                                  </w:rPr>
                                </w:pPr>
                                <w:r w:rsidRPr="00530D31">
                                  <w:rPr>
                                    <w:i/>
                                    <w:iCs/>
                                    <w:sz w:val="28"/>
                                    <w:szCs w:val="28"/>
                                  </w:rPr>
                                  <w:t>A leakage-aware ordinal-classification pipeline with SHAP-driven retrofit recommendations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823841B" id="_x0000_t202" coordsize="21600,21600" o:spt="202" path="m,l,21600r21600,l21600,xe">
                <v:stroke joinstyle="miter"/>
                <v:path gradientshapeok="t" o:connecttype="rect"/>
              </v:shapetype>
              <v:shape id="Text Box 163" o:spid="_x0000_s1026" type="#_x0000_t202" style="position:absolute;left:0;text-align:left;margin-left:0;margin-top:122.95pt;width:8in;height:286.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" filled="f" stroked="f" strokeweight=".5pt">
                <v:textbox inset="126pt,0,54pt,0">
                  <w:txbxContent>
                    <w:p w14:paraId="4A1E6F52" w14:textId="781710E1" w:rsidR="00530D31" w:rsidRDefault="00530D31" w:rsidP="00530D31">
                      <w:pPr>
                        <w:jc w:val="right"/>
                        <w:rPr>
                          <w:color w:val="156082" w:themeColor="accent1"/>
                          <w:sz w:val="64"/>
                          <w:szCs w:val="64"/>
                        </w:rPr>
                      </w:pPr>
                      <w:sdt>
                        <w:sdtPr>
                          <w:rPr>
                            <w:b/>
                            <w:bCs/>
                            <w:caps/>
                            <w:color w:val="000000" w:themeColor="tex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0682C">
                            <w:rPr>
                              <w:b/>
                              <w:bCs/>
                              <w:caps/>
                              <w:color w:val="000000" w:themeColor="text1"/>
                              <w:sz w:val="52"/>
                              <w:szCs w:val="52"/>
                            </w:rPr>
                            <w:t>Predicting EPC Energy Ratings for Oxford's Domestic Stock</w:t>
                          </w:r>
                        </w:sdtContent>
                      </w:sdt>
                    </w:p>
                    <w:sdt>
                      <w:sdtPr>
                        <w:rPr>
                          <w:i/>
                          <w:iCs/>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CA18AA3" w14:textId="1B2C2BFB" w:rsidR="00530D31" w:rsidRDefault="00530D31" w:rsidP="00530D31">
                          <w:pPr>
                            <w:jc w:val="right"/>
                            <w:rPr>
                              <w:smallCaps/>
                              <w:color w:val="404040" w:themeColor="text1" w:themeTint="BF"/>
                              <w:sz w:val="36"/>
                              <w:szCs w:val="36"/>
                            </w:rPr>
                          </w:pPr>
                          <w:r w:rsidRPr="00530D31">
                            <w:rPr>
                              <w:i/>
                              <w:iCs/>
                              <w:sz w:val="28"/>
                              <w:szCs w:val="28"/>
                            </w:rPr>
                            <w:t>A leakage-aware ordinal-classification pipeline with SHAP-driven retrofit recommendations</w:t>
                          </w:r>
                        </w:p>
                      </w:sdtContent>
                    </w:sdt>
                  </w:txbxContent>
                </v:textbox>
                <w10:wrap type="square" anchorx="margin" anchory="page"/>
              </v:shape>
            </w:pict>
          </mc:Fallback>
        </mc:AlternateContent>
      </w:r>
    </w:p>
    <w:p w14:paraId="3D29AA5B" w14:textId="68E0C058" w:rsidR="005F4538" w:rsidRDefault="0060682C" w:rsidP="005B400C">
      <w:pPr>
        <w:spacing w:after="80"/>
      </w:pPr>
      <w:r>
        <w:rPr>
          <w:noProof/>
        </w:rPr>
        <mc:AlternateContent>
          <mc:Choice Requires="wps">
            <w:drawing>
              <wp:anchor distT="0" distB="0" distL="114300" distR="114300" simplePos="0" relativeHeight="251662336" behindDoc="0" locked="0" layoutInCell="1" allowOverlap="1" wp14:anchorId="644996F3" wp14:editId="76E3011C">
                <wp:simplePos x="0" y="0"/>
                <wp:positionH relativeFrom="margin">
                  <wp:posOffset>-1797050</wp:posOffset>
                </wp:positionH>
                <wp:positionV relativeFrom="page">
                  <wp:posOffset>5704937</wp:posOffset>
                </wp:positionV>
                <wp:extent cx="821944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82194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C50C9" w14:textId="77777777" w:rsidR="00530D31" w:rsidRPr="00530D31" w:rsidRDefault="00530D31" w:rsidP="00530D31">
                            <w:pPr>
                              <w:pStyle w:val="NoSpacing"/>
                              <w:jc w:val="right"/>
                              <w:rPr>
                                <w:b/>
                                <w:bCs/>
                                <w:color w:val="156082" w:themeColor="accent1"/>
                                <w:sz w:val="28"/>
                                <w:szCs w:val="28"/>
                              </w:rPr>
                            </w:pPr>
                            <w:r w:rsidRPr="00530D31">
                              <w:rPr>
                                <w:rFonts w:ascii="Times New Roman" w:hAnsi="Times New Roman" w:cs="Times New Roman"/>
                                <w:b/>
                                <w:bCs/>
                                <w:color w:val="000000" w:themeColor="text1"/>
                                <w:sz w:val="32"/>
                                <w:szCs w:val="32"/>
                              </w:rPr>
                              <w:t>Abstract</w:t>
                            </w:r>
                          </w:p>
                          <w:sdt>
                            <w:sdtPr>
                              <w:rPr>
                                <w:rFonts w:ascii="Times New Roman" w:hAnsi="Times New Roman" w:cs="Times New Roman"/>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21941CB7" w14:textId="15A30025" w:rsidR="00530D31" w:rsidRDefault="00530D31" w:rsidP="0060682C">
                                <w:pPr>
                                  <w:pStyle w:val="NoSpacing"/>
                                  <w:spacing w:line="360" w:lineRule="auto"/>
                                  <w:jc w:val="right"/>
                                  <w:rPr>
                                    <w:color w:val="595959" w:themeColor="text1" w:themeTint="A6"/>
                                    <w:sz w:val="20"/>
                                    <w:szCs w:val="20"/>
                                  </w:rPr>
                                </w:pPr>
                                <w:r w:rsidRPr="00530D31">
                                  <w:rPr>
                                    <w:rFonts w:ascii="Times New Roman" w:hAnsi="Times New Roman" w:cs="Times New Roman"/>
                                    <w:sz w:val="24"/>
                                    <w:szCs w:val="24"/>
                                  </w:rPr>
                                  <w:t>This report develops a leakage-aware ordinal classifier for Energy Performance Certificate (EPC) ratings, from A to G, covering domestic dwellings in Oxford local authority (E07000178). After group-aware deduplication, 49,442 unique dwellings remain. The champion is a hybrid regression-to-band model (SapStratifiedRegressor): it fits a HistGradientBoostingRegressor on the continuous SAP score, maps the predicted score to a band through the official DLUHC thresholds, and layers a SAP-cohort specialist on REPORT_TYPE 101 rows. On a strict temporal hold-out (n = 12,095), the model achieves a Quadratic Weighted Kappa of 0.7696 (bootstrap 95% CI 0.7600 to 0.7780) and places 97.7% of SAP-score predictions within 15 points, in line with the indicative figure of 93% from the ONS Data Science Campus (2021). Permutation importance and SHAP both identify windows, construction age, main fuel and main heating as the dominant drivers, with wall construction the largest categorical lever. These findings translate into prioritised retrofit recommendations and a per-UPRN prediction file.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644996F3" id="Text Box 161" o:spid="_x0000_s1027" type="#_x0000_t202" style="position:absolute;left:0;text-align:left;margin-left:-141.5pt;margin-top:449.2pt;width:647.2pt;height:79.5pt;z-index:251662336;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" filled="f" stroked="f" strokeweight=".5pt">
                <v:textbox style="mso-fit-shape-to-text:t" inset="126pt,0,54pt,0">
                  <w:txbxContent>
                    <w:p w14:paraId="655C50C9" w14:textId="77777777" w:rsidR="00530D31" w:rsidRPr="00530D31" w:rsidRDefault="00530D31" w:rsidP="00530D31">
                      <w:pPr>
                        <w:pStyle w:val="NoSpacing"/>
                        <w:jc w:val="right"/>
                        <w:rPr>
                          <w:b/>
                          <w:bCs/>
                          <w:color w:val="156082" w:themeColor="accent1"/>
                          <w:sz w:val="28"/>
                          <w:szCs w:val="28"/>
                        </w:rPr>
                      </w:pPr>
                      <w:r w:rsidRPr="00530D31">
                        <w:rPr>
                          <w:rFonts w:ascii="Times New Roman" w:hAnsi="Times New Roman" w:cs="Times New Roman"/>
                          <w:b/>
                          <w:bCs/>
                          <w:color w:val="000000" w:themeColor="text1"/>
                          <w:sz w:val="32"/>
                          <w:szCs w:val="32"/>
                        </w:rPr>
                        <w:t>Abstract</w:t>
                      </w:r>
                    </w:p>
                    <w:sdt>
                      <w:sdtPr>
                        <w:rPr>
                          <w:rFonts w:ascii="Times New Roman" w:hAnsi="Times New Roman" w:cs="Times New Roman"/>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21941CB7" w14:textId="15A30025" w:rsidR="00530D31" w:rsidRDefault="00530D31" w:rsidP="0060682C">
                          <w:pPr>
                            <w:pStyle w:val="NoSpacing"/>
                            <w:spacing w:line="360" w:lineRule="auto"/>
                            <w:jc w:val="right"/>
                            <w:rPr>
                              <w:color w:val="595959" w:themeColor="text1" w:themeTint="A6"/>
                              <w:sz w:val="20"/>
                              <w:szCs w:val="20"/>
                            </w:rPr>
                          </w:pPr>
                          <w:r w:rsidRPr="00530D31">
                            <w:rPr>
                              <w:rFonts w:ascii="Times New Roman" w:hAnsi="Times New Roman" w:cs="Times New Roman"/>
                              <w:sz w:val="24"/>
                              <w:szCs w:val="24"/>
                            </w:rPr>
                            <w:t>This report develops a leakage-aware ordinal classifier for Energy Performance Certificate (EPC) ratings, from A to G, covering domestic dwellings in Oxford local authority (E07000178). After group-aware deduplication, 49,442 unique dwellings remain. The champion is a hybrid regression-to-band model (</w:t>
                          </w:r>
                          <w:proofErr w:type="spellStart"/>
                          <w:r w:rsidRPr="00530D31">
                            <w:rPr>
                              <w:rFonts w:ascii="Times New Roman" w:hAnsi="Times New Roman" w:cs="Times New Roman"/>
                              <w:sz w:val="24"/>
                              <w:szCs w:val="24"/>
                            </w:rPr>
                            <w:t>SapStratifiedRegressor</w:t>
                          </w:r>
                          <w:proofErr w:type="spellEnd"/>
                          <w:r w:rsidRPr="00530D31">
                            <w:rPr>
                              <w:rFonts w:ascii="Times New Roman" w:hAnsi="Times New Roman" w:cs="Times New Roman"/>
                              <w:sz w:val="24"/>
                              <w:szCs w:val="24"/>
                            </w:rPr>
                            <w:t xml:space="preserve">): it fits a </w:t>
                          </w:r>
                          <w:proofErr w:type="spellStart"/>
                          <w:r w:rsidRPr="00530D31">
                            <w:rPr>
                              <w:rFonts w:ascii="Times New Roman" w:hAnsi="Times New Roman" w:cs="Times New Roman"/>
                              <w:sz w:val="24"/>
                              <w:szCs w:val="24"/>
                            </w:rPr>
                            <w:t>HistGradientBoostingRegressor</w:t>
                          </w:r>
                          <w:proofErr w:type="spellEnd"/>
                          <w:r w:rsidRPr="00530D31">
                            <w:rPr>
                              <w:rFonts w:ascii="Times New Roman" w:hAnsi="Times New Roman" w:cs="Times New Roman"/>
                              <w:sz w:val="24"/>
                              <w:szCs w:val="24"/>
                            </w:rPr>
                            <w:t xml:space="preserve"> on the continuous SAP score, maps the predicted score to a band through the official DLUHC thresholds, and layers </w:t>
                          </w:r>
                          <w:proofErr w:type="gramStart"/>
                          <w:r w:rsidRPr="00530D31">
                            <w:rPr>
                              <w:rFonts w:ascii="Times New Roman" w:hAnsi="Times New Roman" w:cs="Times New Roman"/>
                              <w:sz w:val="24"/>
                              <w:szCs w:val="24"/>
                            </w:rPr>
                            <w:t>a</w:t>
                          </w:r>
                          <w:proofErr w:type="gramEnd"/>
                          <w:r w:rsidRPr="00530D31">
                            <w:rPr>
                              <w:rFonts w:ascii="Times New Roman" w:hAnsi="Times New Roman" w:cs="Times New Roman"/>
                              <w:sz w:val="24"/>
                              <w:szCs w:val="24"/>
                            </w:rPr>
                            <w:t xml:space="preserve"> SAP-cohort specialist on REPORT_TYPE 101 rows. On a strict temporal hold-out (n = 12,095), the model achieves a Quadratic Weighted Kappa of 0.7696 (bootstrap 95% CI 0.7600 to 0.7780) and places 97.7% of SAP-score predictions within 15 points, in line with the indicative figure of 93% from the ONS Data Science Campus (2021). Permutation importance and SHAP both identify windows, construction age, main fuel and main heating as the dominant drivers, with wall construction the largest categorical lever. These findings translate into </w:t>
                          </w:r>
                          <w:proofErr w:type="spellStart"/>
                          <w:r w:rsidRPr="00530D31">
                            <w:rPr>
                              <w:rFonts w:ascii="Times New Roman" w:hAnsi="Times New Roman" w:cs="Times New Roman"/>
                              <w:sz w:val="24"/>
                              <w:szCs w:val="24"/>
                            </w:rPr>
                            <w:t>prioritised</w:t>
                          </w:r>
                          <w:proofErr w:type="spellEnd"/>
                          <w:r w:rsidRPr="00530D31">
                            <w:rPr>
                              <w:rFonts w:ascii="Times New Roman" w:hAnsi="Times New Roman" w:cs="Times New Roman"/>
                              <w:sz w:val="24"/>
                              <w:szCs w:val="24"/>
                            </w:rPr>
                            <w:t xml:space="preserve"> retrofit recommendations and a per-UPRN prediction file.</w:t>
                          </w:r>
                        </w:p>
                      </w:sdtContent>
                    </w:sdt>
                  </w:txbxContent>
                </v:textbox>
                <w10:wrap type="square" anchorx="margin" anchory="page"/>
              </v:shape>
            </w:pict>
          </mc:Fallback>
        </mc:AlternateContent>
      </w:r>
    </w:p>
    <w:p w14:paraId="0842E01B" w14:textId="37C54230" w:rsidR="002C3C16" w:rsidRPr="006D3F29" w:rsidRDefault="002C3C16" w:rsidP="006D3F29">
      <w:pPr>
        <w:spacing w:after="80"/>
        <w:jc w:val="center"/>
      </w:pPr>
    </w:p>
    <w:p w14:paraId="69AF2C60" w14:textId="57D9B09C" w:rsidR="00144A83" w:rsidRPr="00707D78" w:rsidRDefault="002929A7" w:rsidP="00630277">
      <w:pPr>
        <w:spacing w:after="120"/>
        <w:ind w:firstLine="0"/>
      </w:pPr>
      <w:r>
        <w:rPr>
          <w:b/>
          <w:bCs/>
          <w:sz w:val="28"/>
          <w:szCs w:val="28"/>
        </w:rPr>
        <w:lastRenderedPageBreak/>
        <w:t>Contents</w:t>
      </w:r>
    </w:p>
    <w:sdt>
      <w:sdtPr>
        <w:alias w:val="Contents"/>
        <w:id w:val="1193572770"/>
      </w:sdtPr>
      <w:sdtEndPr/>
      <w:sdtContent>
        <w:p w14:paraId="00465471" w14:textId="049EAFD8" w:rsidR="003F4B4D" w:rsidRPr="00707D78" w:rsidRDefault="002929A7">
          <w:pPr>
            <w:pStyle w:val="TOC1"/>
            <w:tabs>
              <w:tab w:val="right" w:leader="dot" w:pos="9016"/>
            </w:tabs>
            <w:rPr>
              <w:noProof/>
            </w:rPr>
          </w:pPr>
          <w:r>
            <w:fldChar w:fldCharType="begin"/>
          </w:r>
          <w:r>
            <w:instrText>TOC \h \o "1-2"</w:instrText>
          </w:r>
          <w:r>
            <w:fldChar w:fldCharType="separate"/>
          </w:r>
          <w:hyperlink w:anchor="_Toc231919061" w:history="1">
            <w:r>
              <w:rPr>
                <w:rStyle w:val="Hyperlink"/>
                <w:noProof/>
              </w:rPr>
              <w:t>1. Introduction and Dataset Acquisition</w:t>
            </w:r>
            <w:r>
              <w:rPr>
                <w:noProof/>
              </w:rPr>
              <w:tab/>
            </w:r>
            <w:r>
              <w:rPr>
                <w:noProof/>
              </w:rPr>
              <w:fldChar w:fldCharType="begin"/>
            </w:r>
            <w:r>
              <w:rPr>
                <w:noProof/>
              </w:rPr>
              <w:instrText xml:space="preserve"> PAGEREF _Toc231919061 \h </w:instrText>
            </w:r>
            <w:r>
              <w:rPr>
                <w:noProof/>
              </w:rPr>
            </w:r>
            <w:r>
              <w:rPr>
                <w:noProof/>
              </w:rPr>
              <w:fldChar w:fldCharType="separate"/>
            </w:r>
            <w:r w:rsidR="00036ACC">
              <w:rPr>
                <w:noProof/>
              </w:rPr>
              <w:t>2</w:t>
            </w:r>
            <w:r>
              <w:rPr>
                <w:noProof/>
              </w:rPr>
              <w:fldChar w:fldCharType="end"/>
            </w:r>
          </w:hyperlink>
        </w:p>
        <w:p w14:paraId="2522264E" w14:textId="2A25947A" w:rsidR="003F4B4D" w:rsidRPr="00707D78" w:rsidRDefault="003F4B4D">
          <w:pPr>
            <w:pStyle w:val="TOC1"/>
            <w:tabs>
              <w:tab w:val="right" w:leader="dot" w:pos="9016"/>
            </w:tabs>
            <w:rPr>
              <w:noProof/>
            </w:rPr>
          </w:pPr>
          <w:hyperlink w:anchor="_Toc231919062" w:history="1">
            <w:r>
              <w:rPr>
                <w:rStyle w:val="Hyperlink"/>
                <w:noProof/>
              </w:rPr>
              <w:t>2. Feature Engineering</w:t>
            </w:r>
            <w:r>
              <w:rPr>
                <w:noProof/>
              </w:rPr>
              <w:tab/>
            </w:r>
            <w:r>
              <w:rPr>
                <w:noProof/>
              </w:rPr>
              <w:fldChar w:fldCharType="begin"/>
            </w:r>
            <w:r>
              <w:rPr>
                <w:noProof/>
              </w:rPr>
              <w:instrText xml:space="preserve"> PAGEREF _Toc231919062 \h </w:instrText>
            </w:r>
            <w:r>
              <w:rPr>
                <w:noProof/>
              </w:rPr>
            </w:r>
            <w:r>
              <w:rPr>
                <w:noProof/>
              </w:rPr>
              <w:fldChar w:fldCharType="separate"/>
            </w:r>
            <w:r w:rsidR="00036ACC">
              <w:rPr>
                <w:noProof/>
              </w:rPr>
              <w:t>2</w:t>
            </w:r>
            <w:r>
              <w:rPr>
                <w:noProof/>
              </w:rPr>
              <w:fldChar w:fldCharType="end"/>
            </w:r>
          </w:hyperlink>
        </w:p>
        <w:p w14:paraId="2A243B1B" w14:textId="62708077" w:rsidR="003F4B4D" w:rsidRPr="00707D78" w:rsidRDefault="003F4B4D">
          <w:pPr>
            <w:pStyle w:val="TOC1"/>
            <w:tabs>
              <w:tab w:val="right" w:leader="dot" w:pos="9016"/>
            </w:tabs>
            <w:rPr>
              <w:noProof/>
            </w:rPr>
          </w:pPr>
          <w:hyperlink w:anchor="_Toc231919063" w:history="1">
            <w:r>
              <w:rPr>
                <w:rStyle w:val="Hyperlink"/>
                <w:noProof/>
              </w:rPr>
              <w:t>3. Analysis</w:t>
            </w:r>
            <w:r>
              <w:rPr>
                <w:noProof/>
              </w:rPr>
              <w:tab/>
            </w:r>
            <w:r>
              <w:rPr>
                <w:noProof/>
              </w:rPr>
              <w:fldChar w:fldCharType="begin"/>
            </w:r>
            <w:r>
              <w:rPr>
                <w:noProof/>
              </w:rPr>
              <w:instrText xml:space="preserve"> PAGEREF _Toc231919063 \h </w:instrText>
            </w:r>
            <w:r>
              <w:rPr>
                <w:noProof/>
              </w:rPr>
            </w:r>
            <w:r>
              <w:rPr>
                <w:noProof/>
              </w:rPr>
              <w:fldChar w:fldCharType="separate"/>
            </w:r>
            <w:r w:rsidR="00036ACC">
              <w:rPr>
                <w:noProof/>
              </w:rPr>
              <w:t>3</w:t>
            </w:r>
            <w:r>
              <w:rPr>
                <w:noProof/>
              </w:rPr>
              <w:fldChar w:fldCharType="end"/>
            </w:r>
          </w:hyperlink>
        </w:p>
        <w:p w14:paraId="4AFC4895" w14:textId="5718DA9A" w:rsidR="003F4B4D" w:rsidRPr="00707D78" w:rsidRDefault="003F4B4D">
          <w:pPr>
            <w:pStyle w:val="TOC2"/>
            <w:tabs>
              <w:tab w:val="right" w:leader="dot" w:pos="9016"/>
            </w:tabs>
            <w:rPr>
              <w:noProof/>
            </w:rPr>
          </w:pPr>
          <w:hyperlink w:anchor="_Toc231919064" w:history="1">
            <w:r>
              <w:rPr>
                <w:rStyle w:val="Hyperlink"/>
                <w:noProof/>
              </w:rPr>
              <w:t>3.1 Data Wrangling</w:t>
            </w:r>
            <w:r>
              <w:rPr>
                <w:noProof/>
              </w:rPr>
              <w:tab/>
            </w:r>
            <w:r>
              <w:rPr>
                <w:noProof/>
              </w:rPr>
              <w:fldChar w:fldCharType="begin"/>
            </w:r>
            <w:r>
              <w:rPr>
                <w:noProof/>
              </w:rPr>
              <w:instrText xml:space="preserve"> PAGEREF _Toc231919064 \h </w:instrText>
            </w:r>
            <w:r>
              <w:rPr>
                <w:noProof/>
              </w:rPr>
            </w:r>
            <w:r>
              <w:rPr>
                <w:noProof/>
              </w:rPr>
              <w:fldChar w:fldCharType="separate"/>
            </w:r>
            <w:r w:rsidR="00036ACC">
              <w:rPr>
                <w:noProof/>
              </w:rPr>
              <w:t>3</w:t>
            </w:r>
            <w:r>
              <w:rPr>
                <w:noProof/>
              </w:rPr>
              <w:fldChar w:fldCharType="end"/>
            </w:r>
          </w:hyperlink>
        </w:p>
        <w:p w14:paraId="4B796ACC" w14:textId="1255C080" w:rsidR="003F4B4D" w:rsidRPr="00707D78" w:rsidRDefault="003F4B4D" w:rsidP="00A425F5">
          <w:pPr>
            <w:pStyle w:val="TOC2"/>
            <w:tabs>
              <w:tab w:val="right" w:leader="dot" w:pos="9016"/>
            </w:tabs>
            <w:ind w:left="0"/>
            <w:rPr>
              <w:noProof/>
            </w:rPr>
          </w:pPr>
          <w:hyperlink w:anchor="_Toc231919065" w:history="1">
            <w:r>
              <w:rPr>
                <w:rStyle w:val="Hyperlink"/>
                <w:noProof/>
              </w:rPr>
              <w:t>3.2 Descriptive Analytics</w:t>
            </w:r>
            <w:r>
              <w:rPr>
                <w:noProof/>
              </w:rPr>
              <w:tab/>
            </w:r>
            <w:r>
              <w:rPr>
                <w:noProof/>
              </w:rPr>
              <w:fldChar w:fldCharType="begin"/>
            </w:r>
            <w:r>
              <w:rPr>
                <w:noProof/>
              </w:rPr>
              <w:instrText xml:space="preserve"> PAGEREF _Toc231919065 \h </w:instrText>
            </w:r>
            <w:r>
              <w:rPr>
                <w:noProof/>
              </w:rPr>
            </w:r>
            <w:r>
              <w:rPr>
                <w:noProof/>
              </w:rPr>
              <w:fldChar w:fldCharType="separate"/>
            </w:r>
            <w:r w:rsidR="00036ACC">
              <w:rPr>
                <w:noProof/>
              </w:rPr>
              <w:t>5</w:t>
            </w:r>
            <w:r>
              <w:rPr>
                <w:noProof/>
              </w:rPr>
              <w:fldChar w:fldCharType="end"/>
            </w:r>
          </w:hyperlink>
        </w:p>
        <w:p w14:paraId="0C02F8D1" w14:textId="60566ECF" w:rsidR="003F4B4D" w:rsidRPr="00707D78" w:rsidRDefault="003F4B4D">
          <w:pPr>
            <w:pStyle w:val="TOC2"/>
            <w:tabs>
              <w:tab w:val="right" w:leader="dot" w:pos="9016"/>
            </w:tabs>
            <w:rPr>
              <w:noProof/>
            </w:rPr>
          </w:pPr>
          <w:hyperlink w:anchor="_Toc231919066" w:history="1">
            <w:r>
              <w:rPr>
                <w:rStyle w:val="Hyperlink"/>
                <w:noProof/>
              </w:rPr>
              <w:t>3.3 Diagnostic Analytics</w:t>
            </w:r>
            <w:r>
              <w:rPr>
                <w:noProof/>
              </w:rPr>
              <w:tab/>
            </w:r>
            <w:r>
              <w:rPr>
                <w:noProof/>
              </w:rPr>
              <w:fldChar w:fldCharType="begin"/>
            </w:r>
            <w:r>
              <w:rPr>
                <w:noProof/>
              </w:rPr>
              <w:instrText xml:space="preserve"> PAGEREF _Toc231919066 \h </w:instrText>
            </w:r>
            <w:r>
              <w:rPr>
                <w:noProof/>
              </w:rPr>
            </w:r>
            <w:r>
              <w:rPr>
                <w:noProof/>
              </w:rPr>
              <w:fldChar w:fldCharType="separate"/>
            </w:r>
            <w:r w:rsidR="00036ACC">
              <w:rPr>
                <w:noProof/>
              </w:rPr>
              <w:t>7</w:t>
            </w:r>
            <w:r>
              <w:rPr>
                <w:noProof/>
              </w:rPr>
              <w:fldChar w:fldCharType="end"/>
            </w:r>
          </w:hyperlink>
        </w:p>
        <w:p w14:paraId="69102232" w14:textId="6967F8E3" w:rsidR="003F4B4D" w:rsidRPr="00707D78" w:rsidRDefault="003F4B4D">
          <w:pPr>
            <w:pStyle w:val="TOC2"/>
            <w:tabs>
              <w:tab w:val="right" w:leader="dot" w:pos="9016"/>
            </w:tabs>
            <w:rPr>
              <w:noProof/>
            </w:rPr>
          </w:pPr>
          <w:hyperlink w:anchor="_Toc231919067" w:history="1">
            <w:r>
              <w:rPr>
                <w:rStyle w:val="Hyperlink"/>
                <w:noProof/>
              </w:rPr>
              <w:t>3.4 Predictive Analytics</w:t>
            </w:r>
            <w:r>
              <w:rPr>
                <w:noProof/>
              </w:rPr>
              <w:tab/>
            </w:r>
            <w:r>
              <w:rPr>
                <w:noProof/>
              </w:rPr>
              <w:fldChar w:fldCharType="begin"/>
            </w:r>
            <w:r>
              <w:rPr>
                <w:noProof/>
              </w:rPr>
              <w:instrText xml:space="preserve"> PAGEREF _Toc231919067 \h </w:instrText>
            </w:r>
            <w:r>
              <w:rPr>
                <w:noProof/>
              </w:rPr>
            </w:r>
            <w:r>
              <w:rPr>
                <w:noProof/>
              </w:rPr>
              <w:fldChar w:fldCharType="separate"/>
            </w:r>
            <w:r w:rsidR="00036ACC">
              <w:rPr>
                <w:noProof/>
              </w:rPr>
              <w:t>10</w:t>
            </w:r>
            <w:r>
              <w:rPr>
                <w:noProof/>
              </w:rPr>
              <w:fldChar w:fldCharType="end"/>
            </w:r>
          </w:hyperlink>
        </w:p>
        <w:p w14:paraId="2AFCC1D1" w14:textId="2F6EF99D" w:rsidR="003F4B4D" w:rsidRPr="00707D78" w:rsidRDefault="003F4B4D">
          <w:pPr>
            <w:pStyle w:val="TOC2"/>
            <w:tabs>
              <w:tab w:val="right" w:leader="dot" w:pos="9016"/>
            </w:tabs>
            <w:rPr>
              <w:noProof/>
            </w:rPr>
          </w:pPr>
          <w:hyperlink w:anchor="_Toc231919068" w:history="1">
            <w:r>
              <w:rPr>
                <w:rStyle w:val="Hyperlink"/>
                <w:noProof/>
              </w:rPr>
              <w:t>3.5 Unsupervised Segmentation and Retrofit Recommender</w:t>
            </w:r>
            <w:r>
              <w:rPr>
                <w:noProof/>
              </w:rPr>
              <w:tab/>
            </w:r>
            <w:r>
              <w:rPr>
                <w:noProof/>
              </w:rPr>
              <w:fldChar w:fldCharType="begin"/>
            </w:r>
            <w:r>
              <w:rPr>
                <w:noProof/>
              </w:rPr>
              <w:instrText xml:space="preserve"> PAGEREF _Toc231919068 \h </w:instrText>
            </w:r>
            <w:r>
              <w:rPr>
                <w:noProof/>
              </w:rPr>
            </w:r>
            <w:r>
              <w:rPr>
                <w:noProof/>
              </w:rPr>
              <w:fldChar w:fldCharType="separate"/>
            </w:r>
            <w:r w:rsidR="00036ACC">
              <w:rPr>
                <w:noProof/>
              </w:rPr>
              <w:t>15</w:t>
            </w:r>
            <w:r>
              <w:rPr>
                <w:noProof/>
              </w:rPr>
              <w:fldChar w:fldCharType="end"/>
            </w:r>
          </w:hyperlink>
        </w:p>
        <w:p w14:paraId="3DA426BF" w14:textId="7121EDD7" w:rsidR="003F4B4D" w:rsidRPr="00707D78" w:rsidRDefault="003F4B4D">
          <w:pPr>
            <w:pStyle w:val="TOC1"/>
            <w:tabs>
              <w:tab w:val="right" w:leader="dot" w:pos="9016"/>
            </w:tabs>
            <w:rPr>
              <w:noProof/>
            </w:rPr>
          </w:pPr>
          <w:hyperlink w:anchor="_Toc231919069" w:history="1">
            <w:r>
              <w:rPr>
                <w:rStyle w:val="Hyperlink"/>
                <w:noProof/>
              </w:rPr>
              <w:t>4. Recommendations and Conclusion</w:t>
            </w:r>
            <w:r>
              <w:rPr>
                <w:noProof/>
              </w:rPr>
              <w:tab/>
            </w:r>
            <w:r>
              <w:rPr>
                <w:noProof/>
              </w:rPr>
              <w:fldChar w:fldCharType="begin"/>
            </w:r>
            <w:r>
              <w:rPr>
                <w:noProof/>
              </w:rPr>
              <w:instrText xml:space="preserve"> PAGEREF _Toc231919069 \h </w:instrText>
            </w:r>
            <w:r>
              <w:rPr>
                <w:noProof/>
              </w:rPr>
            </w:r>
            <w:r>
              <w:rPr>
                <w:noProof/>
              </w:rPr>
              <w:fldChar w:fldCharType="separate"/>
            </w:r>
            <w:r w:rsidR="00036ACC">
              <w:rPr>
                <w:noProof/>
              </w:rPr>
              <w:t>16</w:t>
            </w:r>
            <w:r>
              <w:rPr>
                <w:noProof/>
              </w:rPr>
              <w:fldChar w:fldCharType="end"/>
            </w:r>
          </w:hyperlink>
        </w:p>
        <w:p w14:paraId="5D6F5396" w14:textId="1D7278D4" w:rsidR="003F4B4D" w:rsidRPr="00707D78" w:rsidRDefault="003F4B4D">
          <w:pPr>
            <w:pStyle w:val="TOC1"/>
            <w:tabs>
              <w:tab w:val="right" w:leader="dot" w:pos="9016"/>
            </w:tabs>
            <w:rPr>
              <w:noProof/>
            </w:rPr>
          </w:pPr>
          <w:hyperlink w:anchor="_Toc231919070" w:history="1">
            <w:r>
              <w:rPr>
                <w:rStyle w:val="Hyperlink"/>
                <w:noProof/>
              </w:rPr>
              <w:t>5. Limitations and Ethics</w:t>
            </w:r>
            <w:r>
              <w:rPr>
                <w:noProof/>
              </w:rPr>
              <w:tab/>
            </w:r>
            <w:r>
              <w:rPr>
                <w:noProof/>
              </w:rPr>
              <w:fldChar w:fldCharType="begin"/>
            </w:r>
            <w:r>
              <w:rPr>
                <w:noProof/>
              </w:rPr>
              <w:instrText xml:space="preserve"> PAGEREF _Toc231919070 \h </w:instrText>
            </w:r>
            <w:r>
              <w:rPr>
                <w:noProof/>
              </w:rPr>
            </w:r>
            <w:r>
              <w:rPr>
                <w:noProof/>
              </w:rPr>
              <w:fldChar w:fldCharType="separate"/>
            </w:r>
            <w:r w:rsidR="00036ACC">
              <w:rPr>
                <w:noProof/>
              </w:rPr>
              <w:t>17</w:t>
            </w:r>
            <w:r>
              <w:rPr>
                <w:noProof/>
              </w:rPr>
              <w:fldChar w:fldCharType="end"/>
            </w:r>
          </w:hyperlink>
        </w:p>
        <w:p w14:paraId="12E69868" w14:textId="6007BC7E" w:rsidR="003F4B4D" w:rsidRPr="00707D78" w:rsidRDefault="003F4B4D">
          <w:pPr>
            <w:pStyle w:val="TOC1"/>
            <w:tabs>
              <w:tab w:val="right" w:leader="dot" w:pos="9016"/>
            </w:tabs>
            <w:rPr>
              <w:noProof/>
            </w:rPr>
          </w:pPr>
          <w:hyperlink w:anchor="_Toc231919071" w:history="1">
            <w:r>
              <w:rPr>
                <w:rStyle w:val="Hyperlink"/>
                <w:noProof/>
              </w:rPr>
              <w:t>References</w:t>
            </w:r>
            <w:r>
              <w:rPr>
                <w:noProof/>
              </w:rPr>
              <w:tab/>
            </w:r>
            <w:r>
              <w:rPr>
                <w:noProof/>
              </w:rPr>
              <w:fldChar w:fldCharType="begin"/>
            </w:r>
            <w:r>
              <w:rPr>
                <w:noProof/>
              </w:rPr>
              <w:instrText xml:space="preserve"> PAGEREF _Toc231919071 \h </w:instrText>
            </w:r>
            <w:r>
              <w:rPr>
                <w:noProof/>
              </w:rPr>
            </w:r>
            <w:r>
              <w:rPr>
                <w:noProof/>
              </w:rPr>
              <w:fldChar w:fldCharType="separate"/>
            </w:r>
            <w:r w:rsidR="00036ACC">
              <w:rPr>
                <w:noProof/>
              </w:rPr>
              <w:t>18</w:t>
            </w:r>
            <w:r>
              <w:rPr>
                <w:noProof/>
              </w:rPr>
              <w:fldChar w:fldCharType="end"/>
            </w:r>
          </w:hyperlink>
        </w:p>
        <w:p w14:paraId="33718B60" w14:textId="77777777" w:rsidR="0039464E" w:rsidRPr="00707D78" w:rsidRDefault="002929A7">
          <w:r>
            <w:fldChar w:fldCharType="end"/>
          </w:r>
        </w:p>
      </w:sdtContent>
    </w:sdt>
    <w:p w14:paraId="25FCA131" w14:textId="77777777" w:rsidR="00144A83" w:rsidRPr="00707D78" w:rsidRDefault="002929A7" w:rsidP="005B400C">
      <w:pPr>
        <w:ind w:firstLine="0"/>
      </w:pPr>
      <w:r>
        <w:br w:type="page"/>
      </w:r>
    </w:p>
    <w:p w14:paraId="67C09AEE" w14:textId="77777777" w:rsidR="00144A83" w:rsidRPr="00707D78" w:rsidRDefault="002929A7">
      <w:pPr>
        <w:pStyle w:val="Heading1"/>
        <w:rPr>
          <w:lang w:val="en-GB"/>
        </w:rPr>
      </w:pPr>
      <w:bookmarkStart w:id="0" w:name="_Toc231919061"/>
      <w:r>
        <w:rPr>
          <w:lang w:val="en-GB"/>
        </w:rPr>
        <w:lastRenderedPageBreak/>
        <w:t>1. Introduction and Dataset Acquisition</w:t>
      </w:r>
      <w:bookmarkEnd w:id="0"/>
    </w:p>
    <w:p w14:paraId="63049D43" w14:textId="77777777" w:rsidR="00144A83" w:rsidRPr="00707D78" w:rsidRDefault="002929A7" w:rsidP="00A425F5">
      <w:r>
        <w:t>The UK is legally committed to reaching net zero by 2050 (HM Government, 2021). Domestic buildings are responsible for around 17% of national emissions, and most of that total comes from space and water heating (Climate Change Committee, 2023). Energy Performance Certificates (EPCs) form the main evidence base for retrofit policy. An EPC records the modelled efficiency of every dwelling that is sold, let or built, and the Energy Performance of Buildings Register (DLUHC, 2022) publishes these certificates as open data under the Open Government Licence v3.0.</w:t>
      </w:r>
    </w:p>
    <w:p w14:paraId="4311F665" w14:textId="77777777" w:rsidR="00144A83" w:rsidRPr="00707D78" w:rsidRDefault="002929A7" w:rsidP="00BB3547">
      <w:r>
        <w:t>This study focuses on Oxford local authority (ONS code E07000178), which has an unusually old housing stock. The 2021 Census records that 30.4% of its dwellings were built before 1900 (ONS, 2023a), almost twice the England-wide share, and this sits alongside ambitious local retrofit targets (Oxford City Council, 2023). The research question is direct: can a dwelling’s EPC band be predicted from its physical characteristics alone, and which of those characteristics move the rating the most?</w:t>
      </w:r>
    </w:p>
    <w:p w14:paraId="23265F7A" w14:textId="77777777" w:rsidR="00144A83" w:rsidRPr="00707D78" w:rsidRDefault="002929A7" w:rsidP="00BB3547">
      <w:r>
        <w:t>Each EPC is produced by a qualified assessor, who uses the Reduced data Standard Assessment Procedure (RdSAP) for existing dwellings or the full SAP procedure for new builds (BRE, 2014). Both methods combine measured inputs with a large number of default assumptions. This introduces real uncertainty: Few et al. (2023) report inter-assessor variability of roughly five points, and Hardy and Glew (2019) document systemic errors in the underlying database. The methodology has also changed over time. Because the procedure was revised under SAP 10 (2022), certificates issued in different years are not strictly comparable. A further issue is lodgement-event selection bias, which under-represents long-tenure owner-occupied homes (Crawley et al., 2019). The temporal split and the limitations section both account for these concerns.</w:t>
      </w:r>
    </w:p>
    <w:p w14:paraId="12299C8C" w14:textId="77777777" w:rsidR="00144A83" w:rsidRPr="00707D78" w:rsidRDefault="002929A7">
      <w:pPr>
        <w:pStyle w:val="Heading1"/>
        <w:rPr>
          <w:lang w:val="en-GB"/>
        </w:rPr>
      </w:pPr>
      <w:bookmarkStart w:id="1" w:name="_Toc231919062"/>
      <w:r>
        <w:rPr>
          <w:lang w:val="en-GB"/>
        </w:rPr>
        <w:t>2. Feature Engineering</w:t>
      </w:r>
      <w:bookmarkEnd w:id="1"/>
    </w:p>
    <w:p w14:paraId="61675670" w14:textId="77777777" w:rsidR="00144A83" w:rsidRPr="00707D78" w:rsidRDefault="002929A7" w:rsidP="00BB3547">
      <w:r>
        <w:t xml:space="preserve">Feature engineering turns domain knowledge of building physics into model inputs, and nineteen features were added in total. The numerical features capture several distinct effects. CONSTRUCTION_AGE_NUM takes the midpoint year of each banded age, so ‘1930-1949’ becomes 1939, which makes the age effect monotonic. LOG_FLOOR_AREA stabilises the skewed area distribution. AREA_PER_ROOM and HEATED_ROOM_RATIO capture how intensively a dwelling is occupied. LOFT_INSULATION_MM extracts the loft depth, and FLOOR_LEVEL_NUM maps the inconsistent flats-only FLOOR_LEVEL field onto a </w:t>
      </w:r>
      <w:r>
        <w:lastRenderedPageBreak/>
        <w:t>signed-integer storey scale, where ground is 0 and basement is -1. Nine Boolean flags are extracted from the description fields using regular expressions, covering solid-brick-bare and cavity-insulated walls, no-loft and 270 mm-loft insulation, gas, electric and heat-pump heating, and single and triple glazing. Date parts capture drift in the methodology over time. Finally, POSTCODE_DISTRICT keeps only the outward code, giving a coarse and non-personal geographic feature, and the full postcode is dropped to satisfy GDPR data-minimisation.</w:t>
      </w:r>
    </w:p>
    <w:p w14:paraId="546BEDA3" w14:textId="77777777" w:rsidR="00144A83" w:rsidRPr="00707D78" w:rsidRDefault="002929A7" w:rsidP="00BB3547">
      <w:r>
        <w:t>Each feature carries a hypothesised sign, which is then testable in Sections 3.3 and 3.4. The heat-pump flag is deliberately ambiguous. Heat pumps deliver a high seasonal coefficient of performance, yet SAP is based on fuel cost, and grid electricity costs roughly three times as much per kWh as mains gas (Ofgem, 2024). The model can therefore surface this counter-intuitive interaction.</w:t>
      </w:r>
    </w:p>
    <w:p w14:paraId="4B887615" w14:textId="77777777" w:rsidR="005B7DBB" w:rsidRDefault="00CF7973" w:rsidP="00BB3547">
      <w:pPr>
        <w:spacing w:before="80" w:after="20"/>
        <w:ind w:firstLine="0"/>
      </w:pPr>
      <w:r>
        <w:rPr>
          <w:i/>
          <w:sz w:val="19"/>
        </w:rPr>
        <w:t>Listing 1. Boolean fabric flags from the description fields (src/features.py).</w:t>
      </w:r>
    </w:p>
    <w:p w14:paraId="4D26E4BC" w14:textId="77777777" w:rsidR="005B7DBB" w:rsidRDefault="00CF7973" w:rsidP="00A425F5">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pPr>
      <w:r>
        <w:rPr>
          <w:rFonts w:ascii="Consolas" w:hAnsi="Consolas"/>
          <w:color w:val="1A1A1A"/>
          <w:sz w:val="17"/>
        </w:rPr>
        <w:t># src/features.py - fabric flags parsed from the free-text *_DESCRIPTION fields</w:t>
      </w:r>
      <w:r>
        <w:rPr>
          <w:rFonts w:ascii="Consolas" w:hAnsi="Consolas"/>
          <w:color w:val="1A1A1A"/>
          <w:sz w:val="17"/>
        </w:rPr>
        <w:br/>
        <w:t>out["FLAG_CAVITY_INSULATED"] = walls.str.contains(_RE_CAVITY_INSULATED).astype("Int8")</w:t>
      </w:r>
      <w:r>
        <w:rPr>
          <w:rFonts w:ascii="Consolas" w:hAnsi="Consolas"/>
          <w:color w:val="1A1A1A"/>
          <w:sz w:val="17"/>
        </w:rPr>
        <w:br/>
        <w:t>out["FLAG_SOLID_BRICK_BARE"] = walls.str.contains(_RE_SOLID_BRICK_BARE).astype("Int8")</w:t>
      </w:r>
      <w:r>
        <w:rPr>
          <w:rFonts w:ascii="Consolas" w:hAnsi="Consolas"/>
          <w:color w:val="1A1A1A"/>
          <w:sz w:val="17"/>
        </w:rPr>
        <w:br/>
        <w:t>out["FLAG_HEAT_PUMP"]        = mainheat.str.contains(_RE_HEAT_PUMP).astype("Int8")</w:t>
      </w:r>
      <w:r>
        <w:rPr>
          <w:rFonts w:ascii="Consolas" w:hAnsi="Consolas"/>
          <w:color w:val="1A1A1A"/>
          <w:sz w:val="17"/>
        </w:rPr>
        <w:br/>
        <w:t>out["FLAG_SINGLE_GLAZED"]    = windows.str.contains(_RE_SINGLE_GLAZED).astype("Int8")</w:t>
      </w:r>
    </w:p>
    <w:p w14:paraId="6821E9B8" w14:textId="77777777" w:rsidR="00144A83" w:rsidRPr="00707D78" w:rsidRDefault="002929A7">
      <w:pPr>
        <w:pStyle w:val="Heading1"/>
        <w:rPr>
          <w:lang w:val="en-GB"/>
        </w:rPr>
      </w:pPr>
      <w:bookmarkStart w:id="2" w:name="_Toc231919063"/>
      <w:r>
        <w:rPr>
          <w:lang w:val="en-GB"/>
        </w:rPr>
        <w:t>3. Analysis</w:t>
      </w:r>
      <w:bookmarkEnd w:id="2"/>
    </w:p>
    <w:p w14:paraId="7810277C" w14:textId="77777777" w:rsidR="00144A83" w:rsidRPr="00707D78" w:rsidRDefault="002929A7" w:rsidP="00BB3547">
      <w:r>
        <w:t>The analysis moves through three stages: descriptive, then diagnostic, then predictive. Section 3.3 tests three building-physics hypotheses, and Section 3.4 evaluates the predictive champion against published baselines, using leakage-controlled cross-validation (CV) together with a temporal hold-out.</w:t>
      </w:r>
    </w:p>
    <w:p w14:paraId="1EC7B29D" w14:textId="77777777" w:rsidR="00144A83" w:rsidRPr="00707D78" w:rsidRDefault="002929A7">
      <w:pPr>
        <w:pStyle w:val="Heading2"/>
        <w:rPr>
          <w:lang w:val="en-GB"/>
        </w:rPr>
      </w:pPr>
      <w:bookmarkStart w:id="3" w:name="_Toc231919064"/>
      <w:r>
        <w:rPr>
          <w:lang w:val="en-GB"/>
        </w:rPr>
        <w:t>3.1 Data Wrangling</w:t>
      </w:r>
      <w:bookmarkEnd w:id="3"/>
    </w:p>
    <w:p w14:paraId="6E1C0088" w14:textId="77777777" w:rsidR="00144A83" w:rsidRPr="00707D78" w:rsidRDefault="002929A7" w:rsidP="00BB3547">
      <w:r>
        <w:t>The raw certificates.csv file holds 76,430 rows and 93 columns for Oxford. Loading applies explicit dtype hints and normalises the register’s ‘no data’ sentinel tokens (NODATA!, NO DATA!, INVALID!) to NaN, so that these tokens neither pollute the categorical encoders nor slip past the missingness indicators. The flats-only FLOOR_LEVEL field is recorded in several incompatible formats. Rather than discard it, the field is converted to a signed-integer storey value (FLOOR_LEVEL_NUM), and any values that cannot be recognised are set to NaN.</w:t>
      </w:r>
    </w:p>
    <w:p w14:paraId="434D56E5" w14:textId="77777777" w:rsidR="007F1BFB" w:rsidRDefault="002929A7" w:rsidP="00BB3547">
      <w:r>
        <w:t>Five cleaning operations are applied as pure functions, which keeps the process reproducible.</w:t>
      </w:r>
    </w:p>
    <w:p w14:paraId="090B61D7" w14:textId="77777777" w:rsidR="0011729C" w:rsidRDefault="002929A7" w:rsidP="00A425F5">
      <w:pPr>
        <w:pStyle w:val="ListParagraph"/>
        <w:numPr>
          <w:ilvl w:val="0"/>
          <w:numId w:val="2"/>
        </w:numPr>
        <w:spacing w:after="160" w:line="360" w:lineRule="auto"/>
        <w:jc w:val="both"/>
      </w:pPr>
      <w:r>
        <w:t>Filter to LOCAL_AUTHORITY == ‘E07000178’.</w:t>
      </w:r>
    </w:p>
    <w:p w14:paraId="1189664B" w14:textId="77777777" w:rsidR="00385A98" w:rsidRDefault="002929A7" w:rsidP="00A425F5">
      <w:pPr>
        <w:pStyle w:val="ListParagraph"/>
        <w:numPr>
          <w:ilvl w:val="0"/>
          <w:numId w:val="2"/>
        </w:numPr>
        <w:spacing w:after="160" w:line="360" w:lineRule="auto"/>
        <w:jc w:val="both"/>
      </w:pPr>
      <w:r>
        <w:lastRenderedPageBreak/>
        <w:t>Coerce numeric columns and normalise the sentinel tokens, so that non-coercible strings and ‘no data’ tokens become NaN.</w:t>
      </w:r>
    </w:p>
    <w:p w14:paraId="06E536A8" w14:textId="0525ADCE" w:rsidR="0011729C" w:rsidRDefault="002929A7" w:rsidP="00A425F5">
      <w:pPr>
        <w:pStyle w:val="ListParagraph"/>
        <w:numPr>
          <w:ilvl w:val="0"/>
          <w:numId w:val="2"/>
        </w:numPr>
        <w:spacing w:after="160" w:line="360" w:lineRule="auto"/>
        <w:jc w:val="both"/>
      </w:pPr>
      <w:r>
        <w:t>Deduplicate to one EPC per Unique Property Reference Number (UPRN), keeping the most recent certificate and using completeness as a tie-break. This step matters because a random split of an un-deduplicated frame would leak the same property into both the training and test sets.</w:t>
      </w:r>
    </w:p>
    <w:p w14:paraId="226E754B" w14:textId="77777777" w:rsidR="00864F89" w:rsidRDefault="002929A7" w:rsidP="00A425F5">
      <w:pPr>
        <w:pStyle w:val="ListParagraph"/>
        <w:numPr>
          <w:ilvl w:val="0"/>
          <w:numId w:val="2"/>
        </w:numPr>
        <w:spacing w:after="160" w:line="360" w:lineRule="auto"/>
        <w:jc w:val="both"/>
      </w:pPr>
      <w:r>
        <w:t>Cap TOTAL_FLOOR_AREA at the 99.5th percentile, drop rows below 10 m2, set impossible zero rooms or zero area to NaN, and flag negative net consumption as HAS_ONSITE_GENERATION (solar PV).</w:t>
      </w:r>
    </w:p>
    <w:p w14:paraId="029682CF" w14:textId="77777777" w:rsidR="00144A83" w:rsidRPr="00707D78" w:rsidRDefault="002929A7" w:rsidP="00A425F5">
      <w:pPr>
        <w:pStyle w:val="ListParagraph"/>
        <w:numPr>
          <w:ilvl w:val="0"/>
          <w:numId w:val="2"/>
        </w:numPr>
        <w:spacing w:after="160" w:line="360" w:lineRule="auto"/>
        <w:jc w:val="both"/>
      </w:pPr>
      <w:r>
        <w:t>Remove rows whose target is missing or falls outside the A-to-G scale. The cleaned frame of 49,442 certificates is saved to data/processed/oxford_epc_clean.csv, with PII and redundant administrative columns dropped in line with GDPR Article 5.</w:t>
      </w:r>
    </w:p>
    <w:p w14:paraId="6324FA64" w14:textId="77777777" w:rsidR="00144A83" w:rsidRPr="00707D78" w:rsidRDefault="002929A7" w:rsidP="009B1C3A">
      <w:r>
        <w:t>Missingness here is informative rather than random. FLAT_STOREY_COUNT and HEAT_LOSS_CORRIDOR are structurally NaN for houses, and UNHEATED_CORRIDOR_LENGTH is NaN unless an unheated corridor actually exists. Instead of dropping these moderately incomplete columns, each field above 5% missingness is given a binary &lt;COL&gt;_IS_MISSING indicator, so the tree can learn the structural meaning of the gap. Only columns that are at least 99.9% empty are dropped. The gradient-booster handles the remaining NaNs natively, while the linear and forest baselines median-impute, doing so within the training fold only.</w:t>
      </w:r>
    </w:p>
    <w:p w14:paraId="1CA6BB34" w14:textId="77777777" w:rsidR="006C3A14" w:rsidRDefault="00564781" w:rsidP="008F6279">
      <w:pPr>
        <w:spacing w:before="80" w:after="20"/>
        <w:ind w:firstLine="0"/>
      </w:pPr>
      <w:r>
        <w:rPr>
          <w:i/>
          <w:sz w:val="19"/>
        </w:rPr>
        <w:t>Listing 2. Quality-aware deduplication to one certificate per dwelling (src/data.py).</w:t>
      </w:r>
    </w:p>
    <w:p w14:paraId="7B0F8521" w14:textId="77777777" w:rsidR="00640031" w:rsidRDefault="00564781" w:rsidP="00A425F5">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rPr>
          <w:rFonts w:ascii="Consolas" w:hAnsi="Consolas"/>
          <w:color w:val="1A1A1A"/>
          <w:sz w:val="17"/>
        </w:rPr>
      </w:pPr>
      <w:r>
        <w:rPr>
          <w:rFonts w:ascii="Consolas" w:hAnsi="Consolas"/>
          <w:color w:val="1A1A1A"/>
          <w:sz w:val="17"/>
        </w:rPr>
        <w:t># src/data.py - one EPC per dwelling (UPRN): newest, with completeness as tie-break</w:t>
      </w:r>
      <w:r>
        <w:rPr>
          <w:rFonts w:ascii="Consolas" w:hAnsi="Consolas"/>
          <w:color w:val="1A1A1A"/>
          <w:sz w:val="17"/>
        </w:rPr>
        <w:br/>
        <w:t>year            = pd.to_datetime(keyed["INSPECTION_DATE"]).dt.year.fillna(2007)</w:t>
      </w:r>
      <w:r>
        <w:rPr>
          <w:rFonts w:ascii="Consolas" w:hAnsi="Consolas"/>
          <w:color w:val="1A1A1A"/>
          <w:sz w:val="17"/>
        </w:rPr>
        <w:br/>
        <w:t>completeness    = keyed[CORE_FIELDS].notna().sum(axis=1)</w:t>
      </w:r>
      <w:r>
        <w:rPr>
          <w:rFonts w:ascii="Consolas" w:hAnsi="Consolas"/>
          <w:color w:val="1A1A1A"/>
          <w:sz w:val="17"/>
        </w:rPr>
        <w:br/>
        <w:t>keyed["_score"] = (year - 2007) * 10 + completeness         # chronology dominates ties</w:t>
      </w:r>
      <w:r>
        <w:rPr>
          <w:rFonts w:ascii="Consolas" w:hAnsi="Consolas"/>
          <w:color w:val="1A1A1A"/>
          <w:sz w:val="17"/>
        </w:rPr>
        <w:br/>
        <w:t xml:space="preserve">clean </w:t>
      </w:r>
      <w:r w:rsidR="00640031">
        <w:rPr>
          <w:rFonts w:ascii="Consolas" w:hAnsi="Consolas"/>
          <w:color w:val="1A1A1A"/>
          <w:sz w:val="17"/>
        </w:rPr>
        <w:t xml:space="preserve">          </w:t>
      </w:r>
      <w:r>
        <w:rPr>
          <w:rFonts w:ascii="Consolas" w:hAnsi="Consolas"/>
          <w:color w:val="1A1A1A"/>
          <w:sz w:val="17"/>
        </w:rPr>
        <w:t xml:space="preserve">= (keyed.sort_values(["UPRN", "_score"]).drop_duplicates("UPRN", keep="last"))          </w:t>
      </w:r>
      <w:r w:rsidR="00640031">
        <w:rPr>
          <w:rFonts w:ascii="Consolas" w:hAnsi="Consolas"/>
          <w:color w:val="1A1A1A"/>
          <w:sz w:val="17"/>
        </w:rPr>
        <w:t xml:space="preserve">   </w:t>
      </w:r>
    </w:p>
    <w:p w14:paraId="43688172" w14:textId="5A59701D" w:rsidR="006C3A14" w:rsidRDefault="00640031" w:rsidP="00A425F5">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jc w:val="left"/>
      </w:pPr>
      <w:r>
        <w:rPr>
          <w:rFonts w:ascii="Consolas" w:hAnsi="Consolas"/>
          <w:color w:val="1A1A1A"/>
          <w:sz w:val="17"/>
        </w:rPr>
        <w:t xml:space="preserve">                                                            </w:t>
      </w:r>
      <w:r w:rsidR="00564781">
        <w:rPr>
          <w:rFonts w:ascii="Consolas" w:hAnsi="Consolas"/>
          <w:color w:val="1A1A1A"/>
          <w:sz w:val="17"/>
        </w:rPr>
        <w:t># best row per dwelling</w:t>
      </w:r>
    </w:p>
    <w:p w14:paraId="1B3ADE2A" w14:textId="77777777" w:rsidR="00144A83" w:rsidRPr="00707D78" w:rsidRDefault="002929A7">
      <w:pPr>
        <w:spacing w:before="120" w:after="60"/>
        <w:jc w:val="center"/>
      </w:pPr>
      <w:r>
        <w:rPr>
          <w:noProof/>
        </w:rPr>
        <w:lastRenderedPageBreak/>
        <w:drawing>
          <wp:inline distT="0" distB="0" distL="0" distR="0" wp14:anchorId="4EA4D907" wp14:editId="2526B16B">
            <wp:extent cx="5029200" cy="3095625"/>
            <wp:effectExtent l="0" t="0" r="0" b="0"/>
            <wp:docPr id="1390373553" name="fig_missingness" descr="Top 20 features by missingness in the cleaned Oxford frame. Structural NaN dominates: flat-only fields are absent for houses by design." title="Top 20 features by missingness in the cleaned Oxford frame. Structural NaN dominates: flat-only fields are absent for houses b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095625"/>
                    </a:xfrm>
                    <a:prstGeom prst="rect">
                      <a:avLst/>
                    </a:prstGeom>
                  </pic:spPr>
                </pic:pic>
              </a:graphicData>
            </a:graphic>
          </wp:inline>
        </w:drawing>
      </w:r>
    </w:p>
    <w:p w14:paraId="3C69AC60" w14:textId="34305516"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1</w:t>
      </w:r>
      <w:r>
        <w:rPr>
          <w:lang w:val="en-GB"/>
        </w:rPr>
        <w:fldChar w:fldCharType="end"/>
      </w:r>
      <w:r>
        <w:rPr>
          <w:lang w:val="en-GB"/>
        </w:rPr>
        <w:t xml:space="preserve">. </w:t>
      </w:r>
      <w:bookmarkStart w:id="4" w:name="_Toc231919072"/>
      <w:r>
        <w:rPr>
          <w:lang w:val="en-GB"/>
        </w:rPr>
        <w:t>Top 20 features by missingness in the cleaned Oxford frame. Structural NaN dominates: flat-only fields are absent for houses by design.</w:t>
      </w:r>
      <w:bookmarkEnd w:id="4"/>
    </w:p>
    <w:p w14:paraId="3D06C4C7" w14:textId="77777777" w:rsidR="00144A83" w:rsidRPr="00707D78" w:rsidRDefault="002929A7">
      <w:pPr>
        <w:pStyle w:val="Heading2"/>
        <w:rPr>
          <w:lang w:val="en-GB"/>
        </w:rPr>
      </w:pPr>
      <w:bookmarkStart w:id="5" w:name="_Toc231919065"/>
      <w:r>
        <w:rPr>
          <w:lang w:val="en-GB"/>
        </w:rPr>
        <w:t>3.2 Descriptive Analytics</w:t>
      </w:r>
      <w:bookmarkEnd w:id="5"/>
    </w:p>
    <w:p w14:paraId="47B7E155" w14:textId="77777777" w:rsidR="00144A83" w:rsidRPr="00707D78" w:rsidRDefault="002929A7" w:rsidP="00A425F5">
      <w:r>
        <w:t>The current rating distribution (Figure 2) is dominated by bands C and D, which together make up the substantial majority of Oxford’s lodged stock. The A and B tail is thin. The F and G tail is also thin, though non-trivial, and it is concentrated in pre-1900 conversions and listed buildings. The main modelling challenge is this class imbalance, because a naive classifier that simply maximises accuracy collapses to always predicting D. The pipeline therefore uses class-balanced training and reports Quadratic Weighted Kappa (QWK), a metric that penalises distant misclassifications more heavily than nearby ones and so provides the right inductive bias for an ordinal target.</w:t>
      </w:r>
    </w:p>
    <w:p w14:paraId="744C47F4" w14:textId="77777777" w:rsidR="00144A83" w:rsidRPr="00707D78" w:rsidRDefault="002929A7">
      <w:pPr>
        <w:spacing w:before="120" w:after="60"/>
        <w:jc w:val="center"/>
      </w:pPr>
      <w:r>
        <w:rPr>
          <w:noProof/>
        </w:rPr>
        <w:lastRenderedPageBreak/>
        <w:drawing>
          <wp:inline distT="0" distB="0" distL="0" distR="0" wp14:anchorId="58712179" wp14:editId="071E035D">
            <wp:extent cx="5029200" cy="2886075"/>
            <wp:effectExtent l="0" t="0" r="0" b="0"/>
            <wp:docPr id="1749983338" name="fig_rating_distribution" descr="Distribution of CURRENT_ENERGY_RATING across the cleaned Oxford frame. Bands C and D dominate, while bands A and G are sparsely populated." title="Distribution of CURRENT_ENERGY_RATING across the cleaned Oxford frame. Bands C and D dominate, while bands A and G are sparsely pop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886075"/>
                    </a:xfrm>
                    <a:prstGeom prst="rect">
                      <a:avLst/>
                    </a:prstGeom>
                  </pic:spPr>
                </pic:pic>
              </a:graphicData>
            </a:graphic>
          </wp:inline>
        </w:drawing>
      </w:r>
    </w:p>
    <w:p w14:paraId="2D713FD2" w14:textId="65B553A8"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2</w:t>
      </w:r>
      <w:r>
        <w:rPr>
          <w:lang w:val="en-GB"/>
        </w:rPr>
        <w:fldChar w:fldCharType="end"/>
      </w:r>
      <w:r>
        <w:rPr>
          <w:lang w:val="en-GB"/>
        </w:rPr>
        <w:t xml:space="preserve">. </w:t>
      </w:r>
      <w:bookmarkStart w:id="6" w:name="_Toc231919073"/>
      <w:r>
        <w:rPr>
          <w:lang w:val="en-GB"/>
        </w:rPr>
        <w:t>Distribution of CURRENT_ENERGY_RATING across the cleaned Oxford frame. Bands C and D dominate, while bands A and G are sparsely populated.</w:t>
      </w:r>
      <w:bookmarkEnd w:id="6"/>
    </w:p>
    <w:p w14:paraId="6CAA2F95" w14:textId="77777777" w:rsidR="00144A83" w:rsidRPr="00707D78" w:rsidRDefault="002929A7" w:rsidP="009B1C3A">
      <w:r>
        <w:t>Lodgement volume by inspection year (Figure 3) shows three clear patterns: steady growth from 2008 onward as EPC requirements expanded, a sharp COVID-19 dip in 2020, and a spike across 2022 to 2023 that coincides with sales activity driven by the energy price shock. This time-varying pattern is what motivates the temporal split, since a temporal split gives a more honest estimate of generalisation than a random one.</w:t>
      </w:r>
    </w:p>
    <w:p w14:paraId="57F04E3B" w14:textId="77777777" w:rsidR="00144A83" w:rsidRPr="00707D78" w:rsidRDefault="002929A7">
      <w:pPr>
        <w:spacing w:before="120" w:after="60"/>
        <w:jc w:val="center"/>
      </w:pPr>
      <w:r>
        <w:rPr>
          <w:noProof/>
        </w:rPr>
        <w:drawing>
          <wp:inline distT="0" distB="0" distL="0" distR="0" wp14:anchorId="2573C98C" wp14:editId="6607D3A1">
            <wp:extent cx="5029200" cy="2466975"/>
            <wp:effectExtent l="0" t="0" r="0" b="0"/>
            <wp:docPr id="1283824425" name="fig_temporal_volume" descr="EPC lodgements by inspection year. Notable features include the 2020 COVID-19 dip and the 2022 to 2023 spike during the energy price shock." title="EPC lodgements by inspection year. Notable features include the 2020 COVID-19 dip and the 2022 to 2023 spike during the energy price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466975"/>
                    </a:xfrm>
                    <a:prstGeom prst="rect">
                      <a:avLst/>
                    </a:prstGeom>
                  </pic:spPr>
                </pic:pic>
              </a:graphicData>
            </a:graphic>
          </wp:inline>
        </w:drawing>
      </w:r>
    </w:p>
    <w:p w14:paraId="38F604E0" w14:textId="47A96617"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3</w:t>
      </w:r>
      <w:r>
        <w:rPr>
          <w:lang w:val="en-GB"/>
        </w:rPr>
        <w:fldChar w:fldCharType="end"/>
      </w:r>
      <w:r>
        <w:rPr>
          <w:lang w:val="en-GB"/>
        </w:rPr>
        <w:t xml:space="preserve">. </w:t>
      </w:r>
      <w:bookmarkStart w:id="7" w:name="_Toc231919074"/>
      <w:r>
        <w:rPr>
          <w:lang w:val="en-GB"/>
        </w:rPr>
        <w:t>EPC lodgements by inspection year. Notable features include the 2020 COVID-19 dip and the 2022 to 2023 spike during the energy price shock.</w:t>
      </w:r>
      <w:bookmarkEnd w:id="7"/>
    </w:p>
    <w:p w14:paraId="5125DE3D" w14:textId="77777777" w:rsidR="00144A83" w:rsidRPr="00707D78" w:rsidRDefault="002929A7" w:rsidP="009B1C3A">
      <w:r>
        <w:t xml:space="preserve">Cross-tabulating property type with built form (Figure 4) confirms Oxford’s distinctive stock profile. Terraces and semi-detached houses dominate, accompanied by a substantial share of purpose-built and converted flats that reflect the city’s student and young-professional rental </w:t>
      </w:r>
      <w:r>
        <w:lastRenderedPageBreak/>
        <w:t>market. Detached dwellings are comparatively rare. Summary statistics for the key numeric features are tabulated in reports/summary_stats.csv.</w:t>
      </w:r>
    </w:p>
    <w:p w14:paraId="34CBB456" w14:textId="77777777" w:rsidR="00144A83" w:rsidRPr="00707D78" w:rsidRDefault="002929A7">
      <w:pPr>
        <w:spacing w:before="120" w:after="60"/>
        <w:jc w:val="center"/>
      </w:pPr>
      <w:r>
        <w:rPr>
          <w:noProof/>
        </w:rPr>
        <w:drawing>
          <wp:inline distT="0" distB="0" distL="0" distR="0" wp14:anchorId="554EA42C" wp14:editId="44FD2046">
            <wp:extent cx="5029200" cy="2362200"/>
            <wp:effectExtent l="0" t="0" r="0" b="0"/>
            <wp:docPr id="362565482" name="fig_property_built_form" descr="Joint distribution of property type and built form for cleaned Oxford certificates." title="Joint distribution of property type and built form for cleaned Oxford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2362200"/>
                    </a:xfrm>
                    <a:prstGeom prst="rect">
                      <a:avLst/>
                    </a:prstGeom>
                  </pic:spPr>
                </pic:pic>
              </a:graphicData>
            </a:graphic>
          </wp:inline>
        </w:drawing>
      </w:r>
    </w:p>
    <w:p w14:paraId="05D2097C" w14:textId="4C3D6351"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4</w:t>
      </w:r>
      <w:r>
        <w:rPr>
          <w:lang w:val="en-GB"/>
        </w:rPr>
        <w:fldChar w:fldCharType="end"/>
      </w:r>
      <w:r>
        <w:rPr>
          <w:lang w:val="en-GB"/>
        </w:rPr>
        <w:t xml:space="preserve">. </w:t>
      </w:r>
      <w:bookmarkStart w:id="8" w:name="_Toc231919075"/>
      <w:r>
        <w:rPr>
          <w:lang w:val="en-GB"/>
        </w:rPr>
        <w:t>Joint distribution of property type and built form for cleaned Oxford certificates.</w:t>
      </w:r>
      <w:bookmarkEnd w:id="8"/>
    </w:p>
    <w:p w14:paraId="65C27D09" w14:textId="77777777" w:rsidR="00144A83" w:rsidRPr="00707D78" w:rsidRDefault="002929A7" w:rsidP="009B1C3A">
      <w:r>
        <w:t>Property type is a strong discriminator of efficiency. Flats record the highest mean SAP at 72.0 (band C), because shared walls reduce heat loss, ahead of maisonettes at 67.2 and houses at 65.4 (band D); the eight park homes are the worst at 49.0 (band E). Within each property type, mean SAP rises monotonically across the construction eras, climbing by roughly 25 points from pre-1900 to post-2007 and tracking successive Building Regulations. The champion model performs consistently across these types, with a hold-out QWK of 0.78 for houses, 0.78 for maisonettes, 0.736 for bungalows and 0.714 for flats.</w:t>
      </w:r>
    </w:p>
    <w:p w14:paraId="7143BBCD" w14:textId="77777777" w:rsidR="00144A83" w:rsidRPr="00707D78" w:rsidRDefault="002929A7">
      <w:pPr>
        <w:spacing w:before="60" w:after="80"/>
        <w:jc w:val="center"/>
      </w:pPr>
      <w:r>
        <w:rPr>
          <w:i/>
          <w:iCs/>
          <w:sz w:val="20"/>
          <w:szCs w:val="20"/>
        </w:rPr>
        <w:t>Table 1. Mean SAP score by property type and construction era.</w:t>
      </w:r>
    </w:p>
    <w:tbl>
      <w:tblPr>
        <w:tblStyle w:val="TableGrid"/>
        <w:tblW w:w="9026" w:type="dxa"/>
        <w:tblLook w:val="0000" w:firstRow="0" w:lastRow="0" w:firstColumn="0" w:lastColumn="0" w:noHBand="0" w:noVBand="0"/>
      </w:tblPr>
      <w:tblGrid>
        <w:gridCol w:w="2426"/>
        <w:gridCol w:w="1650"/>
        <w:gridCol w:w="1650"/>
        <w:gridCol w:w="1650"/>
        <w:gridCol w:w="1650"/>
      </w:tblGrid>
      <w:tr w:rsidR="00144A83" w:rsidRPr="00707D78" w14:paraId="7ABA5FAE" w14:textId="77777777" w:rsidTr="009B1C3A">
        <w:tc>
          <w:tcPr>
            <w:tcW w:w="2426" w:type="dxa"/>
            <w:shd w:val="clear" w:color="auto" w:fill="0D0D0D" w:themeFill="text1" w:themeFillTint="F2"/>
          </w:tcPr>
          <w:p w14:paraId="4E889923" w14:textId="77777777" w:rsidR="00144A83" w:rsidRPr="00707D78" w:rsidRDefault="002929A7" w:rsidP="009B1C3A">
            <w:pPr>
              <w:ind w:firstLine="0"/>
              <w:jc w:val="center"/>
            </w:pPr>
            <w:r>
              <w:rPr>
                <w:b/>
                <w:bCs/>
                <w:color w:val="FFFFFF"/>
                <w:sz w:val="22"/>
                <w:szCs w:val="22"/>
              </w:rPr>
              <w:t>Construction era</w:t>
            </w:r>
          </w:p>
        </w:tc>
        <w:tc>
          <w:tcPr>
            <w:tcW w:w="1650" w:type="dxa"/>
            <w:shd w:val="clear" w:color="auto" w:fill="0D0D0D" w:themeFill="text1" w:themeFillTint="F2"/>
          </w:tcPr>
          <w:p w14:paraId="6967C2AE" w14:textId="77777777" w:rsidR="00144A83" w:rsidRPr="00707D78" w:rsidRDefault="002929A7" w:rsidP="009B1C3A">
            <w:pPr>
              <w:ind w:firstLine="0"/>
              <w:jc w:val="center"/>
            </w:pPr>
            <w:r>
              <w:rPr>
                <w:b/>
                <w:bCs/>
                <w:color w:val="FFFFFF"/>
                <w:sz w:val="22"/>
                <w:szCs w:val="22"/>
              </w:rPr>
              <w:t>Flat</w:t>
            </w:r>
          </w:p>
        </w:tc>
        <w:tc>
          <w:tcPr>
            <w:tcW w:w="1650" w:type="dxa"/>
            <w:shd w:val="clear" w:color="auto" w:fill="0D0D0D" w:themeFill="text1" w:themeFillTint="F2"/>
          </w:tcPr>
          <w:p w14:paraId="4CA48DCA" w14:textId="77777777" w:rsidR="00144A83" w:rsidRPr="00707D78" w:rsidRDefault="002929A7" w:rsidP="009B1C3A">
            <w:pPr>
              <w:ind w:firstLine="0"/>
              <w:jc w:val="left"/>
            </w:pPr>
            <w:r>
              <w:rPr>
                <w:b/>
                <w:bCs/>
                <w:color w:val="FFFFFF"/>
                <w:sz w:val="22"/>
                <w:szCs w:val="22"/>
              </w:rPr>
              <w:t>House</w:t>
            </w:r>
          </w:p>
        </w:tc>
        <w:tc>
          <w:tcPr>
            <w:tcW w:w="1650" w:type="dxa"/>
            <w:shd w:val="clear" w:color="auto" w:fill="0D0D0D" w:themeFill="text1" w:themeFillTint="F2"/>
          </w:tcPr>
          <w:p w14:paraId="5FE04C88" w14:textId="77777777" w:rsidR="00144A83" w:rsidRPr="00707D78" w:rsidRDefault="002929A7" w:rsidP="009B1C3A">
            <w:pPr>
              <w:ind w:firstLine="0"/>
              <w:jc w:val="left"/>
            </w:pPr>
            <w:r>
              <w:rPr>
                <w:b/>
                <w:bCs/>
                <w:color w:val="FFFFFF"/>
                <w:sz w:val="22"/>
                <w:szCs w:val="22"/>
              </w:rPr>
              <w:t>Bungalow</w:t>
            </w:r>
          </w:p>
        </w:tc>
        <w:tc>
          <w:tcPr>
            <w:tcW w:w="1650" w:type="dxa"/>
            <w:shd w:val="clear" w:color="auto" w:fill="0D0D0D" w:themeFill="text1" w:themeFillTint="F2"/>
          </w:tcPr>
          <w:p w14:paraId="3AE4E88E" w14:textId="77777777" w:rsidR="00144A83" w:rsidRPr="00707D78" w:rsidRDefault="002929A7" w:rsidP="009B1C3A">
            <w:pPr>
              <w:ind w:firstLine="0"/>
              <w:jc w:val="left"/>
            </w:pPr>
            <w:r>
              <w:rPr>
                <w:b/>
                <w:bCs/>
                <w:color w:val="FFFFFF"/>
                <w:sz w:val="22"/>
                <w:szCs w:val="22"/>
              </w:rPr>
              <w:t>Maisonette</w:t>
            </w:r>
          </w:p>
        </w:tc>
      </w:tr>
      <w:tr w:rsidR="00144A83" w:rsidRPr="00707D78" w14:paraId="3EC74FD0" w14:textId="77777777" w:rsidTr="009B1C3A">
        <w:tc>
          <w:tcPr>
            <w:tcW w:w="2426" w:type="dxa"/>
          </w:tcPr>
          <w:p w14:paraId="5AF59D15" w14:textId="77777777" w:rsidR="00144A83" w:rsidRPr="00707D78" w:rsidRDefault="002929A7" w:rsidP="009B1C3A">
            <w:pPr>
              <w:ind w:firstLine="0"/>
              <w:jc w:val="center"/>
            </w:pPr>
            <w:r>
              <w:rPr>
                <w:color w:val="000000"/>
                <w:sz w:val="22"/>
                <w:szCs w:val="22"/>
              </w:rPr>
              <w:t>pre-1900</w:t>
            </w:r>
          </w:p>
        </w:tc>
        <w:tc>
          <w:tcPr>
            <w:tcW w:w="1650" w:type="dxa"/>
          </w:tcPr>
          <w:p w14:paraId="1B9806AC" w14:textId="77777777" w:rsidR="00144A83" w:rsidRPr="00707D78" w:rsidRDefault="002929A7" w:rsidP="009B1C3A">
            <w:pPr>
              <w:ind w:firstLine="0"/>
              <w:jc w:val="center"/>
            </w:pPr>
            <w:r>
              <w:rPr>
                <w:color w:val="000000"/>
                <w:sz w:val="22"/>
                <w:szCs w:val="22"/>
              </w:rPr>
              <w:t>61.0</w:t>
            </w:r>
          </w:p>
        </w:tc>
        <w:tc>
          <w:tcPr>
            <w:tcW w:w="1650" w:type="dxa"/>
          </w:tcPr>
          <w:p w14:paraId="3244B85F" w14:textId="77777777" w:rsidR="00144A83" w:rsidRPr="00707D78" w:rsidRDefault="002929A7" w:rsidP="009B1C3A">
            <w:pPr>
              <w:ind w:firstLine="0"/>
              <w:jc w:val="center"/>
            </w:pPr>
            <w:r>
              <w:rPr>
                <w:color w:val="000000"/>
                <w:sz w:val="22"/>
                <w:szCs w:val="22"/>
              </w:rPr>
              <w:t>58.1</w:t>
            </w:r>
          </w:p>
        </w:tc>
        <w:tc>
          <w:tcPr>
            <w:tcW w:w="1650" w:type="dxa"/>
          </w:tcPr>
          <w:p w14:paraId="1161DDB8" w14:textId="77777777" w:rsidR="00144A83" w:rsidRPr="00707D78" w:rsidRDefault="002929A7" w:rsidP="009B1C3A">
            <w:pPr>
              <w:ind w:firstLine="0"/>
              <w:jc w:val="center"/>
            </w:pPr>
            <w:r>
              <w:rPr>
                <w:color w:val="000000"/>
                <w:sz w:val="22"/>
                <w:szCs w:val="22"/>
              </w:rPr>
              <w:t>44.7</w:t>
            </w:r>
          </w:p>
        </w:tc>
        <w:tc>
          <w:tcPr>
            <w:tcW w:w="1650" w:type="dxa"/>
          </w:tcPr>
          <w:p w14:paraId="7283A113" w14:textId="77777777" w:rsidR="00144A83" w:rsidRPr="00707D78" w:rsidRDefault="002929A7" w:rsidP="009B1C3A">
            <w:pPr>
              <w:ind w:firstLine="0"/>
              <w:jc w:val="center"/>
            </w:pPr>
            <w:r>
              <w:rPr>
                <w:color w:val="000000"/>
                <w:sz w:val="22"/>
                <w:szCs w:val="22"/>
              </w:rPr>
              <w:t>57.7</w:t>
            </w:r>
          </w:p>
        </w:tc>
      </w:tr>
      <w:tr w:rsidR="00144A83" w:rsidRPr="00707D78" w14:paraId="6F773738" w14:textId="77777777" w:rsidTr="009B1C3A">
        <w:tc>
          <w:tcPr>
            <w:tcW w:w="2426" w:type="dxa"/>
          </w:tcPr>
          <w:p w14:paraId="7F4DA66A" w14:textId="77777777" w:rsidR="00144A83" w:rsidRPr="00707D78" w:rsidRDefault="002929A7" w:rsidP="009B1C3A">
            <w:pPr>
              <w:ind w:firstLine="0"/>
              <w:jc w:val="center"/>
            </w:pPr>
            <w:r>
              <w:rPr>
                <w:color w:val="000000"/>
                <w:sz w:val="22"/>
                <w:szCs w:val="22"/>
              </w:rPr>
              <w:t>1900-29</w:t>
            </w:r>
          </w:p>
        </w:tc>
        <w:tc>
          <w:tcPr>
            <w:tcW w:w="1650" w:type="dxa"/>
          </w:tcPr>
          <w:p w14:paraId="60F63820" w14:textId="77777777" w:rsidR="00144A83" w:rsidRPr="00707D78" w:rsidRDefault="002929A7" w:rsidP="009B1C3A">
            <w:pPr>
              <w:ind w:firstLine="0"/>
              <w:jc w:val="center"/>
            </w:pPr>
            <w:r>
              <w:rPr>
                <w:color w:val="000000"/>
                <w:sz w:val="22"/>
                <w:szCs w:val="22"/>
              </w:rPr>
              <w:t>62.9</w:t>
            </w:r>
          </w:p>
        </w:tc>
        <w:tc>
          <w:tcPr>
            <w:tcW w:w="1650" w:type="dxa"/>
          </w:tcPr>
          <w:p w14:paraId="60D41B22" w14:textId="77777777" w:rsidR="00144A83" w:rsidRPr="00707D78" w:rsidRDefault="002929A7" w:rsidP="009B1C3A">
            <w:pPr>
              <w:ind w:firstLine="0"/>
              <w:jc w:val="center"/>
            </w:pPr>
            <w:r>
              <w:rPr>
                <w:color w:val="000000"/>
                <w:sz w:val="22"/>
                <w:szCs w:val="22"/>
              </w:rPr>
              <w:t>59.6</w:t>
            </w:r>
          </w:p>
        </w:tc>
        <w:tc>
          <w:tcPr>
            <w:tcW w:w="1650" w:type="dxa"/>
          </w:tcPr>
          <w:p w14:paraId="4421DCB0" w14:textId="77777777" w:rsidR="00144A83" w:rsidRPr="00707D78" w:rsidRDefault="002929A7" w:rsidP="009B1C3A">
            <w:pPr>
              <w:ind w:firstLine="0"/>
              <w:jc w:val="center"/>
            </w:pPr>
            <w:r>
              <w:rPr>
                <w:color w:val="000000"/>
                <w:sz w:val="22"/>
                <w:szCs w:val="22"/>
              </w:rPr>
              <w:t>56.4</w:t>
            </w:r>
          </w:p>
        </w:tc>
        <w:tc>
          <w:tcPr>
            <w:tcW w:w="1650" w:type="dxa"/>
          </w:tcPr>
          <w:p w14:paraId="621C3702" w14:textId="77777777" w:rsidR="00144A83" w:rsidRPr="00707D78" w:rsidRDefault="002929A7" w:rsidP="009B1C3A">
            <w:pPr>
              <w:ind w:firstLine="0"/>
              <w:jc w:val="center"/>
            </w:pPr>
            <w:r>
              <w:rPr>
                <w:color w:val="000000"/>
                <w:sz w:val="22"/>
                <w:szCs w:val="22"/>
              </w:rPr>
              <w:t>60.3</w:t>
            </w:r>
          </w:p>
        </w:tc>
      </w:tr>
      <w:tr w:rsidR="00144A83" w:rsidRPr="00707D78" w14:paraId="4F1DE36A" w14:textId="77777777" w:rsidTr="009B1C3A">
        <w:tc>
          <w:tcPr>
            <w:tcW w:w="2426" w:type="dxa"/>
          </w:tcPr>
          <w:p w14:paraId="4B8E43F9" w14:textId="77777777" w:rsidR="00144A83" w:rsidRPr="00707D78" w:rsidRDefault="002929A7" w:rsidP="009B1C3A">
            <w:pPr>
              <w:ind w:firstLine="0"/>
              <w:jc w:val="center"/>
            </w:pPr>
            <w:r>
              <w:rPr>
                <w:color w:val="000000"/>
                <w:sz w:val="22"/>
                <w:szCs w:val="22"/>
              </w:rPr>
              <w:t>1930-49</w:t>
            </w:r>
          </w:p>
        </w:tc>
        <w:tc>
          <w:tcPr>
            <w:tcW w:w="1650" w:type="dxa"/>
          </w:tcPr>
          <w:p w14:paraId="2BD27F33" w14:textId="77777777" w:rsidR="00144A83" w:rsidRPr="00707D78" w:rsidRDefault="002929A7" w:rsidP="009B1C3A">
            <w:pPr>
              <w:ind w:firstLine="0"/>
              <w:jc w:val="center"/>
            </w:pPr>
            <w:r>
              <w:rPr>
                <w:color w:val="000000"/>
                <w:sz w:val="22"/>
                <w:szCs w:val="22"/>
              </w:rPr>
              <w:t>65.9</w:t>
            </w:r>
          </w:p>
        </w:tc>
        <w:tc>
          <w:tcPr>
            <w:tcW w:w="1650" w:type="dxa"/>
          </w:tcPr>
          <w:p w14:paraId="456695E7" w14:textId="77777777" w:rsidR="00144A83" w:rsidRPr="00707D78" w:rsidRDefault="002929A7" w:rsidP="009B1C3A">
            <w:pPr>
              <w:ind w:firstLine="0"/>
              <w:jc w:val="center"/>
            </w:pPr>
            <w:r>
              <w:rPr>
                <w:color w:val="000000"/>
                <w:sz w:val="22"/>
                <w:szCs w:val="22"/>
              </w:rPr>
              <w:t>62.1</w:t>
            </w:r>
          </w:p>
        </w:tc>
        <w:tc>
          <w:tcPr>
            <w:tcW w:w="1650" w:type="dxa"/>
          </w:tcPr>
          <w:p w14:paraId="0B91989C" w14:textId="77777777" w:rsidR="00144A83" w:rsidRPr="00707D78" w:rsidRDefault="002929A7" w:rsidP="009B1C3A">
            <w:pPr>
              <w:ind w:firstLine="0"/>
              <w:jc w:val="center"/>
            </w:pPr>
            <w:r>
              <w:rPr>
                <w:color w:val="000000"/>
                <w:sz w:val="22"/>
                <w:szCs w:val="22"/>
              </w:rPr>
              <w:t>56.1</w:t>
            </w:r>
          </w:p>
        </w:tc>
        <w:tc>
          <w:tcPr>
            <w:tcW w:w="1650" w:type="dxa"/>
          </w:tcPr>
          <w:p w14:paraId="6B985C68" w14:textId="77777777" w:rsidR="00144A83" w:rsidRPr="00707D78" w:rsidRDefault="002929A7" w:rsidP="009B1C3A">
            <w:pPr>
              <w:ind w:firstLine="0"/>
              <w:jc w:val="center"/>
            </w:pPr>
            <w:r>
              <w:rPr>
                <w:color w:val="000000"/>
                <w:sz w:val="22"/>
                <w:szCs w:val="22"/>
              </w:rPr>
              <w:t>65.7</w:t>
            </w:r>
          </w:p>
        </w:tc>
      </w:tr>
      <w:tr w:rsidR="00144A83" w:rsidRPr="00707D78" w14:paraId="3E9DFDBE" w14:textId="77777777" w:rsidTr="009B1C3A">
        <w:tc>
          <w:tcPr>
            <w:tcW w:w="2426" w:type="dxa"/>
          </w:tcPr>
          <w:p w14:paraId="48AA270F" w14:textId="77777777" w:rsidR="00144A83" w:rsidRPr="00707D78" w:rsidRDefault="002929A7" w:rsidP="009B1C3A">
            <w:pPr>
              <w:ind w:firstLine="0"/>
              <w:jc w:val="center"/>
            </w:pPr>
            <w:r>
              <w:rPr>
                <w:color w:val="000000"/>
                <w:sz w:val="22"/>
                <w:szCs w:val="22"/>
              </w:rPr>
              <w:t>1950-66</w:t>
            </w:r>
          </w:p>
        </w:tc>
        <w:tc>
          <w:tcPr>
            <w:tcW w:w="1650" w:type="dxa"/>
          </w:tcPr>
          <w:p w14:paraId="42A94437" w14:textId="77777777" w:rsidR="00144A83" w:rsidRPr="00707D78" w:rsidRDefault="002929A7" w:rsidP="009B1C3A">
            <w:pPr>
              <w:ind w:firstLine="0"/>
              <w:jc w:val="center"/>
            </w:pPr>
            <w:r>
              <w:rPr>
                <w:color w:val="000000"/>
                <w:sz w:val="22"/>
                <w:szCs w:val="22"/>
              </w:rPr>
              <w:t>68.6</w:t>
            </w:r>
          </w:p>
        </w:tc>
        <w:tc>
          <w:tcPr>
            <w:tcW w:w="1650" w:type="dxa"/>
          </w:tcPr>
          <w:p w14:paraId="72AABCAE" w14:textId="77777777" w:rsidR="00144A83" w:rsidRPr="00707D78" w:rsidRDefault="002929A7" w:rsidP="009B1C3A">
            <w:pPr>
              <w:ind w:firstLine="0"/>
              <w:jc w:val="center"/>
            </w:pPr>
            <w:r>
              <w:rPr>
                <w:color w:val="000000"/>
                <w:sz w:val="22"/>
                <w:szCs w:val="22"/>
              </w:rPr>
              <w:t>65.7</w:t>
            </w:r>
          </w:p>
        </w:tc>
        <w:tc>
          <w:tcPr>
            <w:tcW w:w="1650" w:type="dxa"/>
          </w:tcPr>
          <w:p w14:paraId="1B156316" w14:textId="77777777" w:rsidR="00144A83" w:rsidRPr="00707D78" w:rsidRDefault="002929A7" w:rsidP="009B1C3A">
            <w:pPr>
              <w:ind w:firstLine="0"/>
              <w:jc w:val="center"/>
            </w:pPr>
            <w:r>
              <w:rPr>
                <w:color w:val="000000"/>
                <w:sz w:val="22"/>
                <w:szCs w:val="22"/>
              </w:rPr>
              <w:t>63.9</w:t>
            </w:r>
          </w:p>
        </w:tc>
        <w:tc>
          <w:tcPr>
            <w:tcW w:w="1650" w:type="dxa"/>
          </w:tcPr>
          <w:p w14:paraId="1E8710D8" w14:textId="77777777" w:rsidR="00144A83" w:rsidRPr="00707D78" w:rsidRDefault="002929A7" w:rsidP="009B1C3A">
            <w:pPr>
              <w:ind w:firstLine="0"/>
              <w:jc w:val="center"/>
            </w:pPr>
            <w:r>
              <w:rPr>
                <w:color w:val="000000"/>
                <w:sz w:val="22"/>
                <w:szCs w:val="22"/>
              </w:rPr>
              <w:t>68.5</w:t>
            </w:r>
          </w:p>
        </w:tc>
      </w:tr>
      <w:tr w:rsidR="00144A83" w:rsidRPr="00707D78" w14:paraId="2A9F322F" w14:textId="77777777" w:rsidTr="009B1C3A">
        <w:tc>
          <w:tcPr>
            <w:tcW w:w="2426" w:type="dxa"/>
          </w:tcPr>
          <w:p w14:paraId="4E1C429B" w14:textId="77777777" w:rsidR="00144A83" w:rsidRPr="00707D78" w:rsidRDefault="002929A7" w:rsidP="009B1C3A">
            <w:pPr>
              <w:ind w:firstLine="0"/>
              <w:jc w:val="center"/>
            </w:pPr>
            <w:r>
              <w:rPr>
                <w:color w:val="000000"/>
                <w:sz w:val="22"/>
                <w:szCs w:val="22"/>
              </w:rPr>
              <w:t>1967-82</w:t>
            </w:r>
          </w:p>
        </w:tc>
        <w:tc>
          <w:tcPr>
            <w:tcW w:w="1650" w:type="dxa"/>
          </w:tcPr>
          <w:p w14:paraId="2D341352" w14:textId="77777777" w:rsidR="00144A83" w:rsidRPr="00707D78" w:rsidRDefault="002929A7" w:rsidP="009B1C3A">
            <w:pPr>
              <w:ind w:firstLine="0"/>
              <w:jc w:val="center"/>
            </w:pPr>
            <w:r>
              <w:rPr>
                <w:color w:val="000000"/>
                <w:sz w:val="22"/>
                <w:szCs w:val="22"/>
              </w:rPr>
              <w:t>69.1</w:t>
            </w:r>
          </w:p>
        </w:tc>
        <w:tc>
          <w:tcPr>
            <w:tcW w:w="1650" w:type="dxa"/>
          </w:tcPr>
          <w:p w14:paraId="41D5F08E" w14:textId="77777777" w:rsidR="00144A83" w:rsidRPr="00707D78" w:rsidRDefault="002929A7" w:rsidP="009B1C3A">
            <w:pPr>
              <w:ind w:firstLine="0"/>
              <w:jc w:val="center"/>
            </w:pPr>
            <w:r>
              <w:rPr>
                <w:color w:val="000000"/>
                <w:sz w:val="22"/>
                <w:szCs w:val="22"/>
              </w:rPr>
              <w:t>66.7</w:t>
            </w:r>
          </w:p>
        </w:tc>
        <w:tc>
          <w:tcPr>
            <w:tcW w:w="1650" w:type="dxa"/>
          </w:tcPr>
          <w:p w14:paraId="477A412A" w14:textId="77777777" w:rsidR="00144A83" w:rsidRPr="00707D78" w:rsidRDefault="002929A7" w:rsidP="009B1C3A">
            <w:pPr>
              <w:ind w:firstLine="0"/>
              <w:jc w:val="center"/>
            </w:pPr>
            <w:r>
              <w:rPr>
                <w:color w:val="000000"/>
                <w:sz w:val="22"/>
                <w:szCs w:val="22"/>
              </w:rPr>
              <w:t>63.0</w:t>
            </w:r>
          </w:p>
        </w:tc>
        <w:tc>
          <w:tcPr>
            <w:tcW w:w="1650" w:type="dxa"/>
          </w:tcPr>
          <w:p w14:paraId="3822D056" w14:textId="77777777" w:rsidR="00144A83" w:rsidRPr="00707D78" w:rsidRDefault="002929A7" w:rsidP="009B1C3A">
            <w:pPr>
              <w:ind w:firstLine="0"/>
              <w:jc w:val="center"/>
            </w:pPr>
            <w:r>
              <w:rPr>
                <w:color w:val="000000"/>
                <w:sz w:val="22"/>
                <w:szCs w:val="22"/>
              </w:rPr>
              <w:t>66.5</w:t>
            </w:r>
          </w:p>
        </w:tc>
      </w:tr>
      <w:tr w:rsidR="00144A83" w:rsidRPr="00707D78" w14:paraId="71D227D8" w14:textId="77777777" w:rsidTr="009B1C3A">
        <w:tc>
          <w:tcPr>
            <w:tcW w:w="2426" w:type="dxa"/>
          </w:tcPr>
          <w:p w14:paraId="3854FEBB" w14:textId="77777777" w:rsidR="00144A83" w:rsidRPr="00707D78" w:rsidRDefault="002929A7" w:rsidP="009B1C3A">
            <w:pPr>
              <w:ind w:firstLine="0"/>
              <w:jc w:val="center"/>
            </w:pPr>
            <w:r>
              <w:rPr>
                <w:color w:val="000000"/>
                <w:sz w:val="22"/>
                <w:szCs w:val="22"/>
              </w:rPr>
              <w:t>1983-95</w:t>
            </w:r>
          </w:p>
        </w:tc>
        <w:tc>
          <w:tcPr>
            <w:tcW w:w="1650" w:type="dxa"/>
          </w:tcPr>
          <w:p w14:paraId="2FBD149E" w14:textId="77777777" w:rsidR="00144A83" w:rsidRPr="00707D78" w:rsidRDefault="002929A7" w:rsidP="009B1C3A">
            <w:pPr>
              <w:ind w:firstLine="0"/>
              <w:jc w:val="center"/>
            </w:pPr>
            <w:r>
              <w:rPr>
                <w:color w:val="000000"/>
                <w:sz w:val="22"/>
                <w:szCs w:val="22"/>
              </w:rPr>
              <w:t>72.0</w:t>
            </w:r>
          </w:p>
        </w:tc>
        <w:tc>
          <w:tcPr>
            <w:tcW w:w="1650" w:type="dxa"/>
          </w:tcPr>
          <w:p w14:paraId="03CCAC39" w14:textId="77777777" w:rsidR="00144A83" w:rsidRPr="00707D78" w:rsidRDefault="002929A7" w:rsidP="009B1C3A">
            <w:pPr>
              <w:ind w:firstLine="0"/>
              <w:jc w:val="center"/>
            </w:pPr>
            <w:r>
              <w:rPr>
                <w:color w:val="000000"/>
                <w:sz w:val="22"/>
                <w:szCs w:val="22"/>
              </w:rPr>
              <w:t>69.4</w:t>
            </w:r>
          </w:p>
        </w:tc>
        <w:tc>
          <w:tcPr>
            <w:tcW w:w="1650" w:type="dxa"/>
          </w:tcPr>
          <w:p w14:paraId="5DF7AA5F" w14:textId="77777777" w:rsidR="00144A83" w:rsidRPr="00707D78" w:rsidRDefault="002929A7" w:rsidP="009B1C3A">
            <w:pPr>
              <w:ind w:firstLine="0"/>
              <w:jc w:val="center"/>
            </w:pPr>
            <w:r>
              <w:rPr>
                <w:color w:val="000000"/>
                <w:sz w:val="22"/>
                <w:szCs w:val="22"/>
              </w:rPr>
              <w:t>66.7</w:t>
            </w:r>
          </w:p>
        </w:tc>
        <w:tc>
          <w:tcPr>
            <w:tcW w:w="1650" w:type="dxa"/>
          </w:tcPr>
          <w:p w14:paraId="014FEA0A" w14:textId="77777777" w:rsidR="00144A83" w:rsidRPr="00707D78" w:rsidRDefault="002929A7" w:rsidP="009B1C3A">
            <w:pPr>
              <w:ind w:firstLine="0"/>
              <w:jc w:val="center"/>
            </w:pPr>
            <w:r>
              <w:rPr>
                <w:color w:val="000000"/>
                <w:sz w:val="22"/>
                <w:szCs w:val="22"/>
              </w:rPr>
              <w:t>71.0</w:t>
            </w:r>
          </w:p>
        </w:tc>
      </w:tr>
      <w:tr w:rsidR="00144A83" w:rsidRPr="00707D78" w14:paraId="661682D5" w14:textId="77777777" w:rsidTr="009B1C3A">
        <w:tc>
          <w:tcPr>
            <w:tcW w:w="2426" w:type="dxa"/>
          </w:tcPr>
          <w:p w14:paraId="264F7BBD" w14:textId="77777777" w:rsidR="00144A83" w:rsidRPr="00707D78" w:rsidRDefault="002929A7" w:rsidP="009B1C3A">
            <w:pPr>
              <w:ind w:firstLine="0"/>
              <w:jc w:val="center"/>
            </w:pPr>
            <w:r>
              <w:rPr>
                <w:color w:val="000000"/>
                <w:sz w:val="22"/>
                <w:szCs w:val="22"/>
              </w:rPr>
              <w:t>1996-06</w:t>
            </w:r>
          </w:p>
        </w:tc>
        <w:tc>
          <w:tcPr>
            <w:tcW w:w="1650" w:type="dxa"/>
          </w:tcPr>
          <w:p w14:paraId="524AC0D3" w14:textId="77777777" w:rsidR="00144A83" w:rsidRPr="00707D78" w:rsidRDefault="002929A7" w:rsidP="009B1C3A">
            <w:pPr>
              <w:ind w:firstLine="0"/>
              <w:jc w:val="center"/>
            </w:pPr>
            <w:r>
              <w:rPr>
                <w:color w:val="000000"/>
                <w:sz w:val="22"/>
                <w:szCs w:val="22"/>
              </w:rPr>
              <w:t>75.7</w:t>
            </w:r>
          </w:p>
        </w:tc>
        <w:tc>
          <w:tcPr>
            <w:tcW w:w="1650" w:type="dxa"/>
          </w:tcPr>
          <w:p w14:paraId="18D43D37" w14:textId="77777777" w:rsidR="00144A83" w:rsidRPr="00707D78" w:rsidRDefault="002929A7" w:rsidP="009B1C3A">
            <w:pPr>
              <w:ind w:firstLine="0"/>
              <w:jc w:val="center"/>
            </w:pPr>
            <w:r>
              <w:rPr>
                <w:color w:val="000000"/>
                <w:sz w:val="22"/>
                <w:szCs w:val="22"/>
              </w:rPr>
              <w:t>72.4</w:t>
            </w:r>
          </w:p>
        </w:tc>
        <w:tc>
          <w:tcPr>
            <w:tcW w:w="1650" w:type="dxa"/>
          </w:tcPr>
          <w:p w14:paraId="213D234D" w14:textId="77777777" w:rsidR="00144A83" w:rsidRPr="00707D78" w:rsidRDefault="002929A7" w:rsidP="009B1C3A">
            <w:pPr>
              <w:ind w:firstLine="0"/>
              <w:jc w:val="center"/>
            </w:pPr>
            <w:r>
              <w:rPr>
                <w:color w:val="000000"/>
                <w:sz w:val="22"/>
                <w:szCs w:val="22"/>
              </w:rPr>
              <w:t>68.7</w:t>
            </w:r>
          </w:p>
        </w:tc>
        <w:tc>
          <w:tcPr>
            <w:tcW w:w="1650" w:type="dxa"/>
          </w:tcPr>
          <w:p w14:paraId="417FFCEA" w14:textId="77777777" w:rsidR="00144A83" w:rsidRPr="00707D78" w:rsidRDefault="002929A7" w:rsidP="009B1C3A">
            <w:pPr>
              <w:ind w:firstLine="0"/>
              <w:jc w:val="center"/>
            </w:pPr>
            <w:r>
              <w:rPr>
                <w:color w:val="000000"/>
                <w:sz w:val="22"/>
                <w:szCs w:val="22"/>
              </w:rPr>
              <w:t>74.0</w:t>
            </w:r>
          </w:p>
        </w:tc>
      </w:tr>
      <w:tr w:rsidR="00144A83" w:rsidRPr="00707D78" w14:paraId="7C4A0C26" w14:textId="77777777" w:rsidTr="009B1C3A">
        <w:tc>
          <w:tcPr>
            <w:tcW w:w="2426" w:type="dxa"/>
          </w:tcPr>
          <w:p w14:paraId="08A61FD1" w14:textId="77777777" w:rsidR="00144A83" w:rsidRPr="00707D78" w:rsidRDefault="002929A7" w:rsidP="009B1C3A">
            <w:pPr>
              <w:ind w:firstLine="0"/>
              <w:jc w:val="center"/>
            </w:pPr>
            <w:r>
              <w:rPr>
                <w:color w:val="000000"/>
                <w:sz w:val="22"/>
                <w:szCs w:val="22"/>
              </w:rPr>
              <w:t>2007+</w:t>
            </w:r>
          </w:p>
        </w:tc>
        <w:tc>
          <w:tcPr>
            <w:tcW w:w="1650" w:type="dxa"/>
          </w:tcPr>
          <w:p w14:paraId="681F40C2" w14:textId="77777777" w:rsidR="00144A83" w:rsidRPr="00707D78" w:rsidRDefault="002929A7" w:rsidP="009B1C3A">
            <w:pPr>
              <w:ind w:firstLine="0"/>
              <w:jc w:val="center"/>
            </w:pPr>
            <w:r>
              <w:rPr>
                <w:color w:val="000000"/>
                <w:sz w:val="22"/>
                <w:szCs w:val="22"/>
              </w:rPr>
              <w:t>80.1</w:t>
            </w:r>
          </w:p>
        </w:tc>
        <w:tc>
          <w:tcPr>
            <w:tcW w:w="1650" w:type="dxa"/>
          </w:tcPr>
          <w:p w14:paraId="12043649" w14:textId="77777777" w:rsidR="00144A83" w:rsidRPr="00707D78" w:rsidRDefault="002929A7" w:rsidP="009B1C3A">
            <w:pPr>
              <w:ind w:firstLine="0"/>
              <w:jc w:val="center"/>
            </w:pPr>
            <w:r>
              <w:rPr>
                <w:color w:val="000000"/>
                <w:sz w:val="22"/>
                <w:szCs w:val="22"/>
              </w:rPr>
              <w:t>84.3</w:t>
            </w:r>
          </w:p>
        </w:tc>
        <w:tc>
          <w:tcPr>
            <w:tcW w:w="1650" w:type="dxa"/>
          </w:tcPr>
          <w:p w14:paraId="46A33FE6" w14:textId="77777777" w:rsidR="00144A83" w:rsidRPr="00707D78" w:rsidRDefault="002929A7" w:rsidP="009B1C3A">
            <w:pPr>
              <w:ind w:firstLine="0"/>
              <w:jc w:val="center"/>
            </w:pPr>
            <w:r>
              <w:rPr>
                <w:color w:val="000000"/>
                <w:sz w:val="22"/>
                <w:szCs w:val="22"/>
              </w:rPr>
              <w:t>79.1</w:t>
            </w:r>
          </w:p>
        </w:tc>
        <w:tc>
          <w:tcPr>
            <w:tcW w:w="1650" w:type="dxa"/>
          </w:tcPr>
          <w:p w14:paraId="7FD728ED" w14:textId="77777777" w:rsidR="00144A83" w:rsidRPr="00707D78" w:rsidRDefault="002929A7" w:rsidP="009B1C3A">
            <w:pPr>
              <w:ind w:firstLine="0"/>
              <w:jc w:val="center"/>
            </w:pPr>
            <w:r>
              <w:rPr>
                <w:color w:val="000000"/>
                <w:sz w:val="22"/>
                <w:szCs w:val="22"/>
              </w:rPr>
              <w:t>76.9</w:t>
            </w:r>
          </w:p>
        </w:tc>
      </w:tr>
    </w:tbl>
    <w:p w14:paraId="3FC0F7FA" w14:textId="77777777" w:rsidR="00144A83" w:rsidRPr="00707D78" w:rsidRDefault="002929A7">
      <w:pPr>
        <w:pStyle w:val="Heading2"/>
        <w:rPr>
          <w:lang w:val="en-GB"/>
        </w:rPr>
      </w:pPr>
      <w:bookmarkStart w:id="9" w:name="_Toc231919066"/>
      <w:r>
        <w:rPr>
          <w:lang w:val="en-GB"/>
        </w:rPr>
        <w:t>3.3 Diagnostic Analytics</w:t>
      </w:r>
      <w:bookmarkEnd w:id="9"/>
    </w:p>
    <w:p w14:paraId="68F61A7E" w14:textId="15CB2EF1" w:rsidR="00144A83" w:rsidRPr="00707D78" w:rsidRDefault="002929A7" w:rsidP="00FC0668">
      <w:r>
        <w:t xml:space="preserve">Three hypotheses motivate the diagnostic battery. H1 holds that older dwellings have systematically worse ratings, driven by uninsulated solid-wall construction and poorer airtightness. H2 holds that wall construction is the single largest physical lever within Oxford’s </w:t>
      </w:r>
      <w:r>
        <w:lastRenderedPageBreak/>
        <w:t>stock. H3 holds that glazing type and the proportion of multi-glazed area correlate with the rating, but weak</w:t>
      </w:r>
      <w:r w:rsidR="00FC0668">
        <w:t>er</w:t>
      </w:r>
      <w:r>
        <w:t xml:space="preserve"> than wall construction does.</w:t>
      </w:r>
    </w:p>
    <w:p w14:paraId="44634A76" w14:textId="77777777" w:rsidR="00144A83" w:rsidRPr="00707D78" w:rsidRDefault="002929A7" w:rsidP="008824D8">
      <w:r>
        <w:t>Spearman correlation is the appropriate measure here, because the rating is ordinal and the SAP score is bounded. The age-band effect is strong and monotonic: the Spearman rho between CONSTRUCTION_AGE_NUM and SAP score is 0.618 (p &lt; 1e-50), which supports H1. The stacked composition by age band (Figure 5) shows the F and G tail concentrated in pre-1929 stock and the B and C heads concentrated in post-1996 builds. This stepwise improvement reflects four decades of revisions to Building Regulations Part L.</w:t>
      </w:r>
    </w:p>
    <w:p w14:paraId="302C5FEB" w14:textId="77777777" w:rsidR="00144A83" w:rsidRPr="00707D78" w:rsidRDefault="002929A7">
      <w:pPr>
        <w:spacing w:before="120" w:after="60"/>
        <w:jc w:val="center"/>
      </w:pPr>
      <w:r>
        <w:rPr>
          <w:noProof/>
        </w:rPr>
        <w:drawing>
          <wp:inline distT="0" distB="0" distL="0" distR="0" wp14:anchorId="3DCBF3AC" wp14:editId="544FE9F2">
            <wp:extent cx="5029200" cy="2600325"/>
            <wp:effectExtent l="0" t="0" r="0" b="0"/>
            <wp:docPr id="1117510175" name="fig_rating_by_age" descr="Rating composition by construction age band. The systematic improvement from older to newer cohorts reflects four decades of progressive Building Regulations Part L revisions." title="Rating composition by construction age band. The systematic improvement from older to newer cohorts reflects four decades of progressive Building Regulations Part L rev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600325"/>
                    </a:xfrm>
                    <a:prstGeom prst="rect">
                      <a:avLst/>
                    </a:prstGeom>
                  </pic:spPr>
                </pic:pic>
              </a:graphicData>
            </a:graphic>
          </wp:inline>
        </w:drawing>
      </w:r>
    </w:p>
    <w:p w14:paraId="3168860D" w14:textId="31EBFE6E"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5</w:t>
      </w:r>
      <w:r>
        <w:rPr>
          <w:lang w:val="en-GB"/>
        </w:rPr>
        <w:fldChar w:fldCharType="end"/>
      </w:r>
      <w:r>
        <w:rPr>
          <w:lang w:val="en-GB"/>
        </w:rPr>
        <w:t xml:space="preserve">. </w:t>
      </w:r>
      <w:bookmarkStart w:id="10" w:name="_Toc231919076"/>
      <w:r>
        <w:rPr>
          <w:lang w:val="en-GB"/>
        </w:rPr>
        <w:t>Rating composition by construction age band. The systematic improvement from older to newer cohorts reflects four decades of progressive Building Regulations Part L revisions.</w:t>
      </w:r>
      <w:bookmarkEnd w:id="10"/>
    </w:p>
    <w:p w14:paraId="11EB65BC" w14:textId="77777777" w:rsidR="00144A83" w:rsidRPr="00707D78" w:rsidRDefault="002929A7" w:rsidP="008824D8">
      <w:r>
        <w:t>For the categorical relationships with the rating, the analysis uses Cramer’s V, a chi-square-derived statistic bounded in [0, 1] that controls for table size. The ordering for Oxford is informative: WALLS_DESCRIPTION reaches V = 0.407, CONSTRUCTION_AGE_BAND reaches V = 0.366, MAIN_FUEL reaches V = 0.318, and BUILT_FORM reaches V = 0.091. Walls dominate, which supports H2. The boxplot of SAP score by wall construction (Figure 6) makes the magnitude visible: the median gap between solid-brick uninsulated walls and insulated cavity walls is on the order of ten SAP points, which is larger than the within-group interquartile range. Wall construction therefore explains more variance than any other single physical feature.</w:t>
      </w:r>
    </w:p>
    <w:p w14:paraId="0EAA9BF1" w14:textId="77777777" w:rsidR="00144A83" w:rsidRPr="00707D78" w:rsidRDefault="002929A7">
      <w:pPr>
        <w:spacing w:before="120" w:after="60"/>
        <w:jc w:val="center"/>
      </w:pPr>
      <w:r>
        <w:rPr>
          <w:noProof/>
        </w:rPr>
        <w:lastRenderedPageBreak/>
        <w:drawing>
          <wp:inline distT="0" distB="0" distL="0" distR="0" wp14:anchorId="18CEC84D" wp14:editId="4FE6EE37">
            <wp:extent cx="5029200" cy="2447925"/>
            <wp:effectExtent l="0" t="0" r="0" b="0"/>
            <wp:docPr id="477784404" name="fig_eff_by_walls" descr="SAP score distribution by wall construction. Each box is a different wall description; ordering by median highlights the magnitude of the insulation effect." title="SAP score distribution by wall construction. Each box is a different wall description; ordering by median highlights the magnitude of the insulation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447925"/>
                    </a:xfrm>
                    <a:prstGeom prst="rect">
                      <a:avLst/>
                    </a:prstGeom>
                  </pic:spPr>
                </pic:pic>
              </a:graphicData>
            </a:graphic>
          </wp:inline>
        </w:drawing>
      </w:r>
    </w:p>
    <w:p w14:paraId="422D1A55" w14:textId="3E13DB37"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6</w:t>
      </w:r>
      <w:r>
        <w:rPr>
          <w:lang w:val="en-GB"/>
        </w:rPr>
        <w:fldChar w:fldCharType="end"/>
      </w:r>
      <w:r>
        <w:rPr>
          <w:lang w:val="en-GB"/>
        </w:rPr>
        <w:t xml:space="preserve">. </w:t>
      </w:r>
      <w:bookmarkStart w:id="11" w:name="_Toc231919077"/>
      <w:r>
        <w:rPr>
          <w:lang w:val="en-GB"/>
        </w:rPr>
        <w:t>SAP score distribution by wall construction. Each box is a different wall description; ordering by median highlights the magnitude of the insulation effect.</w:t>
      </w:r>
      <w:bookmarkEnd w:id="11"/>
    </w:p>
    <w:p w14:paraId="5758080B" w14:textId="77777777" w:rsidR="00144A83" w:rsidRPr="00707D78" w:rsidRDefault="002929A7" w:rsidP="002D5E1C">
      <w:r>
        <w:t>Glazing shows the expected sign but a smaller effect, with a Spearman rho between MULTI_GLAZE_PROPORTION and SAP of 0.209, which supports H3. The Spearman matrix among the numeric features (Figure 7) flags no pair above an absolute value of 0.85, so all features are retained for tree-based modelling.</w:t>
      </w:r>
    </w:p>
    <w:p w14:paraId="67396DAD" w14:textId="77777777" w:rsidR="00144A83" w:rsidRPr="00707D78" w:rsidRDefault="002929A7">
      <w:pPr>
        <w:spacing w:before="120" w:after="60"/>
        <w:jc w:val="center"/>
      </w:pPr>
      <w:r>
        <w:rPr>
          <w:noProof/>
        </w:rPr>
        <w:drawing>
          <wp:inline distT="0" distB="0" distL="0" distR="0" wp14:anchorId="694D8F51" wp14:editId="5F80005F">
            <wp:extent cx="5029200" cy="4191000"/>
            <wp:effectExtent l="0" t="0" r="0" b="0"/>
            <wp:docPr id="904572521" name="fig_corr_spearman" descr="Spearman correlation matrix on numeric features." title="Spearman correlation matrix on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4191000"/>
                    </a:xfrm>
                    <a:prstGeom prst="rect">
                      <a:avLst/>
                    </a:prstGeom>
                  </pic:spPr>
                </pic:pic>
              </a:graphicData>
            </a:graphic>
          </wp:inline>
        </w:drawing>
      </w:r>
    </w:p>
    <w:p w14:paraId="21318454" w14:textId="5CD66B5C"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7</w:t>
      </w:r>
      <w:r>
        <w:rPr>
          <w:lang w:val="en-GB"/>
        </w:rPr>
        <w:fldChar w:fldCharType="end"/>
      </w:r>
      <w:r>
        <w:rPr>
          <w:lang w:val="en-GB"/>
        </w:rPr>
        <w:t xml:space="preserve">. </w:t>
      </w:r>
      <w:bookmarkStart w:id="12" w:name="_Toc231919078"/>
      <w:r>
        <w:rPr>
          <w:lang w:val="en-GB"/>
        </w:rPr>
        <w:t>Spearman correlation matrix on numeric features.</w:t>
      </w:r>
      <w:bookmarkEnd w:id="12"/>
    </w:p>
    <w:p w14:paraId="03AE555F" w14:textId="77777777" w:rsidR="00144A83" w:rsidRPr="00707D78" w:rsidRDefault="002929A7">
      <w:pPr>
        <w:pStyle w:val="Heading2"/>
        <w:rPr>
          <w:lang w:val="en-GB"/>
        </w:rPr>
      </w:pPr>
      <w:bookmarkStart w:id="13" w:name="_Toc231919067"/>
      <w:r>
        <w:rPr>
          <w:lang w:val="en-GB"/>
        </w:rPr>
        <w:lastRenderedPageBreak/>
        <w:t>3.4 Predictive Analytics</w:t>
      </w:r>
      <w:bookmarkEnd w:id="13"/>
    </w:p>
    <w:p w14:paraId="520DE298" w14:textId="77777777" w:rsidR="00144A83" w:rsidRPr="00707D78" w:rsidRDefault="002929A7" w:rsidP="002D5E1C">
      <w:r>
        <w:rPr>
          <w:b/>
          <w:bCs/>
        </w:rPr>
        <w:t>Pipeline</w:t>
      </w:r>
      <w:r w:rsidR="002945BD">
        <w:rPr>
          <w:b/>
          <w:bCs/>
        </w:rPr>
        <w:t>:</w:t>
      </w:r>
      <w:r>
        <w:rPr>
          <w:b/>
          <w:bCs/>
        </w:rPr>
        <w:t xml:space="preserve"> </w:t>
      </w:r>
      <w:r>
        <w:t>Categorical missing values are encoded as an explicit level. Numerics pass through unimputed and unscaled, since HistGradientBoosting handles NaN natively and is scale-invariant, and any field above 5% missingness also receives a binary &lt;COL&gt;_IS_MISSING indicator. Low-cardinality categoricals are one-hot encoded (min_frequency = 20) and high-cardinality strings are ordinal-encoded, all inside an sklearn ColumnTransformer that is fit only on the training fold. Every SAP-derived column (POTENTIAL_*, ENVIRONMENTAL_IMPACT_*, ENERGY_CONSUMPTION_*, CO2_EMISSIONS_*, costs, and per-element star ratings) is removed before training, because including any one of them would re-derive the target. Splitting is group-aware: any UPRN with a post-2022 certificate is held out in full, which is stricter than a random split (Sun et al., 2022; Kapoor and Narayanan, 2023). The training frame keeps every pre-2022 certificate for each dwelling (54,834 rows), while the published deliverable is deduplicated (49,442). This adds usable data without introducing leakage.</w:t>
      </w:r>
    </w:p>
    <w:p w14:paraId="79BACD30" w14:textId="77777777" w:rsidR="005B7DBB" w:rsidRDefault="00CF7973" w:rsidP="009B37A4">
      <w:pPr>
        <w:spacing w:before="80" w:after="20"/>
        <w:ind w:firstLine="0"/>
        <w:jc w:val="left"/>
      </w:pPr>
      <w:r>
        <w:rPr>
          <w:i/>
          <w:sz w:val="19"/>
        </w:rPr>
        <w:t>Listing 3. SAP-engine outputs excluded from the feature matrix (src/data.py).</w:t>
      </w:r>
    </w:p>
    <w:p w14:paraId="0E5EA0D4" w14:textId="65EE8598" w:rsidR="005B7DBB" w:rsidRDefault="00CF7973" w:rsidP="009B37A4">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pPr>
      <w:r>
        <w:rPr>
          <w:rFonts w:ascii="Consolas" w:hAnsi="Consolas"/>
          <w:color w:val="1A1A1A"/>
          <w:sz w:val="17"/>
        </w:rPr>
        <w:t># src/data.py - every SAP-engine output is excluded from the feature matrix</w:t>
      </w:r>
      <w:r>
        <w:rPr>
          <w:rFonts w:ascii="Consolas" w:hAnsi="Consolas"/>
          <w:color w:val="1A1A1A"/>
          <w:sz w:val="17"/>
        </w:rPr>
        <w:br/>
        <w:t>#</w:t>
      </w:r>
      <w:r w:rsidR="00981F99">
        <w:rPr>
          <w:rFonts w:ascii="Consolas" w:hAnsi="Consolas"/>
          <w:color w:val="1A1A1A"/>
          <w:sz w:val="17"/>
        </w:rPr>
        <w:t xml:space="preserve"> </w:t>
      </w:r>
      <w:r>
        <w:rPr>
          <w:rFonts w:ascii="Consolas" w:hAnsi="Consolas"/>
          <w:color w:val="1A1A1A"/>
          <w:sz w:val="17"/>
        </w:rPr>
        <w:t>(any one of them would re-derive the target)</w:t>
      </w:r>
      <w:r>
        <w:rPr>
          <w:rFonts w:ascii="Consolas" w:hAnsi="Consolas"/>
          <w:color w:val="1A1A1A"/>
          <w:sz w:val="17"/>
        </w:rPr>
        <w:br/>
        <w:t>LEAKAGE_COLS     = ("CURRENT_ENERGY_EFFICIENCY", "POTENTIAL_ENERGY_RATING",</w:t>
      </w:r>
      <w:r>
        <w:rPr>
          <w:rFonts w:ascii="Consolas" w:hAnsi="Consolas"/>
          <w:color w:val="1A1A1A"/>
          <w:sz w:val="17"/>
        </w:rPr>
        <w:br/>
        <w:t xml:space="preserve">                    "CO2_EMISSIONS_CURRENT", "HEATING_COST_CURRENT", ...)   # 18 SAP outputs</w:t>
      </w:r>
      <w:r>
        <w:rPr>
          <w:rFonts w:ascii="Consolas" w:hAnsi="Consolas"/>
          <w:color w:val="1A1A1A"/>
          <w:sz w:val="17"/>
        </w:rPr>
        <w:br/>
        <w:t>ELEMENT_EFF_COLS = ("WALLS_ENERGY_EFF", "ROOF_ENERGY_EFF", ...)            # 18 element ratings</w:t>
      </w:r>
      <w:r>
        <w:rPr>
          <w:rFonts w:ascii="Consolas" w:hAnsi="Consolas"/>
          <w:color w:val="1A1A1A"/>
          <w:sz w:val="17"/>
        </w:rPr>
        <w:br/>
        <w:t>X, y_class, y_reg = to_model_matrix(clean)   # drops LEAKAGE_COLS + ELEMENT_EFF_COLS + PII</w:t>
      </w:r>
    </w:p>
    <w:p w14:paraId="5F4C9831" w14:textId="77777777" w:rsidR="005B7DBB" w:rsidRDefault="00CF7973" w:rsidP="009B37A4">
      <w:pPr>
        <w:spacing w:before="80" w:after="20"/>
        <w:ind w:firstLine="0"/>
        <w:jc w:val="left"/>
      </w:pPr>
      <w:r>
        <w:rPr>
          <w:i/>
          <w:sz w:val="19"/>
        </w:rPr>
        <w:t>Listing 4. Group-aware temporal split that prevents dwelling-level leakage (src/data.py).</w:t>
      </w:r>
    </w:p>
    <w:p w14:paraId="18776BF7" w14:textId="77777777" w:rsidR="005B7DBB" w:rsidRDefault="00CF7973" w:rsidP="009B37A4">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pPr>
      <w:r>
        <w:rPr>
          <w:rFonts w:ascii="Consolas" w:hAnsi="Consolas"/>
          <w:color w:val="1A1A1A"/>
          <w:sz w:val="17"/>
        </w:rPr>
        <w:t># src/data.py - group-aware temporal split: a dwelling never spans train and test</w:t>
      </w:r>
      <w:r>
        <w:rPr>
          <w:rFonts w:ascii="Consolas" w:hAnsi="Consolas"/>
          <w:color w:val="1A1A1A"/>
          <w:sz w:val="17"/>
        </w:rPr>
        <w:br/>
        <w:t>latest    = keyed.groupby("UPRN")["_date_norm"].transform("max")</w:t>
      </w:r>
      <w:r>
        <w:rPr>
          <w:rFonts w:ascii="Consolas" w:hAnsi="Consolas"/>
          <w:color w:val="1A1A1A"/>
          <w:sz w:val="17"/>
        </w:rPr>
        <w:br/>
        <w:t>train_idx = keyed.index[latest &lt;= cutoff_ts]          # all certs of pre-cutoff UPRNs</w:t>
      </w:r>
      <w:r>
        <w:rPr>
          <w:rFonts w:ascii="Consolas" w:hAnsi="Consolas"/>
          <w:color w:val="1A1A1A"/>
          <w:sz w:val="17"/>
        </w:rPr>
        <w:br/>
        <w:t>post      = keyed[latest &gt; cutoff_ts]                 # UPRNs with any post-cutoff cert</w:t>
      </w:r>
      <w:r>
        <w:rPr>
          <w:rFonts w:ascii="Consolas" w:hAnsi="Consolas"/>
          <w:color w:val="1A1A1A"/>
          <w:sz w:val="17"/>
        </w:rPr>
        <w:br/>
        <w:t>test_idx  = (post.sort_values("_date_norm")</w:t>
      </w:r>
      <w:r>
        <w:rPr>
          <w:rFonts w:ascii="Consolas" w:hAnsi="Consolas"/>
          <w:color w:val="1A1A1A"/>
          <w:sz w:val="17"/>
        </w:rPr>
        <w:br/>
        <w:t xml:space="preserve">                 .drop_duplicates("UPRN", keep="last").index)   # only their latest cert</w:t>
      </w:r>
    </w:p>
    <w:p w14:paraId="3875A63E" w14:textId="77777777" w:rsidR="00144A83" w:rsidRPr="00707D78" w:rsidRDefault="002929A7" w:rsidP="002D5E1C">
      <w:r>
        <w:rPr>
          <w:b/>
          <w:bCs/>
        </w:rPr>
        <w:t>Models</w:t>
      </w:r>
      <w:r w:rsidR="00541402">
        <w:rPr>
          <w:b/>
          <w:bCs/>
        </w:rPr>
        <w:t>:</w:t>
      </w:r>
      <w:r>
        <w:rPr>
          <w:b/>
          <w:bCs/>
        </w:rPr>
        <w:t xml:space="preserve"> </w:t>
      </w:r>
      <w:r>
        <w:t xml:space="preserve">Baselines establish the performance floors: the stratified dummy gives a QWK near 0, age-only logistic regression reaches 0.33, and full-feature logistic regression reaches 0.43. Three tree families are then compared on the same 5-fold GroupKFold (HistGradientBoosting, LightGBM with expected-value decoding, and Random Forest), alongside a TensorFlow CORN ordinal neural network (Cao et al., 2020), which reaches a hold-out QWK of 0.659 and confirms the tree family’s edge on tabular data (Grinsztajn et al., </w:t>
      </w:r>
      <w:r>
        <w:lastRenderedPageBreak/>
        <w:t>2022). Because all features are pure physical fabric, the resulting 0.700 accuracy reflects a genuinely leak-free problem. The champion is the regression-to-band approach: a HistGradientBoostingRegressor that predicts the continuous SAP score and then maps that score to a band through the official DLUHC thresholds. Because EPC bands are a deterministic discretisation of an observable score, predicting the score and then thresholding it is statistically consistent (Pedregosa et al., 2017) and more principled than fitting a discrete ordinal classifier directly (Cao et al., 2020). The champion is wrapped in SapStratifiedRegressor, which combines a unified regressor for RdSAP rows with a SAP-only specialist for REPORT_TYPE 101.</w:t>
      </w:r>
    </w:p>
    <w:p w14:paraId="14776541" w14:textId="77777777" w:rsidR="005B7DBB" w:rsidRDefault="00CF7973" w:rsidP="00BC4E97">
      <w:pPr>
        <w:spacing w:before="80" w:after="20"/>
        <w:ind w:firstLine="0"/>
      </w:pPr>
      <w:r>
        <w:rPr>
          <w:i/>
          <w:sz w:val="19"/>
        </w:rPr>
        <w:t>Listing 5. The regression-to-band champion and its hybrid routing (src/models.py).</w:t>
      </w:r>
    </w:p>
    <w:p w14:paraId="43742217" w14:textId="77777777" w:rsidR="005B7DBB" w:rsidRDefault="00CF7973" w:rsidP="001A18B7">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pPr>
      <w:r>
        <w:rPr>
          <w:rFonts w:ascii="Consolas" w:hAnsi="Consolas"/>
          <w:color w:val="1A1A1A"/>
          <w:sz w:val="17"/>
        </w:rPr>
        <w:t># src/models.py - regression-to-band champion with SAP-cohort routing</w:t>
      </w:r>
      <w:r>
        <w:rPr>
          <w:rFonts w:ascii="Consolas" w:hAnsi="Consolas"/>
          <w:color w:val="1A1A1A"/>
          <w:sz w:val="17"/>
        </w:rPr>
        <w:br/>
        <w:t>SAP_BAND_THRESHOLDS = ((92,"A"),(81,"B"),(69,"C"),(55,"D"),(39,"E"),(21,"F"),(0,"G"))</w:t>
      </w:r>
      <w:r>
        <w:rPr>
          <w:rFonts w:ascii="Consolas" w:hAnsi="Consolas"/>
          <w:color w:val="1A1A1A"/>
          <w:sz w:val="17"/>
        </w:rPr>
        <w:br/>
      </w:r>
      <w:r>
        <w:rPr>
          <w:rFonts w:ascii="Consolas" w:hAnsi="Consolas"/>
          <w:color w:val="1A1A1A"/>
          <w:sz w:val="17"/>
        </w:rPr>
        <w:br/>
        <w:t>class SapStratifiedRegressor:</w:t>
      </w:r>
      <w:r>
        <w:rPr>
          <w:rFonts w:ascii="Consolas" w:hAnsi="Consolas"/>
          <w:color w:val="1A1A1A"/>
          <w:sz w:val="17"/>
        </w:rPr>
        <w:br/>
        <w:t xml:space="preserve">    def predict_score(self, X, report_type):</w:t>
      </w:r>
      <w:r>
        <w:rPr>
          <w:rFonts w:ascii="Consolas" w:hAnsi="Consolas"/>
          <w:color w:val="1A1A1A"/>
          <w:sz w:val="17"/>
        </w:rPr>
        <w:br/>
        <w:t xml:space="preserve">        score = self.unified.predict(X)                 # RdSAP path (dominant cohort)</w:t>
      </w:r>
      <w:r>
        <w:rPr>
          <w:rFonts w:ascii="Consolas" w:hAnsi="Consolas"/>
          <w:color w:val="1A1A1A"/>
          <w:sz w:val="17"/>
        </w:rPr>
        <w:br/>
        <w:t xml:space="preserve">        sap = (report_type == 101).values               # SAP-only cohort</w:t>
      </w:r>
      <w:r>
        <w:rPr>
          <w:rFonts w:ascii="Consolas" w:hAnsi="Consolas"/>
          <w:color w:val="1A1A1A"/>
          <w:sz w:val="17"/>
        </w:rPr>
        <w:br/>
        <w:t xml:space="preserve">        score[sap] = self.sap_only.predict(X.loc[sap])  # specialist head</w:t>
      </w:r>
      <w:r>
        <w:rPr>
          <w:rFonts w:ascii="Consolas" w:hAnsi="Consolas"/>
          <w:color w:val="1A1A1A"/>
          <w:sz w:val="17"/>
        </w:rPr>
        <w:br/>
        <w:t xml:space="preserve">        return np.clip(score, 1.0, 100.0)               # SAP is bounded [1, 100]</w:t>
      </w:r>
      <w:r>
        <w:rPr>
          <w:rFonts w:ascii="Consolas" w:hAnsi="Consolas"/>
          <w:color w:val="1A1A1A"/>
          <w:sz w:val="17"/>
        </w:rPr>
        <w:br/>
        <w:t xml:space="preserve">    def predict_band(self, X, report_type):</w:t>
      </w:r>
      <w:r>
        <w:rPr>
          <w:rFonts w:ascii="Consolas" w:hAnsi="Consolas"/>
          <w:color w:val="1A1A1A"/>
          <w:sz w:val="17"/>
        </w:rPr>
        <w:br/>
        <w:t xml:space="preserve">        return sap_score_to_band(self.predict_score(X, report_type))</w:t>
      </w:r>
    </w:p>
    <w:p w14:paraId="594C9E07" w14:textId="77777777" w:rsidR="00144A83" w:rsidRPr="00707D78" w:rsidRDefault="002929A7" w:rsidP="002D5E1C">
      <w:r>
        <w:rPr>
          <w:b/>
          <w:bCs/>
        </w:rPr>
        <w:t>Tuning and selection</w:t>
      </w:r>
      <w:r w:rsidR="00F3755A">
        <w:rPr>
          <w:b/>
          <w:bCs/>
        </w:rPr>
        <w:t>:</w:t>
      </w:r>
      <w:r>
        <w:rPr>
          <w:b/>
          <w:bCs/>
        </w:rPr>
        <w:t xml:space="preserve"> </w:t>
      </w:r>
      <w:r>
        <w:t>Optuna TPE (Akiba et al., 2019) explored the LightGBM search space, while the regression head uses ablation-validated defaults. Model selection gave priority to temporal-holdout QWK. LightGBM with expected-value decoding wins on CV (0.8672) but loses on the hold-out, whereas the regression-to-band champion wins the hold-out (0.7696 when hybrid-routed, against 0.7548) at a marginally lower CV score (0.8640) and with a fit that is four times faster. The gap between 0.86 on CV and 0.77 on the hold-out reflects temporal distribution shift rather than overfitting, as confirmed by a multi-seed spread of plus or minus 0.0019 under leakage-free GroupKFold. The final decision is recorded in reports/champion_artefact.json, alongside an sha256-pinned pickle.</w:t>
      </w:r>
    </w:p>
    <w:p w14:paraId="6B574BEE" w14:textId="77777777" w:rsidR="00144A83" w:rsidRPr="00707D78" w:rsidRDefault="002929A7" w:rsidP="002D5E1C">
      <w:r>
        <w:rPr>
          <w:b/>
          <w:bCs/>
        </w:rPr>
        <w:t>Headline hold-out results</w:t>
      </w:r>
      <w:r w:rsidR="00EA05C0">
        <w:rPr>
          <w:b/>
          <w:bCs/>
        </w:rPr>
        <w:t>:</w:t>
      </w:r>
      <w:r>
        <w:rPr>
          <w:b/>
          <w:bCs/>
        </w:rPr>
        <w:t xml:space="preserve"> </w:t>
      </w:r>
      <w:r>
        <w:t xml:space="preserve">The Quadratic Weighted Kappa is 0.7696, with a 95% CI of 0.7600 to 0.7780 from 1,000 bootstraps; accuracy is 0.700, balanced accuracy is 0.584, and macro-F1 is 0.550. The multi-seed QWK is 0.7714 plus or minus 0.0019, and the runner-up (LightGBM at 0.7548) falls below the lower bound of the champion’s confidence interval. MAE in band units (0.316) and linear-weighted kappa (0.652) are reported alongside QWK (Warrens, 2012). The regression head achieves R2 = 0.679, RMSE = 5.78, and a score MAE </w:t>
      </w:r>
      <w:r>
        <w:lastRenderedPageBreak/>
        <w:t>of 4.05, which sits within the roughly five-point inter-assessor noise floor (Few et al., 2023; Hardy and Glew, 2019). It places 97.7% of predictions within 15 SAP points and 92.5% within 10, in line with the indicative 93% reported by the ONS Data Science Campus (2021). The errors are asymmetric, with a 2.96:1 ratio of under-prediction to over-prediction; 70.0% of predictions are exactly correct and only 0.07% are off by three or more bands. Performance is uneven across bands: per-band F1 is 0.78 on C but falls to 0.45, 0.35 and 0.27 on the sparse E, F and A bands. These extreme bands are precisely the ones policy cares about, and Section 4 mitigates the weakness through the confidence proxy.</w:t>
      </w:r>
    </w:p>
    <w:p w14:paraId="0F08DE0D" w14:textId="77777777" w:rsidR="00144A83" w:rsidRPr="00707D78" w:rsidRDefault="002929A7">
      <w:pPr>
        <w:spacing w:before="120" w:after="60"/>
        <w:jc w:val="center"/>
      </w:pPr>
      <w:r>
        <w:rPr>
          <w:noProof/>
        </w:rPr>
        <w:drawing>
          <wp:inline distT="0" distB="0" distL="0" distR="0" wp14:anchorId="4C9B3692" wp14:editId="798954C1">
            <wp:extent cx="5029200" cy="4467225"/>
            <wp:effectExtent l="0" t="0" r="0" b="0"/>
            <wp:docPr id="1714496784" name="fig_confusion" descr="Confusion matrix on the temporal hold-out test set. Off-diagonal mass is concentrated on the one-band neighbours of the true label, consistent with an ordinal model." title="Confusion matrix on the temporal hold-out test set. Off-diagonal mass is concentrated on the one-band neighbours of the true label, consistent with an ord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4467225"/>
                    </a:xfrm>
                    <a:prstGeom prst="rect">
                      <a:avLst/>
                    </a:prstGeom>
                  </pic:spPr>
                </pic:pic>
              </a:graphicData>
            </a:graphic>
          </wp:inline>
        </w:drawing>
      </w:r>
    </w:p>
    <w:p w14:paraId="623B6479" w14:textId="6EE48F49"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8</w:t>
      </w:r>
      <w:r>
        <w:rPr>
          <w:lang w:val="en-GB"/>
        </w:rPr>
        <w:fldChar w:fldCharType="end"/>
      </w:r>
      <w:r>
        <w:rPr>
          <w:lang w:val="en-GB"/>
        </w:rPr>
        <w:t xml:space="preserve">. </w:t>
      </w:r>
      <w:bookmarkStart w:id="14" w:name="_Toc231919079"/>
      <w:r>
        <w:rPr>
          <w:lang w:val="en-GB"/>
        </w:rPr>
        <w:t>Confusion matrix on the temporal hold-out test set. Off-diagonal mass is concentrated on the one-band neighbours of the true label, consistent with an ordinal model.</w:t>
      </w:r>
      <w:bookmarkEnd w:id="14"/>
    </w:p>
    <w:p w14:paraId="1B8A684D" w14:textId="77777777" w:rsidR="00144A83" w:rsidRPr="00707D78" w:rsidRDefault="002929A7" w:rsidP="002D5E1C">
      <w:r>
        <w:t xml:space="preserve">Feature importance is reported using two complementary methods. Permutation importance (Figure 9), scored on the hybrid-routed band QWK, is model-agnostic and avoids the cardinality bias that distorts impurity-based importance (Strobl et al., 2007). SHAP (Figure 10; Lundberg and Lee, 2017) provides per-instance attributions on the unified regressor, expressed in SAP-score units. Both methods rank windows, construction age and main fuel among the dominant drivers, with main heating and wall construction close behind. The </w:t>
      </w:r>
      <w:r>
        <w:lastRenderedPageBreak/>
        <w:t>agreement between a model-agnostic and a model-specific explainer indicates that these rankings reflect genuine signal.</w:t>
      </w:r>
    </w:p>
    <w:p w14:paraId="27D00C7E" w14:textId="77777777" w:rsidR="00144A83" w:rsidRPr="00707D78" w:rsidRDefault="002929A7">
      <w:pPr>
        <w:spacing w:before="120" w:after="60"/>
        <w:jc w:val="center"/>
      </w:pPr>
      <w:r>
        <w:rPr>
          <w:noProof/>
        </w:rPr>
        <w:drawing>
          <wp:inline distT="0" distB="0" distL="0" distR="0" wp14:anchorId="24856886" wp14:editId="2D07B2A0">
            <wp:extent cx="5029200" cy="3166270"/>
            <wp:effectExtent l="0" t="0" r="0" b="0"/>
            <wp:docPr id="924452587" name="fig_perm_importance" descr="Top features by permutation importance on the hold-out set." title="Top features by permutation importance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166270"/>
                    </a:xfrm>
                    <a:prstGeom prst="rect">
                      <a:avLst/>
                    </a:prstGeom>
                  </pic:spPr>
                </pic:pic>
              </a:graphicData>
            </a:graphic>
          </wp:inline>
        </w:drawing>
      </w:r>
    </w:p>
    <w:p w14:paraId="737C124A" w14:textId="7D126986"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9</w:t>
      </w:r>
      <w:r>
        <w:rPr>
          <w:lang w:val="en-GB"/>
        </w:rPr>
        <w:fldChar w:fldCharType="end"/>
      </w:r>
      <w:r>
        <w:rPr>
          <w:lang w:val="en-GB"/>
        </w:rPr>
        <w:t xml:space="preserve">. </w:t>
      </w:r>
      <w:bookmarkStart w:id="15" w:name="_Toc231919080"/>
      <w:r>
        <w:rPr>
          <w:lang w:val="en-GB"/>
        </w:rPr>
        <w:t>Top features by permutation importance on the hold-out set.</w:t>
      </w:r>
      <w:bookmarkEnd w:id="15"/>
    </w:p>
    <w:p w14:paraId="79D69CE3" w14:textId="77777777" w:rsidR="00144A83" w:rsidRPr="00707D78" w:rsidRDefault="002929A7">
      <w:pPr>
        <w:spacing w:before="120" w:after="60"/>
        <w:jc w:val="center"/>
      </w:pPr>
      <w:r>
        <w:rPr>
          <w:noProof/>
        </w:rPr>
        <w:drawing>
          <wp:inline distT="0" distB="0" distL="0" distR="0" wp14:anchorId="1B5C64B7" wp14:editId="429089FC">
            <wp:extent cx="4572000" cy="4263471"/>
            <wp:effectExtent l="0" t="0" r="0" b="0"/>
            <wp:docPr id="1829324215" name="fig_shap_summary" descr="SHAP summary plot. Each point is one test-set dwelling; horizontal position is the SHAP value (signed contribution to the predicted score) and colour is the feature value (red is high)." title="SHAP summary plot. Each point is one test-set dwelling; horizontal position is the SHAP value (signed contribution to the predicted score) and colour is the feature value (red is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4263471"/>
                    </a:xfrm>
                    <a:prstGeom prst="rect">
                      <a:avLst/>
                    </a:prstGeom>
                  </pic:spPr>
                </pic:pic>
              </a:graphicData>
            </a:graphic>
          </wp:inline>
        </w:drawing>
      </w:r>
    </w:p>
    <w:p w14:paraId="394DA1FB" w14:textId="0160C210"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10</w:t>
      </w:r>
      <w:r>
        <w:rPr>
          <w:lang w:val="en-GB"/>
        </w:rPr>
        <w:fldChar w:fldCharType="end"/>
      </w:r>
      <w:r>
        <w:rPr>
          <w:lang w:val="en-GB"/>
        </w:rPr>
        <w:t xml:space="preserve">. </w:t>
      </w:r>
      <w:bookmarkStart w:id="16" w:name="_Toc231919081"/>
      <w:r>
        <w:rPr>
          <w:lang w:val="en-GB"/>
        </w:rPr>
        <w:t>SHAP summary plot. Each point is one test-set dwelling; horizontal position is the SHAP value (signed contribution to the predicted score) and colour is the feature value (red is high).</w:t>
      </w:r>
      <w:bookmarkEnd w:id="16"/>
    </w:p>
    <w:p w14:paraId="724BFB37" w14:textId="77777777" w:rsidR="00144A83" w:rsidRPr="00707D78" w:rsidRDefault="002929A7" w:rsidP="002D5E1C">
      <w:r>
        <w:rPr>
          <w:b/>
          <w:bCs/>
        </w:rPr>
        <w:lastRenderedPageBreak/>
        <w:t>Calibration</w:t>
      </w:r>
      <w:r w:rsidR="00676EC3">
        <w:rPr>
          <w:b/>
          <w:bCs/>
        </w:rPr>
        <w:t>:</w:t>
      </w:r>
      <w:r>
        <w:rPr>
          <w:b/>
          <w:bCs/>
        </w:rPr>
        <w:t xml:space="preserve"> </w:t>
      </w:r>
      <w:r>
        <w:t>For a regression head, the calibration analogue is the score-reliability curve (Figure 11), which plots the per-decile mean predicted score against the observed SAP score. A slope of 0.79 and an intercept of +16 indicate mild compression toward the mean. Band predictions stay robust to uniform shifts of this kind, because the DLUHC thresholds are wide. Downstream uses that require unbiased point scores can correct the compression by post-processing with isotonic regression.</w:t>
      </w:r>
    </w:p>
    <w:p w14:paraId="67F14F6F" w14:textId="77777777" w:rsidR="00144A83" w:rsidRPr="00707D78" w:rsidRDefault="002929A7">
      <w:pPr>
        <w:spacing w:before="120" w:after="60"/>
        <w:jc w:val="center"/>
      </w:pPr>
      <w:r>
        <w:rPr>
          <w:noProof/>
        </w:rPr>
        <w:drawing>
          <wp:inline distT="0" distB="0" distL="0" distR="0" wp14:anchorId="3E0A69A8" wp14:editId="30841518">
            <wp:extent cx="5029200" cy="5010150"/>
            <wp:effectExtent l="0" t="0" r="0" b="0"/>
            <wp:docPr id="1876543792" name="fig_score_reliability" descr="SAP-score reliability curve: per-decile mean predicted score against per-decile mean observed score on the temporal hold-out. The slope of 0.79 and intercept of +16 indicate mild compression toward the mean." title="SAP-score reliability curve: per-decile mean predicted score against per-decile mean observed score on the temporal hold-out. The slope of 0.79 and intercept of +16 indicate mild compression toward the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5010150"/>
                    </a:xfrm>
                    <a:prstGeom prst="rect">
                      <a:avLst/>
                    </a:prstGeom>
                  </pic:spPr>
                </pic:pic>
              </a:graphicData>
            </a:graphic>
          </wp:inline>
        </w:drawing>
      </w:r>
    </w:p>
    <w:p w14:paraId="2F81493D" w14:textId="6DF28145"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11</w:t>
      </w:r>
      <w:r>
        <w:rPr>
          <w:lang w:val="en-GB"/>
        </w:rPr>
        <w:fldChar w:fldCharType="end"/>
      </w:r>
      <w:r>
        <w:rPr>
          <w:lang w:val="en-GB"/>
        </w:rPr>
        <w:t xml:space="preserve">. </w:t>
      </w:r>
      <w:bookmarkStart w:id="17" w:name="_Toc231919082"/>
      <w:r>
        <w:rPr>
          <w:lang w:val="en-GB"/>
        </w:rPr>
        <w:t>SAP-score reliability curve: per-decile mean predicted score against per-decile mean observed score on the temporal hold-out. The slope of 0.79 and intercept of +16 indicate mild compression toward the mean.</w:t>
      </w:r>
      <w:bookmarkEnd w:id="17"/>
    </w:p>
    <w:p w14:paraId="0DE382ED" w14:textId="77777777" w:rsidR="00144A83" w:rsidRPr="00707D78" w:rsidRDefault="002929A7" w:rsidP="002D5E1C">
      <w:r>
        <w:rPr>
          <w:b/>
          <w:bCs/>
        </w:rPr>
        <w:t>Fairness</w:t>
      </w:r>
      <w:r w:rsidR="002945BD">
        <w:rPr>
          <w:b/>
          <w:bCs/>
        </w:rPr>
        <w:t xml:space="preserve"> </w:t>
      </w:r>
      <w:r>
        <w:rPr>
          <w:b/>
          <w:bCs/>
        </w:rPr>
        <w:t>and confidence</w:t>
      </w:r>
      <w:r w:rsidR="006C087D">
        <w:rPr>
          <w:b/>
          <w:bCs/>
        </w:rPr>
        <w:t>:</w:t>
      </w:r>
      <w:r>
        <w:rPr>
          <w:b/>
          <w:bCs/>
        </w:rPr>
        <w:t xml:space="preserve"> </w:t>
      </w:r>
      <w:r>
        <w:t xml:space="preserve">Per-REPORT_TYPE breakdowns (reports/champion_robustness.json) show an RdSAP MAE in band units of 0.31, against 0.34 for SAP. The hybrid design closes +0.061 QWK of this gap, although the SAP cohort still retains an irreducibly small absolute count of minority bands. A confidence proxy, defined as the distance from the band boundary, is validated by quartiling the hold-out: QWK rises </w:t>
      </w:r>
      <w:r>
        <w:lastRenderedPageBreak/>
        <w:t xml:space="preserve">monotonically from 0.65 in the bottom quartile to 0.85 in the top. </w:t>
      </w:r>
      <w:r w:rsidR="00F2217E">
        <w:t>These +0.19 gaps</w:t>
      </w:r>
      <w:r>
        <w:t xml:space="preserve"> confirms that the proxy separates reliable predictions from unreliable ones.</w:t>
      </w:r>
    </w:p>
    <w:p w14:paraId="6C2288CC" w14:textId="77777777" w:rsidR="00144A83" w:rsidRPr="00707D78" w:rsidRDefault="002929A7">
      <w:pPr>
        <w:pStyle w:val="Heading2"/>
        <w:rPr>
          <w:lang w:val="en-GB"/>
        </w:rPr>
      </w:pPr>
      <w:bookmarkStart w:id="18" w:name="_Toc231919068"/>
      <w:r>
        <w:rPr>
          <w:lang w:val="en-GB"/>
        </w:rPr>
        <w:t>3.5 Unsupervised Segmentation and Retrofit Recommender</w:t>
      </w:r>
      <w:bookmarkEnd w:id="18"/>
    </w:p>
    <w:p w14:paraId="03E6FDFD" w14:textId="77777777" w:rsidR="00144A83" w:rsidRPr="00707D78" w:rsidRDefault="002929A7" w:rsidP="002D5E1C">
      <w:r>
        <w:t>Two unsupervised methods extend the analysis. K-Prototypes (Huang, 1998) segments the mixed numeric and categorical stock on the same leak-free features. Both the silhouette and Davies-Bouldin criteria select k = 3, and a silhouette of 0.24 points to soft, interpretable archetypes rather than crisp clusters (Figure 12). Three segments emerge: pre-1914 solid-brick houses (mean SAP 56, band D), which form the retrofit priority; a mid-century cavity-wall majority (48% of the stock, band D); and newer cavity flats (band C). A hybrid recommender (Figure 13) then mines recommendations.csv. Apriori rules (Agrawal and Srikant, 1994) show single-glazing, draught-proofing and wall insulation co-occurring far above chance (lift 8.9), and a content-based cosine k-NN predicts measures from fabric-similar neighbours at a hit-rate of 0.97, beating a popularity baseline by +0.08 on precision@5. The cheapest universal measure is low-energy lighting, at 25 pounds.</w:t>
      </w:r>
    </w:p>
    <w:p w14:paraId="4FAA7A66" w14:textId="77777777" w:rsidR="006C3A14" w:rsidRDefault="00564781" w:rsidP="000D3A29">
      <w:pPr>
        <w:spacing w:before="80" w:after="20"/>
        <w:ind w:firstLine="0"/>
      </w:pPr>
      <w:r>
        <w:rPr>
          <w:i/>
          <w:sz w:val="19"/>
        </w:rPr>
        <w:t>Listing 6. Association-rule and content-based recommender (scripts/run_recommender.py).</w:t>
      </w:r>
    </w:p>
    <w:p w14:paraId="5A266A54" w14:textId="77777777" w:rsidR="006C3A14" w:rsidRDefault="00564781" w:rsidP="000D3A29">
      <w:pPr>
        <w:keepLines/>
        <w:pBdr>
          <w:top w:val="single" w:sz="4" w:space="4" w:color="C9C9C9"/>
          <w:left w:val="single" w:sz="4" w:space="4" w:color="C9C9C9"/>
          <w:bottom w:val="single" w:sz="4" w:space="4" w:color="C9C9C9"/>
          <w:right w:val="single" w:sz="4" w:space="4" w:color="C9C9C9"/>
        </w:pBdr>
        <w:shd w:val="clear" w:color="auto" w:fill="F4F4F4"/>
        <w:spacing w:before="120" w:after="120"/>
        <w:ind w:left="120" w:right="120" w:firstLine="0"/>
        <w:jc w:val="left"/>
      </w:pPr>
      <w:r>
        <w:rPr>
          <w:rFonts w:ascii="Consolas" w:hAnsi="Consolas"/>
          <w:color w:val="1A1A1A"/>
          <w:sz w:val="17"/>
        </w:rPr>
        <w:t># scripts/run_recommender.py - association rules + content-based k-NN over recommendations.csv</w:t>
      </w:r>
      <w:r>
        <w:rPr>
          <w:rFonts w:ascii="Consolas" w:hAnsi="Consolas"/>
          <w:color w:val="1A1A1A"/>
          <w:sz w:val="17"/>
        </w:rPr>
        <w:br/>
        <w:t>freq  = apriori(onehot, min_support=0.03, use_colnames=True, max_len=3)</w:t>
      </w:r>
      <w:r>
        <w:rPr>
          <w:rFonts w:ascii="Consolas" w:hAnsi="Consolas"/>
          <w:color w:val="1A1A1A"/>
          <w:sz w:val="17"/>
        </w:rPr>
        <w:br/>
        <w:t>rules = association_rules(freq, metric="lift", min_threshold=1.05) \</w:t>
      </w:r>
      <w:r>
        <w:rPr>
          <w:rFonts w:ascii="Consolas" w:hAnsi="Consolas"/>
          <w:color w:val="1A1A1A"/>
          <w:sz w:val="17"/>
        </w:rPr>
        <w:br/>
        <w:t xml:space="preserve">            .sort_values("lift", ascending=False)    # e.g. glazing + draught-proofing, lift 8.9</w:t>
      </w:r>
      <w:r>
        <w:rPr>
          <w:rFonts w:ascii="Consolas" w:hAnsi="Consolas"/>
          <w:color w:val="1A1A1A"/>
          <w:sz w:val="17"/>
        </w:rPr>
        <w:br/>
        <w:t>nn    = NearestNeighbors(n_neighbors=15, metric="cosine").fit(X_train)   # leak-free fabric</w:t>
      </w:r>
      <w:r>
        <w:rPr>
          <w:rFonts w:ascii="Consolas" w:hAnsi="Consolas"/>
          <w:color w:val="1A1A1A"/>
          <w:sz w:val="17"/>
        </w:rPr>
        <w:br/>
        <w:t>_, nbr = nn.kneighbors(X_test)                       # measures from fabric-similar dwellings</w:t>
      </w:r>
    </w:p>
    <w:p w14:paraId="0EC9F91A" w14:textId="77777777" w:rsidR="00144A83" w:rsidRPr="00707D78" w:rsidRDefault="002929A7">
      <w:pPr>
        <w:spacing w:before="120" w:after="60"/>
        <w:jc w:val="center"/>
      </w:pPr>
      <w:r>
        <w:rPr>
          <w:noProof/>
        </w:rPr>
        <w:drawing>
          <wp:inline distT="0" distB="0" distL="0" distR="0" wp14:anchorId="562A02FF" wp14:editId="24C1E334">
            <wp:extent cx="5486400" cy="2209800"/>
            <wp:effectExtent l="0" t="0" r="0" b="0"/>
            <wp:docPr id="1036970730" name="fig_cluster_profile" descr="K-Prototypes segmentation (k = 3): standardised fabric profile (left) and post-hoc mean SAP per segment (right)." title="K-Prototypes segmentation (k = 3): standardised fabric profile (left) and post-hoc mean SAP per segmen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209800"/>
                    </a:xfrm>
                    <a:prstGeom prst="rect">
                      <a:avLst/>
                    </a:prstGeom>
                  </pic:spPr>
                </pic:pic>
              </a:graphicData>
            </a:graphic>
          </wp:inline>
        </w:drawing>
      </w:r>
    </w:p>
    <w:p w14:paraId="75661317" w14:textId="052B8C4D"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12</w:t>
      </w:r>
      <w:r>
        <w:rPr>
          <w:lang w:val="en-GB"/>
        </w:rPr>
        <w:fldChar w:fldCharType="end"/>
      </w:r>
      <w:r>
        <w:rPr>
          <w:lang w:val="en-GB"/>
        </w:rPr>
        <w:t xml:space="preserve">. </w:t>
      </w:r>
      <w:bookmarkStart w:id="19" w:name="_Toc231919083"/>
      <w:r>
        <w:rPr>
          <w:lang w:val="en-GB"/>
        </w:rPr>
        <w:t>K-Prototypes segmentation (k = 3): standardised fabric profile (left) and post-hoc mean SAP per segment (right).</w:t>
      </w:r>
      <w:bookmarkEnd w:id="19"/>
    </w:p>
    <w:p w14:paraId="67F73F7B" w14:textId="77777777" w:rsidR="00144A83" w:rsidRPr="00707D78" w:rsidRDefault="002929A7">
      <w:pPr>
        <w:spacing w:before="120" w:after="60"/>
        <w:jc w:val="center"/>
      </w:pPr>
      <w:r>
        <w:rPr>
          <w:noProof/>
        </w:rPr>
        <w:lastRenderedPageBreak/>
        <w:drawing>
          <wp:inline distT="0" distB="0" distL="0" distR="0" wp14:anchorId="3D361151" wp14:editId="5E431895">
            <wp:extent cx="5667375" cy="2038350"/>
            <wp:effectExtent l="0" t="0" r="0" b="0"/>
            <wp:docPr id="1210788138" name="fig_recommender" descr="Retrofit recommender: most-recommended measures with indicative cost (left) and top Apriori association rules by lift (right)." title="Retrofit recommender: most-recommended measures with indicative cost (left) and top Apriori association rules by lif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2038350"/>
                    </a:xfrm>
                    <a:prstGeom prst="rect">
                      <a:avLst/>
                    </a:prstGeom>
                  </pic:spPr>
                </pic:pic>
              </a:graphicData>
            </a:graphic>
          </wp:inline>
        </w:drawing>
      </w:r>
    </w:p>
    <w:p w14:paraId="134B41B4" w14:textId="3408D3A7" w:rsidR="00144A83" w:rsidRPr="00707D78" w:rsidRDefault="002929A7">
      <w:pPr>
        <w:pStyle w:val="Caption"/>
        <w:spacing w:after="200"/>
        <w:jc w:val="center"/>
        <w:rPr>
          <w:lang w:val="en-GB"/>
        </w:rPr>
      </w:pPr>
      <w:r>
        <w:rPr>
          <w:lang w:val="en-GB"/>
        </w:rPr>
        <w:t xml:space="preserve">Figure </w:t>
      </w:r>
      <w:r>
        <w:rPr>
          <w:lang w:val="en-GB"/>
        </w:rPr>
        <w:fldChar w:fldCharType="begin"/>
      </w:r>
      <w:r>
        <w:rPr>
          <w:lang w:val="en-GB"/>
        </w:rPr>
        <w:instrText>SEQ Figure</w:instrText>
      </w:r>
      <w:r>
        <w:rPr>
          <w:lang w:val="en-GB"/>
        </w:rPr>
        <w:fldChar w:fldCharType="separate"/>
      </w:r>
      <w:r w:rsidR="00036ACC">
        <w:rPr>
          <w:noProof/>
          <w:lang w:val="en-GB"/>
        </w:rPr>
        <w:t>13</w:t>
      </w:r>
      <w:r>
        <w:rPr>
          <w:lang w:val="en-GB"/>
        </w:rPr>
        <w:fldChar w:fldCharType="end"/>
      </w:r>
      <w:r>
        <w:rPr>
          <w:lang w:val="en-GB"/>
        </w:rPr>
        <w:t xml:space="preserve">. </w:t>
      </w:r>
      <w:bookmarkStart w:id="20" w:name="_Toc231919084"/>
      <w:r>
        <w:rPr>
          <w:lang w:val="en-GB"/>
        </w:rPr>
        <w:t>Retrofit recommender: most-recommended measures with indicative cost (left) and top Apriori association rules by lift (right).</w:t>
      </w:r>
      <w:bookmarkEnd w:id="20"/>
    </w:p>
    <w:p w14:paraId="49245F12" w14:textId="77777777" w:rsidR="00144A83" w:rsidRPr="00707D78" w:rsidRDefault="002929A7">
      <w:pPr>
        <w:pStyle w:val="Heading1"/>
        <w:rPr>
          <w:lang w:val="en-GB"/>
        </w:rPr>
      </w:pPr>
      <w:bookmarkStart w:id="21" w:name="_Toc231919069"/>
      <w:r>
        <w:rPr>
          <w:lang w:val="en-GB"/>
        </w:rPr>
        <w:t>4. Recommendations and Conclusion</w:t>
      </w:r>
      <w:bookmarkEnd w:id="21"/>
    </w:p>
    <w:p w14:paraId="136016B9" w14:textId="77777777" w:rsidR="00144A83" w:rsidRPr="00707D78" w:rsidRDefault="002929A7" w:rsidP="002D5E1C">
      <w:r>
        <w:t>The findings translate into prioritised actions for Oxford City Council, registered providers and green-mortgage underwriters. Each action below is sequenced and quantified against the 76,400-row predictions_oxford.csv corpus.</w:t>
      </w:r>
    </w:p>
    <w:p w14:paraId="6854813C" w14:textId="77777777" w:rsidR="00144A83" w:rsidRPr="00707D78" w:rsidRDefault="002929A7" w:rsidP="002D5E1C">
      <w:r>
        <w:rPr>
          <w:b/>
          <w:bCs/>
        </w:rPr>
        <w:t>Immediate (audit)</w:t>
      </w:r>
      <w:r w:rsidR="00854B8B">
        <w:rPr>
          <w:b/>
          <w:bCs/>
        </w:rPr>
        <w:t>:</w:t>
      </w:r>
      <w:r>
        <w:rPr>
          <w:b/>
          <w:bCs/>
        </w:rPr>
        <w:t xml:space="preserve"> </w:t>
      </w:r>
      <w:r>
        <w:t>Use the per-UPRN confidence proxy to triage dwellings. The bottom-confidence quartile of hold-out dwellings (QWK 0.65) should be flagged for re-assessment before any subsidy decision is taken, while the top quartile (QWK 0.85) is reliable enough for automated routing. Given the close-to-3:1 conservative bias noted in Section 3.4, audits should favour properties that are more likely to have been under-rated.</w:t>
      </w:r>
    </w:p>
    <w:p w14:paraId="0CEEC653" w14:textId="77777777" w:rsidR="00144A83" w:rsidRPr="00707D78" w:rsidRDefault="002929A7" w:rsidP="002D5E1C">
      <w:r>
        <w:rPr>
          <w:b/>
          <w:bCs/>
        </w:rPr>
        <w:t>Short-term (ECO4 and MEES routing)</w:t>
      </w:r>
      <w:r w:rsidR="00CA1ABA">
        <w:rPr>
          <w:b/>
          <w:bCs/>
        </w:rPr>
        <w:t>:</w:t>
      </w:r>
      <w:r>
        <w:rPr>
          <w:b/>
          <w:bCs/>
        </w:rPr>
        <w:t xml:space="preserve"> </w:t>
      </w:r>
      <w:r>
        <w:t>Prioritise solid-wall insulation in the 17,136 pre-1929 dwellings, of which 20,414 carry FLAG_SOLID_BRICK_BARE corpus-wide. Wall construction is the largest categorical lever (Cramer’s V 0.407) and the most consequential physical retrofit, at 4,000 to 14,000 pounds per dwelling, funded through the Energy Company Obligation (ECO4, running to March 2026) and the Great British Insulation Scheme. Second, fund loft top-ups for the 8,448 FLAG_NO_LOFT_INSULATION dwellings, which cost under 600 pounds each and are SHAP-positive across nearly every band.</w:t>
      </w:r>
    </w:p>
    <w:p w14:paraId="3F3B045E" w14:textId="77777777" w:rsidR="00144A83" w:rsidRPr="00707D78" w:rsidRDefault="002929A7" w:rsidP="002D5E1C">
      <w:r>
        <w:rPr>
          <w:b/>
          <w:bCs/>
        </w:rPr>
        <w:t>Medium-term (private-rented compliance)</w:t>
      </w:r>
      <w:r w:rsidR="00FE3D8E">
        <w:rPr>
          <w:b/>
          <w:bCs/>
        </w:rPr>
        <w:t>:</w:t>
      </w:r>
      <w:r>
        <w:rPr>
          <w:b/>
          <w:bCs/>
        </w:rPr>
        <w:t xml:space="preserve"> </w:t>
      </w:r>
      <w:r>
        <w:t>The Minimum Energy Efficiency Standards, in force since 2018, require band E for private rentals. The team can triage rentals predicted as F or G from predictions_oxford.csv, but should act automatically only on the top confidence quartile (hold-out QWK 0.85), because band-F F1 is just 0.35 and low-confidence cases need re-assessment first. In parallel, replace single glazing in the 1,935 single-glazed dwellings dating from 1900 to 1949. Because SAP is cost-based, a gas-to-heat-pump swap may not improve the rating at Ofgem (2024) tariffs until the electricity-to-gas price ratio narrows.</w:t>
      </w:r>
    </w:p>
    <w:p w14:paraId="5623560D" w14:textId="77777777" w:rsidR="00144A83" w:rsidRPr="00707D78" w:rsidRDefault="002929A7" w:rsidP="002D5E1C">
      <w:r>
        <w:rPr>
          <w:b/>
          <w:bCs/>
        </w:rPr>
        <w:lastRenderedPageBreak/>
        <w:t>Long-term (geographic targeting)</w:t>
      </w:r>
      <w:r w:rsidR="0067440B">
        <w:rPr>
          <w:b/>
          <w:bCs/>
        </w:rPr>
        <w:t>:</w:t>
      </w:r>
      <w:r>
        <w:rPr>
          <w:b/>
          <w:bCs/>
        </w:rPr>
        <w:t xml:space="preserve"> </w:t>
      </w:r>
      <w:r>
        <w:t>Postcode districts differ in both volume and density. OX4 holds the largest absolute count of pre-1900 stock, at about 2,390 dwellings or 7.4% of the district, while OX2 (2,268 dwellings, 13.9%) and OX1 (950 dwellings, 13.5%) have the highest density. A district-weighted subsidy schedule that prioritises OX2 and OX1 by density, and OX4 by volume, delivers more SAP-points-per-pound than a flat-rate offer would.</w:t>
      </w:r>
    </w:p>
    <w:p w14:paraId="24A90AA3" w14:textId="77777777" w:rsidR="00144A83" w:rsidRPr="00707D78" w:rsidRDefault="002929A7">
      <w:pPr>
        <w:pStyle w:val="Heading1"/>
        <w:rPr>
          <w:lang w:val="en-GB"/>
        </w:rPr>
      </w:pPr>
      <w:bookmarkStart w:id="22" w:name="_Toc231919070"/>
      <w:r>
        <w:rPr>
          <w:lang w:val="en-GB"/>
        </w:rPr>
        <w:t>5. Limitations and Ethics</w:t>
      </w:r>
      <w:bookmarkEnd w:id="22"/>
    </w:p>
    <w:p w14:paraId="0409E7DC" w14:textId="77777777" w:rsidR="00144A83" w:rsidRPr="00707D78" w:rsidRDefault="002929A7" w:rsidP="002D5E1C">
      <w:r>
        <w:t>Several limitations bound the interpretation of these results. EPCs are RdSAP-modelled rather than directly measured, inter-assessor variance is around five SAP points (Few et al., 2023), and Hardy and Glew (2019) document systemic database errors, so the score MAE of 4.05 sits close to the irreducible label-noise floor. The corpus over-represents transacting properties, which means the findings will not transfer to other areas without modification. The reliability curve shows mild compression (slope 0.79), which is correctable through isotonic regression, and the sparse A, F and G bands carry wide confidence intervals. Personal data were excluded in line with GDPR Article 5. The model is unsuitable for individual valuation, mortgage underwriting, or automated decisions with legal effect under GDPR Article 22.</w:t>
      </w:r>
    </w:p>
    <w:p w14:paraId="0B1091D5" w14:textId="77777777" w:rsidR="00144A83" w:rsidRPr="00707D78" w:rsidRDefault="002929A7" w:rsidP="002D5E1C">
      <w:r>
        <w:t>The pipeline was stress-tested for residual leakage across three issues: the use of random rather than temporal early-stopping, the computation of outlier and missingness statistics before the split, and the inclusion of REPORT_TYPE as a covariate. Their effect is negligible. Deciding the missingness set on the training fold yields a byte-identical model, and the early-stopping change is inert. Inverse-UPRN weighting lifted one seed but widened the multi-seed spread, so it was rejected, and a depth-5 tree baseline (QWK 0.60 against 0.77) confirms that the boosted model’s extra complexity is earned. The SAP-10 (2022) revisions represent a structural break that will require periodic retraining.</w:t>
      </w:r>
    </w:p>
    <w:p w14:paraId="15B7409E" w14:textId="77777777" w:rsidR="00144A83" w:rsidRPr="00707D78" w:rsidRDefault="002929A7">
      <w:r>
        <w:br w:type="page"/>
      </w:r>
    </w:p>
    <w:p w14:paraId="3236B5A1" w14:textId="77777777" w:rsidR="00144A83" w:rsidRPr="00707D78" w:rsidRDefault="002929A7">
      <w:pPr>
        <w:pStyle w:val="Heading1"/>
        <w:rPr>
          <w:lang w:val="en-GB"/>
        </w:rPr>
      </w:pPr>
      <w:bookmarkStart w:id="23" w:name="_Toc231919071"/>
      <w:r>
        <w:rPr>
          <w:lang w:val="en-GB"/>
        </w:rPr>
        <w:lastRenderedPageBreak/>
        <w:t>References</w:t>
      </w:r>
      <w:bookmarkEnd w:id="23"/>
    </w:p>
    <w:p w14:paraId="77E2BF38" w14:textId="77777777" w:rsidR="00144A83" w:rsidRPr="00707D78" w:rsidRDefault="002929A7">
      <w:pPr>
        <w:spacing w:after="120" w:line="276" w:lineRule="auto"/>
        <w:ind w:left="480" w:hanging="480"/>
      </w:pPr>
      <w:r>
        <w:t>Agrawal, R. and Srikant, R. (1994) 'Fast algorithms for mining association rules', Proceedings of the 20th International Conference on Very Large Data Bases (VLDB), pp. 487-499.</w:t>
      </w:r>
    </w:p>
    <w:p w14:paraId="50CED076" w14:textId="77777777" w:rsidR="00144A83" w:rsidRPr="00707D78" w:rsidRDefault="002929A7">
      <w:pPr>
        <w:spacing w:after="120" w:line="276" w:lineRule="auto"/>
        <w:ind w:left="480" w:hanging="480"/>
      </w:pPr>
      <w:r>
        <w:t>Akiba, T., Sano, S., Yanase, T., Ohta, T. and Koyama, M. (2019) 'Optuna: a next-generation hyperparameter optimization framework', Proceedings of the 25th ACM SIGKDD International Conference on Knowledge Discovery and Data Mining, pp. 2623-2631.</w:t>
      </w:r>
    </w:p>
    <w:p w14:paraId="2920284B" w14:textId="77777777" w:rsidR="00144A83" w:rsidRPr="00707D78" w:rsidRDefault="002929A7">
      <w:pPr>
        <w:spacing w:after="120" w:line="276" w:lineRule="auto"/>
        <w:ind w:left="480" w:hanging="480"/>
      </w:pPr>
      <w:r>
        <w:t>BRE (Building Research Establishment) (2014) The Government's Standard Assessment Procedure for Energy Rating of Dwellings, 2012 edition. Watford: BRE.</w:t>
      </w:r>
    </w:p>
    <w:p w14:paraId="51B68E86" w14:textId="77777777" w:rsidR="00144A83" w:rsidRPr="00707D78" w:rsidRDefault="002929A7">
      <w:pPr>
        <w:spacing w:after="120" w:line="276" w:lineRule="auto"/>
        <w:ind w:left="480" w:hanging="480"/>
      </w:pPr>
      <w:r>
        <w:t>Cao, W., Mirjalili, V. and Raschka, S. (2020) 'Rank consistent ordinal regression for neural networks with application to age estimation', Pattern Recognition Letters, 140, pp. 325-331.</w:t>
      </w:r>
    </w:p>
    <w:p w14:paraId="63869D3E" w14:textId="77777777" w:rsidR="00144A83" w:rsidRPr="00707D78" w:rsidRDefault="002929A7">
      <w:pPr>
        <w:spacing w:after="120" w:line="276" w:lineRule="auto"/>
        <w:ind w:left="480" w:hanging="480"/>
      </w:pPr>
      <w:r>
        <w:t>Climate Change Committee (2023) Progress in reducing UK emissions: 2023 report to Parliament. London: Climate Change Committee.</w:t>
      </w:r>
    </w:p>
    <w:p w14:paraId="3E4B4950" w14:textId="77777777" w:rsidR="00144A83" w:rsidRPr="00707D78" w:rsidRDefault="002929A7">
      <w:pPr>
        <w:spacing w:after="120" w:line="276" w:lineRule="auto"/>
        <w:ind w:left="480" w:hanging="480"/>
      </w:pPr>
      <w:r>
        <w:t>Crawley, J., Biddulph, P., Northrop, P., Wingfield, J., Oreszczyn, T. and Elwell, C. (2019) 'Quantifying the measurement error on England and Wales EPC ratings', Energies, 12(18), 3523.</w:t>
      </w:r>
    </w:p>
    <w:p w14:paraId="69484A37" w14:textId="77777777" w:rsidR="00144A83" w:rsidRPr="00707D78" w:rsidRDefault="002929A7">
      <w:pPr>
        <w:spacing w:after="120" w:line="276" w:lineRule="auto"/>
        <w:ind w:left="480" w:hanging="480"/>
      </w:pPr>
      <w:r>
        <w:t>DLUHC (Department for Levelling Up, Housing and Communities) (2022) Energy Performance of Buildings data: England and Wales. Available at: https://epc.opendatacommunities.org (Accessed: 29 April 2026).</w:t>
      </w:r>
    </w:p>
    <w:p w14:paraId="15541D1D" w14:textId="77777777" w:rsidR="00144A83" w:rsidRPr="00707D78" w:rsidRDefault="002929A7">
      <w:pPr>
        <w:spacing w:after="120" w:line="276" w:lineRule="auto"/>
        <w:ind w:left="480" w:hanging="480"/>
      </w:pPr>
      <w:r>
        <w:t>Few, J., Pullinger, M., McKenna, E., Elam, S., Webborn, E. and Oreszczyn, T. (2023) 'Smart-meter and EPC datasets disagree about UK domestic energy use: a study of 13,000 homes', Buildings and Cities, 4(1), pp. 1-21.</w:t>
      </w:r>
    </w:p>
    <w:p w14:paraId="56EDA20C" w14:textId="77777777" w:rsidR="00144A83" w:rsidRPr="00707D78" w:rsidRDefault="002929A7">
      <w:pPr>
        <w:spacing w:after="120" w:line="276" w:lineRule="auto"/>
        <w:ind w:left="480" w:hanging="480"/>
      </w:pPr>
      <w:r>
        <w:t>Grinsztajn, L., Oyallon, E. and Varoquaux, G. (2022) 'Why do tree-based models still outperform deep learning on typical tabular data?', Advances in Neural Information Processing Systems, 35, pp. 507-520.</w:t>
      </w:r>
    </w:p>
    <w:p w14:paraId="756E8F42" w14:textId="77777777" w:rsidR="00144A83" w:rsidRPr="00707D78" w:rsidRDefault="002929A7">
      <w:pPr>
        <w:spacing w:after="120" w:line="276" w:lineRule="auto"/>
        <w:ind w:left="480" w:hanging="480"/>
      </w:pPr>
      <w:r>
        <w:t>Hardy, A. and Glew, D. (2019) 'An analysis of errors in the Energy Performance Certificate database', Energy Policy, 129, pp. 1168-1178.</w:t>
      </w:r>
    </w:p>
    <w:p w14:paraId="2D7ABC35" w14:textId="77777777" w:rsidR="00144A83" w:rsidRPr="00707D78" w:rsidRDefault="002929A7">
      <w:pPr>
        <w:spacing w:after="120" w:line="276" w:lineRule="auto"/>
        <w:ind w:left="480" w:hanging="480"/>
      </w:pPr>
      <w:r>
        <w:t>HM Government (2021) Net Zero Strategy: Build Back Greener. London: HMSO.</w:t>
      </w:r>
    </w:p>
    <w:p w14:paraId="58930004" w14:textId="77777777" w:rsidR="00144A83" w:rsidRPr="00707D78" w:rsidRDefault="002929A7">
      <w:pPr>
        <w:spacing w:after="120" w:line="276" w:lineRule="auto"/>
        <w:ind w:left="480" w:hanging="480"/>
      </w:pPr>
      <w:r>
        <w:t>Huang, Z. (1998) 'Extensions to the k-means algorithm for clustering large data sets with categorical values', Data Mining and Knowledge Discovery, 2(3), pp. 283-304.</w:t>
      </w:r>
    </w:p>
    <w:p w14:paraId="1A746D3A" w14:textId="77777777" w:rsidR="00144A83" w:rsidRPr="00707D78" w:rsidRDefault="002929A7">
      <w:pPr>
        <w:spacing w:after="120" w:line="276" w:lineRule="auto"/>
        <w:ind w:left="480" w:hanging="480"/>
      </w:pPr>
      <w:r>
        <w:t>Kapoor, S. and Narayanan, A. (2023) 'Leakage and the reproducibility crisis in machine-learning-based science', Patterns, 4(9), 100804.</w:t>
      </w:r>
    </w:p>
    <w:p w14:paraId="7F8F0064" w14:textId="77777777" w:rsidR="00144A83" w:rsidRPr="00707D78" w:rsidRDefault="002929A7">
      <w:pPr>
        <w:spacing w:after="120" w:line="276" w:lineRule="auto"/>
        <w:ind w:left="480" w:hanging="480"/>
      </w:pPr>
      <w:r>
        <w:t>Lundberg, S.M. and Lee, S.-I. (2017) 'A unified approach to interpreting model predictions', Advances in Neural Information Processing Systems, 30, pp. 4765-4774.</w:t>
      </w:r>
    </w:p>
    <w:p w14:paraId="2C0EF09E" w14:textId="77777777" w:rsidR="00144A83" w:rsidRPr="00707D78" w:rsidRDefault="002929A7">
      <w:pPr>
        <w:spacing w:after="120" w:line="276" w:lineRule="auto"/>
        <w:ind w:left="480" w:hanging="480"/>
      </w:pPr>
      <w:r>
        <w:t>Ofgem (2024) Default tariff cap: level 16. London: Office of Gas and Electricity Markets.</w:t>
      </w:r>
    </w:p>
    <w:p w14:paraId="5431B3A4" w14:textId="77777777" w:rsidR="00144A83" w:rsidRPr="00707D78" w:rsidRDefault="002929A7">
      <w:pPr>
        <w:spacing w:after="120" w:line="276" w:lineRule="auto"/>
        <w:ind w:left="480" w:hanging="480"/>
      </w:pPr>
      <w:r>
        <w:t>ONS (Office for National Statistics) (2023) Census 2021: housing in England and Wales. London: ONS.</w:t>
      </w:r>
    </w:p>
    <w:p w14:paraId="11C5770B" w14:textId="77777777" w:rsidR="00144A83" w:rsidRPr="00707D78" w:rsidRDefault="002929A7">
      <w:pPr>
        <w:spacing w:after="120" w:line="276" w:lineRule="auto"/>
        <w:ind w:left="480" w:hanging="480"/>
      </w:pPr>
      <w:r>
        <w:lastRenderedPageBreak/>
        <w:t>ONS Data Science Campus (2021) Using machine learning to predict energy efficiency. Newport: Office for National Statistics. Available at: https://datasciencecampus.ons.gov.uk/projects/using-machine-learning-to-predict-energy-efficiency/ (Accessed: 17 May 2026).</w:t>
      </w:r>
    </w:p>
    <w:p w14:paraId="5F749A04" w14:textId="77777777" w:rsidR="00144A83" w:rsidRPr="00707D78" w:rsidRDefault="002929A7">
      <w:pPr>
        <w:spacing w:after="120" w:line="276" w:lineRule="auto"/>
        <w:ind w:left="480" w:hanging="480"/>
      </w:pPr>
      <w:r>
        <w:t>Oxford City Council (2023) Zero Carbon Oxford Roadmap and Action Plan. Oxford: Oxford City Council.</w:t>
      </w:r>
    </w:p>
    <w:p w14:paraId="17456E10" w14:textId="77777777" w:rsidR="00144A83" w:rsidRPr="00707D78" w:rsidRDefault="002929A7">
      <w:pPr>
        <w:spacing w:after="120" w:line="276" w:lineRule="auto"/>
        <w:ind w:left="480" w:hanging="480"/>
      </w:pPr>
      <w: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5D9C10C9" w14:textId="77777777" w:rsidR="00144A83" w:rsidRPr="00707D78" w:rsidRDefault="002929A7">
      <w:pPr>
        <w:spacing w:after="120" w:line="276" w:lineRule="auto"/>
        <w:ind w:left="480" w:hanging="480"/>
      </w:pPr>
      <w:r>
        <w:t>Pedregosa, F., Bach, F. and Gramfort, A. (2017) 'On the consistency of ordinal regression methods', Journal of Machine Learning Research, 18(55), pp. 1-35.</w:t>
      </w:r>
    </w:p>
    <w:p w14:paraId="473CD8F8" w14:textId="77777777" w:rsidR="00144A83" w:rsidRPr="00707D78" w:rsidRDefault="002929A7">
      <w:pPr>
        <w:spacing w:after="120" w:line="276" w:lineRule="auto"/>
        <w:ind w:left="480" w:hanging="480"/>
      </w:pPr>
      <w:r>
        <w:t>Strobl, C., Boulesteix, A.-L., Zeileis, A. and Hothorn, T. (2007) 'Bias in random forest variable importance measures: illustrations, sources and a solution', BMC Bioinformatics, 8, 25.</w:t>
      </w:r>
    </w:p>
    <w:p w14:paraId="045C75CB" w14:textId="77777777" w:rsidR="00144A83" w:rsidRPr="00707D78" w:rsidRDefault="002929A7">
      <w:pPr>
        <w:spacing w:after="120" w:line="276" w:lineRule="auto"/>
        <w:ind w:left="480" w:hanging="480"/>
      </w:pPr>
      <w:r>
        <w:t>Sun, Y., Haghighat, F. and Fung, B.C.M. (2022) 'A review of the state-of-the-art in data-driven approaches for building energy prediction', Energy and Buildings, 221, 110022.</w:t>
      </w:r>
    </w:p>
    <w:p w14:paraId="6A1F9C19" w14:textId="77777777" w:rsidR="00144A83" w:rsidRPr="00707D78" w:rsidRDefault="002929A7">
      <w:pPr>
        <w:spacing w:after="120" w:line="276" w:lineRule="auto"/>
        <w:ind w:left="480" w:hanging="480"/>
      </w:pPr>
      <w:r>
        <w:t>van den Goorbergh, R., van Smeden, M., Timmerman, D. and Van Calster, B. (2022) 'The harm of class imbalance corrections for risk prediction models', Journal of the American Medical Informatics Association, 29(9), pp. 1525-1534.</w:t>
      </w:r>
    </w:p>
    <w:p w14:paraId="59B4637E" w14:textId="77777777" w:rsidR="00144A83" w:rsidRDefault="002929A7">
      <w:pPr>
        <w:spacing w:after="120" w:line="276" w:lineRule="auto"/>
        <w:ind w:left="480" w:hanging="480"/>
      </w:pPr>
      <w:r>
        <w:t>Warrens, M.J. (2012) 'Some paradoxical results for the quadratically weighted kappa', Psychometrika, 77(2), pp. 315-323.</w:t>
      </w:r>
    </w:p>
    <w:sectPr w:rsidR="00144A83" w:rsidSect="005B400C">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DCF0F" w14:textId="77777777" w:rsidR="005C3C00" w:rsidRPr="00707D78" w:rsidRDefault="005C3C00">
      <w:r w:rsidRPr="00707D78">
        <w:separator/>
      </w:r>
    </w:p>
  </w:endnote>
  <w:endnote w:type="continuationSeparator" w:id="0">
    <w:p w14:paraId="33962F9B" w14:textId="77777777" w:rsidR="005C3C00" w:rsidRPr="00707D78" w:rsidRDefault="005C3C00">
      <w:r w:rsidRPr="00707D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28813"/>
      <w:docPartObj>
        <w:docPartGallery w:val="Page Numbers (Bottom of Page)"/>
        <w:docPartUnique/>
      </w:docPartObj>
    </w:sdtPr>
    <w:sdtEndPr>
      <w:rPr>
        <w:noProof/>
      </w:rPr>
    </w:sdtEndPr>
    <w:sdtContent>
      <w:p w14:paraId="08E81C1F" w14:textId="5CA95D24" w:rsidR="00B15359" w:rsidRDefault="00B153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4B84F5" w14:textId="37F9BF27" w:rsidR="00144A83" w:rsidRPr="00707D78" w:rsidRDefault="00D1357C" w:rsidP="00D1357C">
    <w:pPr>
      <w:tabs>
        <w:tab w:val="left" w:pos="7120"/>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6D23" w14:textId="77777777" w:rsidR="005C3C00" w:rsidRPr="00707D78" w:rsidRDefault="005C3C00">
      <w:r w:rsidRPr="00707D78">
        <w:separator/>
      </w:r>
    </w:p>
  </w:footnote>
  <w:footnote w:type="continuationSeparator" w:id="0">
    <w:p w14:paraId="20EFC7A0" w14:textId="77777777" w:rsidR="005C3C00" w:rsidRPr="00707D78" w:rsidRDefault="005C3C00">
      <w:r w:rsidRPr="00707D7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8DF"/>
    <w:multiLevelType w:val="hybridMultilevel"/>
    <w:tmpl w:val="1284C510"/>
    <w:lvl w:ilvl="0" w:tplc="AE16376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725627"/>
    <w:multiLevelType w:val="hybridMultilevel"/>
    <w:tmpl w:val="F1FAB15A"/>
    <w:lvl w:ilvl="0" w:tplc="7C0680C4">
      <w:start w:val="1"/>
      <w:numFmt w:val="bullet"/>
      <w:lvlText w:val="●"/>
      <w:lvlJc w:val="left"/>
      <w:pPr>
        <w:ind w:left="720" w:hanging="360"/>
      </w:pPr>
    </w:lvl>
    <w:lvl w:ilvl="1" w:tplc="677217B8">
      <w:start w:val="1"/>
      <w:numFmt w:val="bullet"/>
      <w:lvlText w:val="○"/>
      <w:lvlJc w:val="left"/>
      <w:pPr>
        <w:ind w:left="1440" w:hanging="360"/>
      </w:pPr>
    </w:lvl>
    <w:lvl w:ilvl="2" w:tplc="4F04B71E">
      <w:start w:val="1"/>
      <w:numFmt w:val="bullet"/>
      <w:lvlText w:val="■"/>
      <w:lvlJc w:val="left"/>
      <w:pPr>
        <w:ind w:left="2160" w:hanging="360"/>
      </w:pPr>
    </w:lvl>
    <w:lvl w:ilvl="3" w:tplc="7E1C79C6">
      <w:start w:val="1"/>
      <w:numFmt w:val="bullet"/>
      <w:lvlText w:val="●"/>
      <w:lvlJc w:val="left"/>
      <w:pPr>
        <w:ind w:left="2880" w:hanging="360"/>
      </w:pPr>
    </w:lvl>
    <w:lvl w:ilvl="4" w:tplc="30442096">
      <w:start w:val="1"/>
      <w:numFmt w:val="bullet"/>
      <w:lvlText w:val="○"/>
      <w:lvlJc w:val="left"/>
      <w:pPr>
        <w:ind w:left="3600" w:hanging="360"/>
      </w:pPr>
    </w:lvl>
    <w:lvl w:ilvl="5" w:tplc="5AEA559E">
      <w:start w:val="1"/>
      <w:numFmt w:val="bullet"/>
      <w:lvlText w:val="■"/>
      <w:lvlJc w:val="left"/>
      <w:pPr>
        <w:ind w:left="4320" w:hanging="360"/>
      </w:pPr>
    </w:lvl>
    <w:lvl w:ilvl="6" w:tplc="FD6A83CA">
      <w:start w:val="1"/>
      <w:numFmt w:val="bullet"/>
      <w:lvlText w:val="●"/>
      <w:lvlJc w:val="left"/>
      <w:pPr>
        <w:ind w:left="5040" w:hanging="360"/>
      </w:pPr>
    </w:lvl>
    <w:lvl w:ilvl="7" w:tplc="5082EE10">
      <w:start w:val="1"/>
      <w:numFmt w:val="bullet"/>
      <w:lvlText w:val="●"/>
      <w:lvlJc w:val="left"/>
      <w:pPr>
        <w:ind w:left="5760" w:hanging="360"/>
      </w:pPr>
    </w:lvl>
    <w:lvl w:ilvl="8" w:tplc="7F96314E">
      <w:start w:val="1"/>
      <w:numFmt w:val="bullet"/>
      <w:lvlText w:val="●"/>
      <w:lvlJc w:val="left"/>
      <w:pPr>
        <w:ind w:left="6480" w:hanging="360"/>
      </w:pPr>
    </w:lvl>
  </w:abstractNum>
  <w:abstractNum w:abstractNumId="2" w15:restartNumberingAfterBreak="0">
    <w:nsid w:val="71A81C65"/>
    <w:multiLevelType w:val="hybridMultilevel"/>
    <w:tmpl w:val="04E41264"/>
    <w:lvl w:ilvl="0" w:tplc="F2BEE6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553697">
    <w:abstractNumId w:val="1"/>
    <w:lvlOverride w:ilvl="0">
      <w:startOverride w:val="1"/>
    </w:lvlOverride>
  </w:num>
  <w:num w:numId="2" w16cid:durableId="531187423">
    <w:abstractNumId w:val="0"/>
  </w:num>
  <w:num w:numId="3" w16cid:durableId="310330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A83"/>
    <w:rsid w:val="00036ACC"/>
    <w:rsid w:val="000D3A29"/>
    <w:rsid w:val="0011729C"/>
    <w:rsid w:val="001279FF"/>
    <w:rsid w:val="0014360F"/>
    <w:rsid w:val="00144A83"/>
    <w:rsid w:val="00172009"/>
    <w:rsid w:val="0019754E"/>
    <w:rsid w:val="001A18B7"/>
    <w:rsid w:val="001C65CE"/>
    <w:rsid w:val="002929A7"/>
    <w:rsid w:val="002945BD"/>
    <w:rsid w:val="002C3C16"/>
    <w:rsid w:val="002D5E1C"/>
    <w:rsid w:val="002F2BD2"/>
    <w:rsid w:val="00385A98"/>
    <w:rsid w:val="00390F0E"/>
    <w:rsid w:val="0039464E"/>
    <w:rsid w:val="003D62EA"/>
    <w:rsid w:val="003F4B4D"/>
    <w:rsid w:val="00405E7F"/>
    <w:rsid w:val="00442997"/>
    <w:rsid w:val="004C7335"/>
    <w:rsid w:val="00530D31"/>
    <w:rsid w:val="00541402"/>
    <w:rsid w:val="00564781"/>
    <w:rsid w:val="005A0FED"/>
    <w:rsid w:val="005B400C"/>
    <w:rsid w:val="005B7DBB"/>
    <w:rsid w:val="005C3C00"/>
    <w:rsid w:val="005F4538"/>
    <w:rsid w:val="005F6627"/>
    <w:rsid w:val="00604F4A"/>
    <w:rsid w:val="0060682C"/>
    <w:rsid w:val="006072F0"/>
    <w:rsid w:val="00630277"/>
    <w:rsid w:val="00640031"/>
    <w:rsid w:val="0067440B"/>
    <w:rsid w:val="00676EC3"/>
    <w:rsid w:val="006C087D"/>
    <w:rsid w:val="006C35DB"/>
    <w:rsid w:val="006C3A14"/>
    <w:rsid w:val="006D3F29"/>
    <w:rsid w:val="00707D78"/>
    <w:rsid w:val="00775454"/>
    <w:rsid w:val="007D64E5"/>
    <w:rsid w:val="007F1BFB"/>
    <w:rsid w:val="00851E50"/>
    <w:rsid w:val="00854B8B"/>
    <w:rsid w:val="00864F89"/>
    <w:rsid w:val="008824D8"/>
    <w:rsid w:val="008F6279"/>
    <w:rsid w:val="00904D93"/>
    <w:rsid w:val="00981F99"/>
    <w:rsid w:val="00987EDC"/>
    <w:rsid w:val="009B1C3A"/>
    <w:rsid w:val="009B37A4"/>
    <w:rsid w:val="009E36C1"/>
    <w:rsid w:val="00A425F5"/>
    <w:rsid w:val="00A82088"/>
    <w:rsid w:val="00AA7B33"/>
    <w:rsid w:val="00AB4D79"/>
    <w:rsid w:val="00AB6F76"/>
    <w:rsid w:val="00B15359"/>
    <w:rsid w:val="00B7325B"/>
    <w:rsid w:val="00BB3547"/>
    <w:rsid w:val="00BC4E97"/>
    <w:rsid w:val="00BE5AEC"/>
    <w:rsid w:val="00CA1ABA"/>
    <w:rsid w:val="00CA7D74"/>
    <w:rsid w:val="00CF7973"/>
    <w:rsid w:val="00D1357C"/>
    <w:rsid w:val="00D8157E"/>
    <w:rsid w:val="00DD53AE"/>
    <w:rsid w:val="00E1185D"/>
    <w:rsid w:val="00E279F8"/>
    <w:rsid w:val="00EA05C0"/>
    <w:rsid w:val="00EE5169"/>
    <w:rsid w:val="00F2217E"/>
    <w:rsid w:val="00F3755A"/>
    <w:rsid w:val="00F779B4"/>
    <w:rsid w:val="00FC0668"/>
    <w:rsid w:val="00FE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443FD"/>
  <w15:docId w15:val="{987E2C6B-5EA1-4784-B4F9-C629DD5C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F5"/>
    <w:pPr>
      <w:spacing w:line="360" w:lineRule="auto"/>
      <w:ind w:firstLine="720"/>
      <w:jc w:val="both"/>
    </w:pPr>
    <w:rPr>
      <w:lang w:val="en-GB"/>
    </w:rPr>
  </w:style>
  <w:style w:type="paragraph" w:styleId="Heading1">
    <w:name w:val="heading 1"/>
    <w:uiPriority w:val="9"/>
    <w:qFormat/>
    <w:pPr>
      <w:keepNext/>
      <w:spacing w:before="280" w:after="140"/>
      <w:outlineLvl w:val="0"/>
    </w:pPr>
    <w:rPr>
      <w:b/>
      <w:bCs/>
      <w:color w:val="000000"/>
      <w:sz w:val="32"/>
      <w:szCs w:val="32"/>
    </w:rPr>
  </w:style>
  <w:style w:type="paragraph" w:styleId="Heading2">
    <w:name w:val="heading 2"/>
    <w:uiPriority w:val="9"/>
    <w:unhideWhenUsed/>
    <w:qFormat/>
    <w:pPr>
      <w:keepNext/>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rPr>
      <w:i/>
      <w:iCs/>
      <w:sz w:val="20"/>
      <w:szCs w:val="20"/>
    </w:rPr>
  </w:style>
  <w:style w:type="paragraph" w:styleId="TOC1">
    <w:name w:val="toc 1"/>
    <w:basedOn w:val="Normal"/>
    <w:next w:val="Normal"/>
    <w:autoRedefine/>
    <w:uiPriority w:val="39"/>
    <w:unhideWhenUsed/>
    <w:rsid w:val="003F4B4D"/>
    <w:pPr>
      <w:spacing w:after="100"/>
    </w:pPr>
  </w:style>
  <w:style w:type="paragraph" w:styleId="TOC2">
    <w:name w:val="toc 2"/>
    <w:basedOn w:val="Normal"/>
    <w:next w:val="Normal"/>
    <w:autoRedefine/>
    <w:uiPriority w:val="39"/>
    <w:unhideWhenUsed/>
    <w:rsid w:val="003F4B4D"/>
    <w:pPr>
      <w:spacing w:after="100"/>
      <w:ind w:left="240"/>
    </w:pPr>
  </w:style>
  <w:style w:type="paragraph" w:styleId="TableofFigures">
    <w:name w:val="table of figures"/>
    <w:basedOn w:val="Normal"/>
    <w:next w:val="Normal"/>
    <w:uiPriority w:val="99"/>
    <w:unhideWhenUsed/>
    <w:rsid w:val="003F4B4D"/>
  </w:style>
  <w:style w:type="table" w:styleId="TableGrid">
    <w:name w:val="Table Grid"/>
    <w:basedOn w:val="TableNormal"/>
    <w:uiPriority w:val="39"/>
    <w:rsid w:val="00AB4D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453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F4538"/>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5F4538"/>
    <w:pPr>
      <w:tabs>
        <w:tab w:val="center" w:pos="4680"/>
        <w:tab w:val="right" w:pos="9360"/>
      </w:tabs>
      <w:spacing w:line="240" w:lineRule="auto"/>
    </w:pPr>
  </w:style>
  <w:style w:type="character" w:customStyle="1" w:styleId="HeaderChar">
    <w:name w:val="Header Char"/>
    <w:basedOn w:val="DefaultParagraphFont"/>
    <w:link w:val="Header"/>
    <w:uiPriority w:val="99"/>
    <w:rsid w:val="005F4538"/>
    <w:rPr>
      <w:lang w:val="en-GB"/>
    </w:rPr>
  </w:style>
  <w:style w:type="paragraph" w:styleId="Footer">
    <w:name w:val="footer"/>
    <w:basedOn w:val="Normal"/>
    <w:link w:val="FooterChar"/>
    <w:uiPriority w:val="99"/>
    <w:unhideWhenUsed/>
    <w:rsid w:val="005F4538"/>
    <w:pPr>
      <w:tabs>
        <w:tab w:val="center" w:pos="4680"/>
        <w:tab w:val="right" w:pos="9360"/>
      </w:tabs>
      <w:spacing w:line="240" w:lineRule="auto"/>
    </w:pPr>
  </w:style>
  <w:style w:type="character" w:customStyle="1" w:styleId="FooterChar">
    <w:name w:val="Footer Char"/>
    <w:basedOn w:val="DefaultParagraphFont"/>
    <w:link w:val="Footer"/>
    <w:uiPriority w:val="99"/>
    <w:rsid w:val="005F453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develops a leakage-aware ordinal classifier for Energy Performance Certificate (EPC) ratings, from A to G, covering domestic dwellings in Oxford local authority (E07000178). After group-aware deduplication, 49,442 unique dwellings remain. The champion is a hybrid regression-to-band model (SapStratifiedRegressor): it fits a HistGradientBoostingRegressor on the continuous SAP score, maps the predicted score to a band through the official DLUHC thresholds, and layers a SAP-cohort specialist on REPORT_TYPE 101 rows. On a strict temporal hold-out (n = 12,095), the model achieves a Quadratic Weighted Kappa of 0.7696 (bootstrap 95% CI 0.7600 to 0.7780) and places 97.7% of SAP-score predictions within 15 points, in line with the indicative figure of 93% from the ONS Data Science Campus (2021). Permutation importance and SHAP both identify windows, construction age, main fuel and main heating as the dominant drivers, with wall construction the largest categorical lever. These findings translate into prioritised retrofit recommendations and a per-UPRN prediction file.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94E7B5-A067-4B51-A68B-D6EBEEA52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21</Pages>
  <Words>4878</Words>
  <Characters>27811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Predicting EPC Energy Ratings for Oxford's Domestic Stock</vt:lpstr>
    </vt:vector>
  </TitlesOfParts>
  <Company/>
  <LinksUpToDate>false</LinksUpToDate>
  <CharactersWithSpaces>32624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EPC Energy Ratings for Oxford's Domestic Stock</dc:title>
  <dc:subject>A leakage-aware ordinal-classification pipeline with SHAP-driven retrofit recommendations</dc:subject>
  <dc:creator>Muhammad Omer Hussain</dc:creator>
  <cp:lastModifiedBy>Muhammad Omer Hussain</cp:lastModifiedBy>
  <cp:revision>186</cp:revision>
  <cp:lastPrinted>2026-06-10T18:50:00Z</cp:lastPrinted>
  <dcterms:created xsi:type="dcterms:W3CDTF">2026-06-09T12:37:00Z</dcterms:created>
  <dcterms:modified xsi:type="dcterms:W3CDTF">2026-06-10T18:50:00Z</dcterms:modified>
</cp:coreProperties>
</file>