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tc4im4vz9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48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AEJMC Guideline：</w:t>
      </w:r>
    </w:p>
    <w:p w:rsidR="00000000" w:rsidDel="00000000" w:rsidP="00000000" w:rsidRDefault="00000000" w:rsidRPr="00000000" w14:paraId="00000003">
      <w:pPr>
        <w:numPr>
          <w:ilvl w:val="0"/>
          <w:numId w:val="4"/>
        </w:numPr>
        <w:spacing w:after="0" w:afterAutospacing="0" w:line="335.99999999999994"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Proposal of 1,000–1,500 words (PDF preferred, Word accepted) outlining:</w:t>
      </w:r>
    </w:p>
    <w:p w:rsidR="00000000" w:rsidDel="00000000" w:rsidP="00000000" w:rsidRDefault="00000000" w:rsidRPr="00000000" w14:paraId="00000004">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Purpose and significance</w:t>
      </w:r>
    </w:p>
    <w:p w:rsidR="00000000" w:rsidDel="00000000" w:rsidP="00000000" w:rsidRDefault="00000000" w:rsidRPr="00000000" w14:paraId="00000005">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Theoretical framework and/or literature grounding</w:t>
      </w:r>
    </w:p>
    <w:p w:rsidR="00000000" w:rsidDel="00000000" w:rsidP="00000000" w:rsidRDefault="00000000" w:rsidRPr="00000000" w14:paraId="00000006">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Research questions and/or hypotheses</w:t>
      </w:r>
    </w:p>
    <w:p w:rsidR="00000000" w:rsidDel="00000000" w:rsidP="00000000" w:rsidRDefault="00000000" w:rsidRPr="00000000" w14:paraId="00000007">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Methodology</w:t>
      </w:r>
    </w:p>
    <w:p w:rsidR="00000000" w:rsidDel="00000000" w:rsidP="00000000" w:rsidRDefault="00000000" w:rsidRPr="00000000" w14:paraId="00000008">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Expected contributions to the field of communication or media studies</w:t>
      </w:r>
    </w:p>
    <w:p w:rsidR="00000000" w:rsidDel="00000000" w:rsidP="00000000" w:rsidRDefault="00000000" w:rsidRPr="00000000" w14:paraId="00000009">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Preliminary results or findings</w:t>
      </w:r>
    </w:p>
    <w:p w:rsidR="00000000" w:rsidDel="00000000" w:rsidP="00000000" w:rsidRDefault="00000000" w:rsidRPr="00000000" w14:paraId="0000000A">
      <w:pPr>
        <w:numPr>
          <w:ilvl w:val="1"/>
          <w:numId w:val="4"/>
        </w:numPr>
        <w:spacing w:after="0" w:afterAutospacing="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Areas needing feedback that would benefit the research project</w:t>
      </w:r>
    </w:p>
    <w:p w:rsidR="00000000" w:rsidDel="00000000" w:rsidP="00000000" w:rsidRDefault="00000000" w:rsidRPr="00000000" w14:paraId="0000000B">
      <w:pPr>
        <w:numPr>
          <w:ilvl w:val="1"/>
          <w:numId w:val="4"/>
        </w:numPr>
        <w:spacing w:after="160" w:line="335.99999999999994"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References, tables, and figures (not part of word count).</w:t>
      </w:r>
    </w:p>
    <w:p w:rsidR="00000000" w:rsidDel="00000000" w:rsidP="00000000" w:rsidRDefault="00000000" w:rsidRPr="00000000" w14:paraId="0000000C">
      <w:pPr>
        <w:spacing w:after="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(only 75 words are allowed)</w:t>
      </w:r>
    </w:p>
    <w:p w:rsidR="00000000" w:rsidDel="00000000" w:rsidP="00000000" w:rsidRDefault="00000000" w:rsidRPr="00000000" w14:paraId="0000000E">
      <w:pPr>
        <w:spacing w:after="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While online platforms expand civic engagement channels, offline participation remains critical to democracy. This study examines how mobility infrastructure shapes citizens’ access to local communication environments, which in turn conditions civic and political engagement. Drawing on Communication Infrastructure Theory, we conceptualize physical mobility as a spatial context influencing one’s integration within the neighborhood information ecology. </w:t>
      </w:r>
      <w:r w:rsidDel="00000000" w:rsidR="00000000" w:rsidRPr="00000000">
        <w:rPr>
          <w:rFonts w:ascii="Times New Roman" w:cs="Times New Roman" w:eastAsia="Times New Roman" w:hAnsi="Times New Roman"/>
          <w:b w:val="1"/>
          <w:bCs w:val="1"/>
          <w:rtl w:val="0"/>
        </w:rPr>
        <w:t xml:space="preserve">[I will add preliminary result later]</w:t>
      </w:r>
    </w:p>
    <w:p w:rsidR="00000000" w:rsidDel="00000000" w:rsidP="00000000" w:rsidRDefault="00000000" w:rsidRPr="00000000" w14:paraId="0000000F">
      <w:pPr>
        <w:spacing w:after="200" w:line="240" w:lineRule="auto"/>
        <w:rPr>
          <w:rFonts w:ascii="Times New Roman" w:cs="Times New Roman" w:eastAsia="Times New Roman" w:hAnsi="Times New Roman"/>
          <w:b w:val="1"/>
          <w:bCs w:val="1"/>
        </w:rPr>
      </w:pPr>
      <w:bookmarkStart w:colFirst="0" w:colLast="0" w:name="_1roc69vkdo3z" w:id="1"/>
      <w:bookmarkEnd w:id="1"/>
      <w:r w:rsidDel="00000000" w:rsidR="00000000" w:rsidRPr="00000000">
        <w:rPr>
          <w:rFonts w:ascii="Times New Roman" w:cs="Times New Roman" w:eastAsia="Times New Roman" w:hAnsi="Times New Roman"/>
          <w:b w:val="1"/>
          <w:bCs w:val="1"/>
          <w:rtl w:val="0"/>
        </w:rPr>
        <w:t xml:space="preserve">Physical Mobility and Access to Community Storytelling Networks: Implications for Civic Engagement Opportunities</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scholars have increasingly examined how place-based communication processes shape civic engagement and collective action. Drawing on Communication Infrastructure Theory (CIT; Kim &amp; Ball-Rokeach, 2006a), this study introduces physical mobility as a key contextual factor shaping residents’ connectedness to neighborhood communication environments through transportation systems, pedestrian infrastructure, and spatial connectivity (Cheng &amp; Chen, 2015).</w:t>
      </w:r>
    </w:p>
    <w:p w:rsidR="00000000" w:rsidDel="00000000" w:rsidP="00000000" w:rsidRDefault="00000000" w:rsidRPr="00000000" w14:paraId="0000001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 and Civic Life</w:t>
      </w:r>
      <w:r w:rsidDel="00000000" w:rsidR="00000000" w:rsidRPr="00000000">
        <w:rPr>
          <w:rtl w:val="0"/>
        </w:rPr>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 suggests that neighborhood storytelling networks, composed of interpersonal communication, local media, and community organizations, provide informational resources and social ties that facilitate citizen engagement and mobilization (Kim &amp; Ball-Rokeach, 2006; Nah et al., 2021). Residents’ integration across these channels is captured by Integrated Connectedness to Storytelling Networks (ICSN), which reflects simultaneous engagement with multiple storytelling channels (Kim &amp; Ball-Rokeach, 2006). Higher ICSN gives residents greater access to community information and stronger opportunities to become embedded in the neighborhood information ecosystem, thereby enabling civic engagement and collective mobilization ((Kim &amp; Ball-Rokeach, 2006; Nah et al., 2021).</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storytelling processes, residents construct collective meanings about neighborhood life that foster a psychological orientation toward the community (Ball-Rokeach et al., 2001). In CIT, this orientation is often operationalized as community belonging. Here, it is conceptualized as place attachment, which captures residents’ emotional and functional bonds with their residential environments (Williams &amp; Vaske, 2003).</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ICSN will positively predict (a) place attachment, (b) online civic engagement.</w:t>
      </w:r>
    </w:p>
    <w:p w:rsidR="00000000" w:rsidDel="00000000" w:rsidP="00000000" w:rsidRDefault="00000000" w:rsidRPr="00000000" w14:paraId="0000001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 of digital media, including the Internet, mobile apps, and social media platforms, may moderate the relationship between ICSN and civic engagement. Within CIT, these digital platforms can be understood as emerging storytelling agents that extend community communication, information sharing, and interaction (Nah et al., 2021). Prior CIT research shows that locality-oriented Internet and mobile expression strengthen the positive relationship between ICSN and both offline and online civic participation (Nah &amp; Yamamoto, 2017). In this sense, digital media may shape how individuals engage with local storytelling networks and how strongly those networks translate into civic participation (Nah et al., 2026). Therefore, we hypothesize that:</w:t>
      </w:r>
    </w:p>
    <w:p w:rsidR="00000000" w:rsidDel="00000000" w:rsidP="00000000" w:rsidRDefault="00000000" w:rsidRPr="00000000" w14:paraId="0000001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 Digital media use will positively moderate the relationship between ICSN and (a) place attachment and (b) civic engagement.</w:t>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Physical Mobility as Communication Action Context</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 situates storytelling networks within a Communication Action Context (CAC) – neighborhood-level conditions shaping residents’ integration into local networks, such as public spaces, residential stability, or ethnic diversity (Kim &amp; Ball-Rokeach, 2006; Kim et al., 2014). CAC is the broader structural environment in which storytelling occurs, including factors such as neighborhood stability, heterogeneity, and local digital infrastructure (e.g., Kim &amp; Ball-Rokeach, 2006; Kim et al., 2007; Kang et al., 2025). </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Because storytelling networks are spatially embedded, mobility conditions shape residents’ opportunities to encounter others and exchange information relevant to civic participation (Üblacker et al., 2024; Phillips et al., 2021). This study conceptualizes physical mobility as a key CAC factor, operationalized across four dimensions: transit availability and quality, pedestrian infrastructure quality, and neighborhood connectivity (Cheng &amp; Chen, 2015). Prior CIT research has examined commuting time as an individual-level constraint (Jung &amp; Kim, 2018), but this study shifts focus to the broader mobility infrastructures structuring opportunities for local interaction. </w:t>
      </w:r>
      <w:r w:rsidDel="00000000" w:rsidR="00000000" w:rsidRPr="00000000">
        <w:rPr>
          <w:rtl w:val="0"/>
        </w:rPr>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on neighborhood mobilization had already identified communication networks as central to mobilization outcomes (Jeffres &amp; Dobos, 1984). Mobility also shapes the social spaces people encounter in everyday life, while mobility across neighborhoods is tied to structural connectedness, social cohesion, and information diffusion (Cagney et al., 2020; Phillips et al., 2021). Because ICSN reflects residents’ embeddedness in interpersonal, organizational, and media-based storytelling resources, physical mobility may shape how strongly individuals become connected to those local storytelling networks.</w:t>
      </w:r>
    </w:p>
    <w:p w:rsidR="00000000" w:rsidDel="00000000" w:rsidP="00000000" w:rsidRDefault="00000000" w:rsidRPr="00000000" w14:paraId="0000001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 Higher physical mobility will be positively associated with ICSN.</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Collectively, these studies suggest that the civic role of digital media may differ across physical mobility conditions.</w:t>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RQ1: Does the relationship between digital media use and (a) place attachment and (b) civic engagement vary across different physical mobility conditions?</w:t>
      </w: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01E">
      <w:pPr>
        <w:spacing w:after="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adopts a cross-sectional survey design to examine how physical mobility and storytelling network engagement relate to civic engagement outcomes within neighborhood communication environments. Participants are undergraduate students recruited from a Midwestern university. Specifically, respondents are asked to identify the town or city where they lived during their high school years and answer survey questions based on their experiences in that residential environment. Because survey judgments depend on information made accessible by questionnaire context, respondents are first prompted to recall their daily travel routines, commonly visited places, and neighborhood accessibility in their high school communities (Schwarz, 2008). </w:t>
      </w:r>
    </w:p>
    <w:p w:rsidR="00000000" w:rsidDel="00000000" w:rsidP="00000000" w:rsidRDefault="00000000" w:rsidRPr="00000000" w14:paraId="0000001F">
      <w:pPr>
        <w:spacing w:after="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are civic engagement and place attachment</w:t>
      </w:r>
      <w:r w:rsidDel="00000000" w:rsidR="00000000" w:rsidRPr="00000000">
        <w:rPr>
          <w:rFonts w:ascii="Times New Roman" w:cs="Times New Roman" w:eastAsia="Times New Roman" w:hAnsi="Times New Roman"/>
          <w:color w:val="96607d"/>
          <w:vertAlign w:val="superscript"/>
          <w:rtl w:val="0"/>
        </w:rPr>
        <w:t xml:space="preserve">[1]</w:t>
      </w:r>
      <w:r w:rsidDel="00000000" w:rsidR="00000000" w:rsidRPr="00000000">
        <w:rPr>
          <w:rFonts w:ascii="Times New Roman" w:cs="Times New Roman" w:eastAsia="Times New Roman" w:hAnsi="Times New Roman"/>
          <w:rtl w:val="0"/>
        </w:rPr>
        <w:t xml:space="preserve">. The independent variable is physical mobility, and the mediator is integrated connectedness to storytelling networks (ICSN)</w:t>
      </w:r>
      <w:r w:rsidDel="00000000" w:rsidR="00000000" w:rsidRPr="00000000">
        <w:rPr>
          <w:rFonts w:ascii="Times New Roman" w:cs="Times New Roman" w:eastAsia="Times New Roman" w:hAnsi="Times New Roman"/>
          <w:color w:val="96607d"/>
          <w:vertAlign w:val="superscript"/>
          <w:rtl w:val="0"/>
        </w:rPr>
        <w:t xml:space="preserve">[2]</w:t>
      </w:r>
      <w:r w:rsidDel="00000000" w:rsidR="00000000" w:rsidRPr="00000000">
        <w:rPr>
          <w:rFonts w:ascii="Times New Roman" w:cs="Times New Roman" w:eastAsia="Times New Roman" w:hAnsi="Times New Roman"/>
          <w:rtl w:val="0"/>
        </w:rPr>
        <w:t xml:space="preserve">. Detailed operationalization is reported in the Appendix.</w:t>
      </w:r>
    </w:p>
    <w:p w:rsidR="00000000" w:rsidDel="00000000" w:rsidP="00000000" w:rsidRDefault="00000000" w:rsidRPr="00000000" w14:paraId="00000020">
      <w:pPr>
        <w:spacing w:after="240" w:line="480" w:lineRule="auto"/>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Preliminary Result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 and Conclusion</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extends Communication Infrastructure Theory by introducing physical mobility as a structural condition shaping residents’ access to neighborhood communication environments and, in turn, their opportunities for civic engagement. Rather than treating mobility as a matter of transportation alone, the study conceptualizes it as part of the democratic communication environment through which residents encounter local information, interact with others, and connect to community organizations (Cheng &amp; Chen, 2015). In this case, physical mobility may influence not only movement through space but also integration into storytelling networks.</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contributes to political communication scholarship in two ways. First, it highlights the infrastructural conditions of political communication by showing how transit accessibility, walkability, and neighborhood connectivity may shape unequal access to local public-affairs communication (Neuman, 1996). Second, this study also resonates with earlier political theory on neighborhood “exit” and “voice,” which treated residential mobility and political action as alternative responses to neighborhood problems (Orbell &amp; Uno, 1972). Thus, it may offer a way to understand fragmented storytelling networks beyond explanations centered mainly on ethnic heterogeneity (Ball-Rokeach et al., 2001). Even within the same neighborhood, residents may be unevenly integrated into local storytelling resources if they differ in their ability to move through community spaces, encounter institutions, and access information flows (</w:t>
      </w:r>
      <w:r w:rsidDel="00000000" w:rsidR="00000000" w:rsidRPr="00000000">
        <w:rPr>
          <w:rFonts w:ascii="Times New Roman" w:cs="Times New Roman" w:eastAsia="Times New Roman" w:hAnsi="Times New Roman"/>
          <w:color w:val="2f2e2d"/>
          <w:highlight w:val="white"/>
          <w:rtl w:val="0"/>
        </w:rPr>
        <w:t xml:space="preserve">APTA,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study suggests that the civic role of digital media should be understood in relation to neighborhood mobility conditions. When mobility is constrained, digital platforms may become alternative or supplementary spaces for connection and information exchange, producing different pathways into civic engagement across local contexts (Aguiléra et al., 2012; Nah et al., 2021).</w:t>
      </w:r>
    </w:p>
    <w:p w:rsidR="00000000" w:rsidDel="00000000" w:rsidP="00000000" w:rsidRDefault="00000000" w:rsidRPr="00000000" w14:paraId="0000002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Areas Seeking Feedback</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welcome reviewers and colleagues at the conference input on two methodological considerations. First, regarding sample validity, this study employs a retrospective design in which undergraduate students report on their high school residential communities. We invite feedback on whether this approach adequately captures the place-based experiences central to CIT, and how its limitations might be best addressed. Second, regarding operationalization, we seek input on whether place attachment is a theoretically appropriate and sufficiently distinct operationalization of community orientation compared to CIT’s original community belonging construct.</w:t>
      </w:r>
    </w:p>
    <w:p w:rsidR="00000000" w:rsidDel="00000000" w:rsidP="00000000" w:rsidRDefault="00000000" w:rsidRPr="00000000" w14:paraId="0000002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Timeline</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94.268292682927"/>
        <w:gridCol w:w="4665.731707317073"/>
        <w:tblGridChange w:id="0">
          <w:tblGrid>
            <w:gridCol w:w="4694.268292682927"/>
            <w:gridCol w:w="4665.73170731707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Survey Data Collection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 Mid April 2026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&amp;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Manuscript Preparation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 July 2026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Based on Conference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 September 2026</w:t>
            </w:r>
          </w:p>
        </w:tc>
      </w:tr>
    </w:tbl>
    <w:p w:rsidR="00000000" w:rsidDel="00000000" w:rsidP="00000000" w:rsidRDefault="00000000" w:rsidRPr="00000000" w14:paraId="00000032">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w:t>
      </w:r>
    </w:p>
    <w:p w:rsidR="00000000" w:rsidDel="00000000" w:rsidP="00000000" w:rsidRDefault="00000000" w:rsidRPr="00000000" w14:paraId="0000003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f2e2d"/>
          <w:highlight w:val="white"/>
          <w:rtl w:val="0"/>
        </w:rPr>
        <w:t xml:space="preserve">APTA, 2024. </w:t>
      </w:r>
      <w:r w:rsidDel="00000000" w:rsidR="00000000" w:rsidRPr="00000000">
        <w:rPr>
          <w:rFonts w:ascii="Times New Roman" w:cs="Times New Roman" w:eastAsia="Times New Roman" w:hAnsi="Times New Roman"/>
          <w:i w:val="1"/>
          <w:iCs w:val="1"/>
          <w:color w:val="2f2e2d"/>
          <w:highlight w:val="white"/>
          <w:rtl w:val="0"/>
        </w:rPr>
        <w:t xml:space="preserve">APTA Transit Equity Report 2024</w:t>
      </w:r>
      <w:r w:rsidDel="00000000" w:rsidR="00000000" w:rsidRPr="00000000">
        <w:rPr>
          <w:rFonts w:ascii="Times New Roman" w:cs="Times New Roman" w:eastAsia="Times New Roman" w:hAnsi="Times New Roman"/>
          <w:color w:val="2f2e2d"/>
          <w:highlight w:val="white"/>
          <w:rtl w:val="0"/>
        </w:rPr>
        <w:t xml:space="preserve">, APTA: American Public Transportation Association. United States of America. Retrieved from </w:t>
      </w:r>
      <w:hyperlink r:id="rId8">
        <w:r w:rsidDel="00000000" w:rsidR="00000000" w:rsidRPr="00000000">
          <w:rPr>
            <w:rFonts w:ascii="Times New Roman" w:cs="Times New Roman" w:eastAsia="Times New Roman" w:hAnsi="Times New Roman"/>
            <w:color w:val="1155cc"/>
            <w:highlight w:val="white"/>
            <w:u w:val="single"/>
            <w:rtl w:val="0"/>
          </w:rPr>
          <w:t xml:space="preserve">https://coilink.org/20.500.12592/23x93vs</w:t>
        </w:r>
      </w:hyperlink>
      <w:r w:rsidDel="00000000" w:rsidR="00000000" w:rsidRPr="00000000">
        <w:rPr>
          <w:rFonts w:ascii="Times New Roman" w:cs="Times New Roman" w:eastAsia="Times New Roman" w:hAnsi="Times New Roman"/>
          <w:color w:val="2f2e2d"/>
          <w:highlight w:val="white"/>
          <w:rtl w:val="0"/>
        </w:rPr>
        <w:t xml:space="preserve"> on 09 Mar 2026. </w:t>
      </w:r>
      <w:hyperlink r:id="rId9">
        <w:r w:rsidDel="00000000" w:rsidR="00000000" w:rsidRPr="00000000">
          <w:rPr>
            <w:rFonts w:ascii="Times New Roman" w:cs="Times New Roman" w:eastAsia="Times New Roman" w:hAnsi="Times New Roman"/>
            <w:color w:val="1155cc"/>
            <w:highlight w:val="white"/>
            <w:u w:val="single"/>
            <w:rtl w:val="0"/>
          </w:rPr>
          <w:t xml:space="preserve">COI: 20.500.12592/23x93vs</w:t>
        </w:r>
      </w:hyperlink>
      <w:r w:rsidDel="00000000" w:rsidR="00000000" w:rsidRPr="00000000">
        <w:rPr>
          <w:rFonts w:ascii="Times New Roman" w:cs="Times New Roman" w:eastAsia="Times New Roman" w:hAnsi="Times New Roman"/>
          <w:color w:val="2f2e2d"/>
          <w:highlight w:val="white"/>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Allert, V., &amp; Reese, G. (2025). On the challenges of civic engagement in the mobility transition - A conceptual analysis of the linkages between car dependence and collective action. </w:t>
      </w:r>
      <w:r w:rsidDel="00000000" w:rsidR="00000000" w:rsidRPr="00000000">
        <w:rPr>
          <w:rFonts w:ascii="Times New Roman" w:cs="Times New Roman" w:eastAsia="Times New Roman" w:hAnsi="Times New Roman"/>
          <w:i w:val="1"/>
          <w:iCs w:val="1"/>
          <w:rtl w:val="0"/>
        </w:rPr>
        <w:t xml:space="preserve">Journal of Cleaner Production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486</w:t>
      </w:r>
      <w:r w:rsidDel="00000000" w:rsidR="00000000" w:rsidRPr="00000000">
        <w:rPr>
          <w:rFonts w:ascii="Times New Roman" w:cs="Times New Roman" w:eastAsia="Times New Roman" w:hAnsi="Times New Roman"/>
          <w:rtl w:val="0"/>
        </w:rPr>
        <w:t xml:space="preserve">, Article 144533. </w:t>
      </w:r>
      <w:hyperlink r:id="rId10">
        <w:r w:rsidDel="00000000" w:rsidR="00000000" w:rsidRPr="00000000">
          <w:rPr>
            <w:rFonts w:ascii="Times New Roman" w:cs="Times New Roman" w:eastAsia="Times New Roman" w:hAnsi="Times New Roman"/>
            <w:color w:val="96607d"/>
            <w:u w:val="single"/>
            <w:rtl w:val="0"/>
          </w:rPr>
          <w:t xml:space="preserve">https://doi.org/10.1016/j.jclepro.2024.144533</w:t>
        </w:r>
      </w:hyperlink>
      <w:r w:rsidDel="00000000" w:rsidR="00000000" w:rsidRPr="00000000">
        <w:rPr>
          <w:rtl w:val="0"/>
        </w:rPr>
      </w:r>
    </w:p>
    <w:p w:rsidR="00000000" w:rsidDel="00000000" w:rsidP="00000000" w:rsidRDefault="00000000" w:rsidRPr="00000000" w14:paraId="0000003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Aguiléra, A., Guillot, C., &amp; Rallet, A. (2012). Mobile ICTs and physical mobility: Review and research agenda. </w:t>
      </w:r>
      <w:r w:rsidDel="00000000" w:rsidR="00000000" w:rsidRPr="00000000">
        <w:rPr>
          <w:rFonts w:ascii="Times New Roman" w:cs="Times New Roman" w:eastAsia="Times New Roman" w:hAnsi="Times New Roman"/>
          <w:i w:val="1"/>
          <w:iCs w:val="1"/>
          <w:color w:val="222222"/>
          <w:rtl w:val="0"/>
        </w:rPr>
        <w:t xml:space="preserve">Transportation Research Part A: Policy and Practice</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rtl w:val="0"/>
        </w:rPr>
        <w:t xml:space="preserve">46</w:t>
      </w:r>
      <w:r w:rsidDel="00000000" w:rsidR="00000000" w:rsidRPr="00000000">
        <w:rPr>
          <w:rFonts w:ascii="Times New Roman" w:cs="Times New Roman" w:eastAsia="Times New Roman" w:hAnsi="Times New Roman"/>
          <w:color w:val="222222"/>
          <w:highlight w:val="white"/>
          <w:rtl w:val="0"/>
        </w:rPr>
        <w:t xml:space="preserve">(4), 664-672.</w:t>
      </w:r>
      <w:r w:rsidDel="00000000" w:rsidR="00000000" w:rsidRPr="00000000">
        <w:rPr>
          <w:rtl w:val="0"/>
        </w:rPr>
      </w:r>
    </w:p>
    <w:p w:rsidR="00000000" w:rsidDel="00000000" w:rsidP="00000000" w:rsidRDefault="00000000" w:rsidRPr="00000000" w14:paraId="000000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Ball-Rokeach, S. J., Kim, Y.-C., &amp; Matei, S. (2001). Storytelling Neighborhood: Paths to Belonging in Diverse Urban Environments: Paths to Belonging in Diverse Urban Environments. </w:t>
      </w:r>
      <w:r w:rsidDel="00000000" w:rsidR="00000000" w:rsidRPr="00000000">
        <w:rPr>
          <w:rFonts w:ascii="Times New Roman" w:cs="Times New Roman" w:eastAsia="Times New Roman" w:hAnsi="Times New Roman"/>
          <w:i w:val="1"/>
          <w:iCs w:val="1"/>
          <w:rtl w:val="0"/>
        </w:rPr>
        <w:t xml:space="preserve">Communication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28</w:t>
      </w:r>
      <w:r w:rsidDel="00000000" w:rsidR="00000000" w:rsidRPr="00000000">
        <w:rPr>
          <w:rFonts w:ascii="Times New Roman" w:cs="Times New Roman" w:eastAsia="Times New Roman" w:hAnsi="Times New Roman"/>
          <w:rtl w:val="0"/>
        </w:rPr>
        <w:t xml:space="preserve">(4), 392-428. </w:t>
      </w:r>
      <w:hyperlink r:id="rId11">
        <w:r w:rsidDel="00000000" w:rsidR="00000000" w:rsidRPr="00000000">
          <w:rPr>
            <w:rFonts w:ascii="Times New Roman" w:cs="Times New Roman" w:eastAsia="Times New Roman" w:hAnsi="Times New Roman"/>
            <w:u w:val="single"/>
            <w:rtl w:val="0"/>
          </w:rPr>
          <w:t xml:space="preserve">https://doi.org/10.1177/009365001028004003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Cheng, Y.-H., &amp; Chen, S.-Y. (2015). Perceived accessibility, mobility, and connectivity of public transportation systems. </w:t>
      </w:r>
      <w:r w:rsidDel="00000000" w:rsidR="00000000" w:rsidRPr="00000000">
        <w:rPr>
          <w:rFonts w:ascii="Times New Roman" w:cs="Times New Roman" w:eastAsia="Times New Roman" w:hAnsi="Times New Roman"/>
          <w:i w:val="1"/>
          <w:iCs w:val="1"/>
          <w:rtl w:val="0"/>
        </w:rPr>
        <w:t xml:space="preserve">Transportation Research. Part A, Policy and Practice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77</w:t>
      </w:r>
      <w:r w:rsidDel="00000000" w:rsidR="00000000" w:rsidRPr="00000000">
        <w:rPr>
          <w:rFonts w:ascii="Times New Roman" w:cs="Times New Roman" w:eastAsia="Times New Roman" w:hAnsi="Times New Roman"/>
          <w:rtl w:val="0"/>
        </w:rPr>
        <w:t xml:space="preserve">, 386–403. https://doi.org/10.1016/j.tra.2015.05.003</w:t>
      </w:r>
    </w:p>
    <w:p w:rsidR="00000000" w:rsidDel="00000000" w:rsidP="00000000" w:rsidRDefault="00000000" w:rsidRPr="00000000" w14:paraId="0000003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22222"/>
          <w:highlight w:val="white"/>
          <w:rtl w:val="0"/>
        </w:rPr>
        <w:t xml:space="preserve">Cagney, K. A., York Cornwell, E., Goldman, A. W., &amp; Cai, L. (2020). Urban mobility and activity space. </w:t>
      </w:r>
      <w:r w:rsidDel="00000000" w:rsidR="00000000" w:rsidRPr="00000000">
        <w:rPr>
          <w:rFonts w:ascii="Times New Roman" w:cs="Times New Roman" w:eastAsia="Times New Roman" w:hAnsi="Times New Roman"/>
          <w:i w:val="1"/>
          <w:iCs w:val="1"/>
          <w:color w:val="222222"/>
          <w:rtl w:val="0"/>
        </w:rPr>
        <w:t xml:space="preserve">Annual Review of Sociology</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rtl w:val="0"/>
        </w:rPr>
        <w:t xml:space="preserve">46</w:t>
      </w:r>
      <w:r w:rsidDel="00000000" w:rsidR="00000000" w:rsidRPr="00000000">
        <w:rPr>
          <w:rFonts w:ascii="Times New Roman" w:cs="Times New Roman" w:eastAsia="Times New Roman" w:hAnsi="Times New Roman"/>
          <w:color w:val="222222"/>
          <w:highlight w:val="white"/>
          <w:rtl w:val="0"/>
        </w:rPr>
        <w:t xml:space="preserve">(1), 623-648.</w:t>
      </w:r>
      <w:r w:rsidDel="00000000" w:rsidR="00000000" w:rsidRPr="00000000">
        <w:rPr>
          <w:rtl w:val="0"/>
        </w:rPr>
      </w:r>
    </w:p>
    <w:p w:rsidR="00000000" w:rsidDel="00000000" w:rsidP="00000000" w:rsidRDefault="00000000" w:rsidRPr="00000000" w14:paraId="0000003A">
      <w:pPr>
        <w:spacing w:after="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Hayes, A. F. (2022). </w:t>
      </w:r>
      <w:r w:rsidDel="00000000" w:rsidR="00000000" w:rsidRPr="00000000">
        <w:rPr>
          <w:rFonts w:ascii="Times New Roman" w:cs="Times New Roman" w:eastAsia="Times New Roman" w:hAnsi="Times New Roman"/>
          <w:i w:val="1"/>
          <w:iCs w:val="1"/>
          <w:sz w:val="24"/>
          <w:szCs w:val="24"/>
          <w:rtl w:val="0"/>
        </w:rPr>
        <w:t xml:space="preserve">Introduction to mediation, moderation, and conditional process analysis: A regression-based approach</w:t>
      </w:r>
      <w:r w:rsidDel="00000000" w:rsidR="00000000" w:rsidRPr="00000000">
        <w:rPr>
          <w:rFonts w:ascii="Times New Roman" w:cs="Times New Roman" w:eastAsia="Times New Roman" w:hAnsi="Times New Roman"/>
          <w:sz w:val="24"/>
          <w:szCs w:val="24"/>
          <w:rtl w:val="0"/>
        </w:rPr>
        <w:t xml:space="preserve">. Guilford Publications.</w:t>
      </w:r>
    </w:p>
    <w:p w:rsidR="00000000" w:rsidDel="00000000" w:rsidP="00000000" w:rsidRDefault="00000000" w:rsidRPr="00000000" w14:paraId="0000003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Inalhan, G., &amp; Finch, E. (2004). Place attachment and sense of belonging. </w:t>
      </w:r>
      <w:r w:rsidDel="00000000" w:rsidR="00000000" w:rsidRPr="00000000">
        <w:rPr>
          <w:rFonts w:ascii="Times New Roman" w:cs="Times New Roman" w:eastAsia="Times New Roman" w:hAnsi="Times New Roman"/>
          <w:i w:val="1"/>
          <w:iCs w:val="1"/>
          <w:rtl w:val="0"/>
        </w:rPr>
        <w:t xml:space="preserve">Facilities (Bradford, West Yorkshire, England)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22</w:t>
      </w:r>
      <w:r w:rsidDel="00000000" w:rsidR="00000000" w:rsidRPr="00000000">
        <w:rPr>
          <w:rFonts w:ascii="Times New Roman" w:cs="Times New Roman" w:eastAsia="Times New Roman" w:hAnsi="Times New Roman"/>
          <w:rtl w:val="0"/>
        </w:rPr>
        <w:t xml:space="preserve">(5/6), 120–128. </w:t>
      </w:r>
      <w:hyperlink r:id="rId12">
        <w:r w:rsidDel="00000000" w:rsidR="00000000" w:rsidRPr="00000000">
          <w:rPr>
            <w:rFonts w:ascii="Times New Roman" w:cs="Times New Roman" w:eastAsia="Times New Roman" w:hAnsi="Times New Roman"/>
            <w:color w:val="1155cc"/>
            <w:u w:val="single"/>
            <w:rtl w:val="0"/>
          </w:rPr>
          <w:t xml:space="preserve">https://doi.org/10.1108/02632770410540333</w:t>
        </w:r>
      </w:hyperlink>
      <w:r w:rsidDel="00000000" w:rsidR="00000000" w:rsidRPr="00000000">
        <w:rPr>
          <w:rtl w:val="0"/>
        </w:rPr>
      </w:r>
    </w:p>
    <w:p w:rsidR="00000000" w:rsidDel="00000000" w:rsidP="00000000" w:rsidRDefault="00000000" w:rsidRPr="00000000" w14:paraId="0000003C">
      <w:pPr>
        <w:spacing w:after="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Jeffres, L. W., &amp; Dobos, J. (1984). Communication and Neighborhood Mobilization. </w:t>
      </w:r>
      <w:r w:rsidDel="00000000" w:rsidR="00000000" w:rsidRPr="00000000">
        <w:rPr>
          <w:rFonts w:ascii="Times New Roman" w:cs="Times New Roman" w:eastAsia="Times New Roman" w:hAnsi="Times New Roman"/>
          <w:i w:val="1"/>
          <w:iCs w:val="1"/>
          <w:color w:val="222222"/>
          <w:rtl w:val="0"/>
        </w:rPr>
        <w:t xml:space="preserve">Urban Affairs Quarterly</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rtl w:val="0"/>
        </w:rPr>
        <w:t xml:space="preserve">20</w:t>
      </w:r>
      <w:r w:rsidDel="00000000" w:rsidR="00000000" w:rsidRPr="00000000">
        <w:rPr>
          <w:rFonts w:ascii="Times New Roman" w:cs="Times New Roman" w:eastAsia="Times New Roman" w:hAnsi="Times New Roman"/>
          <w:color w:val="222222"/>
          <w:highlight w:val="white"/>
          <w:rtl w:val="0"/>
        </w:rPr>
        <w:t xml:space="preserve">(1), 97-112.</w:t>
      </w:r>
    </w:p>
    <w:p w:rsidR="00000000" w:rsidDel="00000000" w:rsidP="00000000" w:rsidRDefault="00000000" w:rsidRPr="00000000" w14:paraId="0000003D">
      <w:pPr>
        <w:spacing w:after="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Jung, E., &amp; Kim, Y.-C. (2021). Commuting, Communication, and Community Engagement From a Communication Infrastructure Theory Perspective. </w:t>
      </w:r>
      <w:r w:rsidDel="00000000" w:rsidR="00000000" w:rsidRPr="00000000">
        <w:rPr>
          <w:rFonts w:ascii="Times New Roman" w:cs="Times New Roman" w:eastAsia="Times New Roman" w:hAnsi="Times New Roman"/>
          <w:i w:val="1"/>
          <w:iCs w:val="1"/>
          <w:color w:val="222222"/>
          <w:highlight w:val="white"/>
          <w:rtl w:val="0"/>
        </w:rPr>
        <w:t xml:space="preserve">Communication Research</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48</w:t>
      </w:r>
      <w:r w:rsidDel="00000000" w:rsidR="00000000" w:rsidRPr="00000000">
        <w:rPr>
          <w:rFonts w:ascii="Times New Roman" w:cs="Times New Roman" w:eastAsia="Times New Roman" w:hAnsi="Times New Roman"/>
          <w:color w:val="222222"/>
          <w:highlight w:val="white"/>
          <w:rtl w:val="0"/>
        </w:rPr>
        <w:t xml:space="preserve">(5), 740–766. https://doi.org/10.1177/0093650218801745</w:t>
      </w:r>
    </w:p>
    <w:p w:rsidR="00000000" w:rsidDel="00000000" w:rsidP="00000000" w:rsidRDefault="00000000" w:rsidRPr="00000000" w14:paraId="0000003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Kang, T., Battocchio, A. F., Thorson, K., Dong, C., &amp; Sharma, P. (2026). Trade-offs in a bigger pie: how the relationships between digital civic infrastructure and political participation vary across rural and urban communities - the case of Michigan. </w:t>
      </w:r>
      <w:r w:rsidDel="00000000" w:rsidR="00000000" w:rsidRPr="00000000">
        <w:rPr>
          <w:rFonts w:ascii="Times New Roman" w:cs="Times New Roman" w:eastAsia="Times New Roman" w:hAnsi="Times New Roman"/>
          <w:i w:val="1"/>
          <w:iCs w:val="1"/>
          <w:rtl w:val="0"/>
        </w:rPr>
        <w:t xml:space="preserve">Information, Communication &amp;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29</w:t>
      </w:r>
      <w:r w:rsidDel="00000000" w:rsidR="00000000" w:rsidRPr="00000000">
        <w:rPr>
          <w:rFonts w:ascii="Times New Roman" w:cs="Times New Roman" w:eastAsia="Times New Roman" w:hAnsi="Times New Roman"/>
          <w:rtl w:val="0"/>
        </w:rPr>
        <w:t xml:space="preserve">(2), 565–587. </w:t>
      </w:r>
      <w:hyperlink r:id="rId13">
        <w:r w:rsidDel="00000000" w:rsidR="00000000" w:rsidRPr="00000000">
          <w:rPr>
            <w:rFonts w:ascii="Times New Roman" w:cs="Times New Roman" w:eastAsia="Times New Roman" w:hAnsi="Times New Roman"/>
            <w:color w:val="1155cc"/>
            <w:u w:val="single"/>
            <w:rtl w:val="0"/>
          </w:rPr>
          <w:t xml:space="preserve">https://doi.org/10.1080/1369118X.2025.2524579</w:t>
        </w:r>
      </w:hyperlink>
      <w:r w:rsidDel="00000000" w:rsidR="00000000" w:rsidRPr="00000000">
        <w:rPr>
          <w:rtl w:val="0"/>
        </w:rPr>
      </w:r>
    </w:p>
    <w:p w:rsidR="00000000" w:rsidDel="00000000" w:rsidP="00000000" w:rsidRDefault="00000000" w:rsidRPr="00000000" w14:paraId="0000003F">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Kim, Y. C., &amp; Ball-Rokeach, S. J. (2006). Civic engagement from a communication infrastructure perspective</w:t>
      </w:r>
      <w:r w:rsidDel="00000000" w:rsidR="00000000" w:rsidRPr="00000000">
        <w:rPr>
          <w:rFonts w:ascii="Times New Roman" w:cs="Times New Roman" w:eastAsia="Times New Roman" w:hAnsi="Times New Roman"/>
          <w:i w:val="1"/>
          <w:iCs w:val="1"/>
          <w:highlight w:val="white"/>
          <w:rtl w:val="0"/>
        </w:rPr>
        <w:t xml:space="preserve">. Communication Theory</w:t>
      </w:r>
      <w:r w:rsidDel="00000000" w:rsidR="00000000" w:rsidRPr="00000000">
        <w:rPr>
          <w:rFonts w:ascii="Times New Roman" w:cs="Times New Roman" w:eastAsia="Times New Roman" w:hAnsi="Times New Roman"/>
          <w:highlight w:val="white"/>
          <w:rtl w:val="0"/>
        </w:rPr>
        <w:t xml:space="preserve">, 16, 173-197. doi:10.1111/j.1468-2885.2006.00267.x</w:t>
      </w:r>
    </w:p>
    <w:p w:rsidR="00000000" w:rsidDel="00000000" w:rsidP="00000000" w:rsidRDefault="00000000" w:rsidRPr="00000000" w14:paraId="00000040">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Kim, Y.-C., Jung, J.-Y., &amp; Ball-Rokeach, S. J. (2006). “Geo-Ethnicity” and Neighborhood Engagement: A Communication Infrastructure Perspective. </w:t>
      </w:r>
      <w:r w:rsidDel="00000000" w:rsidR="00000000" w:rsidRPr="00000000">
        <w:rPr>
          <w:rFonts w:ascii="Times New Roman" w:cs="Times New Roman" w:eastAsia="Times New Roman" w:hAnsi="Times New Roman"/>
          <w:i w:val="1"/>
          <w:iCs w:val="1"/>
          <w:highlight w:val="white"/>
          <w:rtl w:val="0"/>
        </w:rPr>
        <w:t xml:space="preserve">Political Communication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23</w:t>
      </w:r>
      <w:r w:rsidDel="00000000" w:rsidR="00000000" w:rsidRPr="00000000">
        <w:rPr>
          <w:rFonts w:ascii="Times New Roman" w:cs="Times New Roman" w:eastAsia="Times New Roman" w:hAnsi="Times New Roman"/>
          <w:highlight w:val="white"/>
          <w:rtl w:val="0"/>
        </w:rPr>
        <w:t xml:space="preserve">(4), 421–441. https://doi.org/10.1080/10584600600976997</w:t>
      </w:r>
    </w:p>
    <w:p w:rsidR="00000000" w:rsidDel="00000000" w:rsidP="00000000" w:rsidRDefault="00000000" w:rsidRPr="00000000" w14:paraId="000000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S., Liu, F., &amp; Shao, C. (2026). Expanding integrated storytelling networks: the role of AI newsbots and mobile apps in civic engagement. </w:t>
      </w:r>
      <w:r w:rsidDel="00000000" w:rsidR="00000000" w:rsidRPr="00000000">
        <w:rPr>
          <w:rFonts w:ascii="Times New Roman" w:cs="Times New Roman" w:eastAsia="Times New Roman" w:hAnsi="Times New Roman"/>
          <w:i w:val="1"/>
          <w:iCs w:val="1"/>
          <w:rtl w:val="0"/>
        </w:rPr>
        <w:t xml:space="preserve">Journal of Information Technology &amp; Politics</w:t>
      </w:r>
      <w:r w:rsidDel="00000000" w:rsidR="00000000" w:rsidRPr="00000000">
        <w:rPr>
          <w:rFonts w:ascii="Times New Roman" w:cs="Times New Roman" w:eastAsia="Times New Roman" w:hAnsi="Times New Roman"/>
          <w:rtl w:val="0"/>
        </w:rPr>
        <w:t xml:space="preserve">, 1–18. </w:t>
      </w:r>
      <w:hyperlink r:id="rId14">
        <w:r w:rsidDel="00000000" w:rsidR="00000000" w:rsidRPr="00000000">
          <w:rPr>
            <w:rFonts w:ascii="Times New Roman" w:cs="Times New Roman" w:eastAsia="Times New Roman" w:hAnsi="Times New Roman"/>
            <w:color w:val="1155cc"/>
            <w:u w:val="single"/>
            <w:rtl w:val="0"/>
          </w:rPr>
          <w:t xml:space="preserve">https://doi.org/10.1080/19331681.2026.2616671</w:t>
        </w:r>
      </w:hyperlink>
      <w:r w:rsidDel="00000000" w:rsidR="00000000" w:rsidRPr="00000000">
        <w:rPr>
          <w:rtl w:val="0"/>
        </w:rPr>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S., Kwon, H. K., Liu, W., &amp; McNealy, J. E. (2021). Communication Infrastructure, Social Media, and Civic Participation across Geographically Diverse Communities in the United States. </w:t>
      </w:r>
      <w:r w:rsidDel="00000000" w:rsidR="00000000" w:rsidRPr="00000000">
        <w:rPr>
          <w:rFonts w:ascii="Times New Roman" w:cs="Times New Roman" w:eastAsia="Times New Roman" w:hAnsi="Times New Roman"/>
          <w:i w:val="1"/>
          <w:iCs w:val="1"/>
          <w:rtl w:val="0"/>
        </w:rPr>
        <w:t xml:space="preserve">Communication 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72</w:t>
      </w:r>
      <w:r w:rsidDel="00000000" w:rsidR="00000000" w:rsidRPr="00000000">
        <w:rPr>
          <w:rFonts w:ascii="Times New Roman" w:cs="Times New Roman" w:eastAsia="Times New Roman" w:hAnsi="Times New Roman"/>
          <w:rtl w:val="0"/>
        </w:rPr>
        <w:t xml:space="preserve">(3), 437–455. </w:t>
      </w:r>
      <w:hyperlink r:id="rId15">
        <w:r w:rsidDel="00000000" w:rsidR="00000000" w:rsidRPr="00000000">
          <w:rPr>
            <w:rFonts w:ascii="Times New Roman" w:cs="Times New Roman" w:eastAsia="Times New Roman" w:hAnsi="Times New Roman"/>
            <w:color w:val="1155cc"/>
            <w:u w:val="single"/>
            <w:rtl w:val="0"/>
          </w:rPr>
          <w:t xml:space="preserve">https://doi.org/10.1080/10510974.2021.1876129</w:t>
        </w:r>
      </w:hyperlink>
      <w:r w:rsidDel="00000000" w:rsidR="00000000" w:rsidRPr="00000000">
        <w:rPr>
          <w:rtl w:val="0"/>
        </w:rPr>
      </w:r>
    </w:p>
    <w:p w:rsidR="00000000" w:rsidDel="00000000" w:rsidP="00000000" w:rsidRDefault="00000000" w:rsidRPr="00000000" w14:paraId="000000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S., &amp; Yamamoto, M. (2017). Civic Technology and Community Building: Interaction Effects Between Integrated Connectedness to a Storytelling Network (ICSN) and Internet and Mobile Uses on Civic Participation: Civic Technology and Community Building. </w:t>
      </w:r>
      <w:r w:rsidDel="00000000" w:rsidR="00000000" w:rsidRPr="00000000">
        <w:rPr>
          <w:rFonts w:ascii="Times New Roman" w:cs="Times New Roman" w:eastAsia="Times New Roman" w:hAnsi="Times New Roman"/>
          <w:i w:val="1"/>
          <w:iCs w:val="1"/>
          <w:rtl w:val="0"/>
        </w:rPr>
        <w:t xml:space="preserve">Journal of Computer-Mediated Communication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22</w:t>
      </w:r>
      <w:r w:rsidDel="00000000" w:rsidR="00000000" w:rsidRPr="00000000">
        <w:rPr>
          <w:rFonts w:ascii="Times New Roman" w:cs="Times New Roman" w:eastAsia="Times New Roman" w:hAnsi="Times New Roman"/>
          <w:rtl w:val="0"/>
        </w:rPr>
        <w:t xml:space="preserve">(4), 179–195. https://doi.org/10.1111/jcc4.12189</w:t>
      </w:r>
    </w:p>
    <w:p w:rsidR="00000000" w:rsidDel="00000000" w:rsidP="00000000" w:rsidRDefault="00000000" w:rsidRPr="00000000" w14:paraId="0000004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Neuman, W. R. (1996). Political Communications Infrastructure. </w:t>
      </w:r>
      <w:r w:rsidDel="00000000" w:rsidR="00000000" w:rsidRPr="00000000">
        <w:rPr>
          <w:rFonts w:ascii="Times New Roman" w:cs="Times New Roman" w:eastAsia="Times New Roman" w:hAnsi="Times New Roman"/>
          <w:i w:val="1"/>
          <w:iCs w:val="1"/>
          <w:rtl w:val="0"/>
        </w:rPr>
        <w:t xml:space="preserve">The Annals of the American Academy of Political and Social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546</w:t>
      </w:r>
      <w:r w:rsidDel="00000000" w:rsidR="00000000" w:rsidRPr="00000000">
        <w:rPr>
          <w:rFonts w:ascii="Times New Roman" w:cs="Times New Roman" w:eastAsia="Times New Roman" w:hAnsi="Times New Roman"/>
          <w:rtl w:val="0"/>
        </w:rPr>
        <w:t xml:space="preserve">(1), 9–21. https://doi.org/10.1177/0002716296546001002</w:t>
      </w:r>
    </w:p>
    <w:p w:rsidR="00000000" w:rsidDel="00000000" w:rsidP="00000000" w:rsidRDefault="00000000" w:rsidRPr="00000000" w14:paraId="00000045">
      <w:pPr>
        <w:spacing w:after="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Orbell, J. M., &amp; Uno, T. (1972). A theory of neighborhood problem solving: Political action vs. residential mobility. </w:t>
      </w:r>
      <w:r w:rsidDel="00000000" w:rsidR="00000000" w:rsidRPr="00000000">
        <w:rPr>
          <w:rFonts w:ascii="Times New Roman" w:cs="Times New Roman" w:eastAsia="Times New Roman" w:hAnsi="Times New Roman"/>
          <w:i w:val="1"/>
          <w:iCs w:val="1"/>
          <w:color w:val="222222"/>
          <w:rtl w:val="0"/>
        </w:rPr>
        <w:t xml:space="preserve">American Political Science Review</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rtl w:val="0"/>
        </w:rPr>
        <w:t xml:space="preserve">66</w:t>
      </w:r>
      <w:r w:rsidDel="00000000" w:rsidR="00000000" w:rsidRPr="00000000">
        <w:rPr>
          <w:rFonts w:ascii="Times New Roman" w:cs="Times New Roman" w:eastAsia="Times New Roman" w:hAnsi="Times New Roman"/>
          <w:color w:val="222222"/>
          <w:highlight w:val="white"/>
          <w:rtl w:val="0"/>
        </w:rPr>
        <w:t xml:space="preserve">(2), 471-489.</w:t>
      </w:r>
    </w:p>
    <w:p w:rsidR="00000000" w:rsidDel="00000000" w:rsidP="00000000" w:rsidRDefault="00000000" w:rsidRPr="00000000" w14:paraId="0000004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Phillips, N. E., Levy, B. L., Sampson, R. J., Small, M. L., &amp; Wang, R. Q. (2021). The Social Integration of American Cities: Network Measures of Connectedness based on Everyday Mobility across Neighborhoods. </w:t>
      </w:r>
      <w:r w:rsidDel="00000000" w:rsidR="00000000" w:rsidRPr="00000000">
        <w:rPr>
          <w:rFonts w:ascii="Times New Roman" w:cs="Times New Roman" w:eastAsia="Times New Roman" w:hAnsi="Times New Roman"/>
          <w:i w:val="1"/>
          <w:iCs w:val="1"/>
          <w:color w:val="222222"/>
          <w:rtl w:val="0"/>
        </w:rPr>
        <w:t xml:space="preserve">Sociological Methods &amp; Research</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rtl w:val="0"/>
        </w:rPr>
        <w:t xml:space="preserve">50</w:t>
      </w:r>
      <w:r w:rsidDel="00000000" w:rsidR="00000000" w:rsidRPr="00000000">
        <w:rPr>
          <w:rFonts w:ascii="Times New Roman" w:cs="Times New Roman" w:eastAsia="Times New Roman" w:hAnsi="Times New Roman"/>
          <w:color w:val="222222"/>
          <w:highlight w:val="white"/>
          <w:rtl w:val="0"/>
        </w:rPr>
        <w:t xml:space="preserve">(3), 1110-1149.</w:t>
      </w:r>
      <w:r w:rsidDel="00000000" w:rsidR="00000000" w:rsidRPr="00000000">
        <w:rPr>
          <w:rtl w:val="0"/>
        </w:rPr>
      </w:r>
    </w:p>
    <w:p w:rsidR="00000000" w:rsidDel="00000000" w:rsidP="00000000" w:rsidRDefault="00000000" w:rsidRPr="00000000" w14:paraId="000000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Schwarz, N. (2008). The Psychology of Survey Response. In M. W. Traugott &amp; W. Donsbach (Eds.), </w:t>
      </w:r>
      <w:r w:rsidDel="00000000" w:rsidR="00000000" w:rsidRPr="00000000">
        <w:rPr>
          <w:rFonts w:ascii="Times New Roman" w:cs="Times New Roman" w:eastAsia="Times New Roman" w:hAnsi="Times New Roman"/>
          <w:i w:val="1"/>
          <w:iCs w:val="1"/>
          <w:rtl w:val="0"/>
        </w:rPr>
        <w:t xml:space="preserve">The SAGE Handbook of Public Opinion Research</w:t>
      </w:r>
      <w:r w:rsidDel="00000000" w:rsidR="00000000" w:rsidRPr="00000000">
        <w:rPr>
          <w:rFonts w:ascii="Times New Roman" w:cs="Times New Roman" w:eastAsia="Times New Roman" w:hAnsi="Times New Roman"/>
          <w:rtl w:val="0"/>
        </w:rPr>
        <w:t xml:space="preserve"> (pp. 374–387). SAGE Publications, Limited. </w:t>
      </w:r>
      <w:hyperlink r:id="rId16">
        <w:r w:rsidDel="00000000" w:rsidR="00000000" w:rsidRPr="00000000">
          <w:rPr>
            <w:rFonts w:ascii="Times New Roman" w:cs="Times New Roman" w:eastAsia="Times New Roman" w:hAnsi="Times New Roman"/>
            <w:color w:val="1155cc"/>
            <w:u w:val="single"/>
            <w:rtl w:val="0"/>
          </w:rPr>
          <w:t xml:space="preserve">https://doi.org/10.4135/9781848607910.n35</w:t>
        </w:r>
      </w:hyperlink>
      <w:r w:rsidDel="00000000" w:rsidR="00000000" w:rsidRPr="00000000">
        <w:rPr>
          <w:rtl w:val="0"/>
        </w:rPr>
      </w:r>
    </w:p>
    <w:p w:rsidR="00000000" w:rsidDel="00000000" w:rsidP="00000000" w:rsidRDefault="00000000" w:rsidRPr="00000000" w14:paraId="0000004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Stevens, R., Gilliard-Matthews, S., Dunaev, J., Woods, M. K., &amp; Brawner, B. M. (2017). The digital hood: Social media use among youth in disadvantaged neighborhoods. </w:t>
      </w:r>
      <w:r w:rsidDel="00000000" w:rsidR="00000000" w:rsidRPr="00000000">
        <w:rPr>
          <w:rFonts w:ascii="Times New Roman" w:cs="Times New Roman" w:eastAsia="Times New Roman" w:hAnsi="Times New Roman"/>
          <w:i w:val="1"/>
          <w:iCs w:val="1"/>
          <w:rtl w:val="0"/>
        </w:rPr>
        <w:t xml:space="preserve">New Media &amp;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19</w:t>
      </w:r>
      <w:r w:rsidDel="00000000" w:rsidR="00000000" w:rsidRPr="00000000">
        <w:rPr>
          <w:rFonts w:ascii="Times New Roman" w:cs="Times New Roman" w:eastAsia="Times New Roman" w:hAnsi="Times New Roman"/>
          <w:rtl w:val="0"/>
        </w:rPr>
        <w:t xml:space="preserve">(6), 950–967. https://doi.org/10.1177/1461444815625941</w:t>
      </w:r>
    </w:p>
    <w:p w:rsidR="00000000" w:rsidDel="00000000" w:rsidP="00000000" w:rsidRDefault="00000000" w:rsidRPr="00000000" w14:paraId="000000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Üblacker, J., Liebig, S., &amp; Hamad, H. (2024). Catalysts of connection. The role of digital information and communication technology in fostering neighbourhood social cohesion: A systematic review of empirical findings. </w:t>
      </w:r>
      <w:r w:rsidDel="00000000" w:rsidR="00000000" w:rsidRPr="00000000">
        <w:rPr>
          <w:rFonts w:ascii="Times New Roman" w:cs="Times New Roman" w:eastAsia="Times New Roman" w:hAnsi="Times New Roman"/>
          <w:i w:val="1"/>
          <w:iCs w:val="1"/>
          <w:rtl w:val="0"/>
        </w:rPr>
        <w:t xml:space="preserve">Urban 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61</w:t>
      </w:r>
      <w:r w:rsidDel="00000000" w:rsidR="00000000" w:rsidRPr="00000000">
        <w:rPr>
          <w:rFonts w:ascii="Times New Roman" w:cs="Times New Roman" w:eastAsia="Times New Roman" w:hAnsi="Times New Roman"/>
          <w:rtl w:val="0"/>
        </w:rPr>
        <w:t xml:space="preserve">(16), 3167-3186.</w:t>
      </w:r>
    </w:p>
    <w:p w:rsidR="00000000" w:rsidDel="00000000" w:rsidP="00000000" w:rsidRDefault="00000000" w:rsidRPr="00000000" w14:paraId="0000004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Valle Pilia, M., &amp; Ramírez Fonseca, F. (2024). The influence of the urban model on civic involvement and public time. A study applied to the commuting population of the Greater Metropolitan Area of San José, Costa Rica. </w:t>
      </w:r>
      <w:r w:rsidDel="00000000" w:rsidR="00000000" w:rsidRPr="00000000">
        <w:rPr>
          <w:rFonts w:ascii="Times New Roman" w:cs="Times New Roman" w:eastAsia="Times New Roman" w:hAnsi="Times New Roman"/>
          <w:i w:val="1"/>
          <w:iCs w:val="1"/>
          <w:rtl w:val="0"/>
        </w:rPr>
        <w:t xml:space="preserve">Cities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148</w:t>
      </w:r>
      <w:r w:rsidDel="00000000" w:rsidR="00000000" w:rsidRPr="00000000">
        <w:rPr>
          <w:rFonts w:ascii="Times New Roman" w:cs="Times New Roman" w:eastAsia="Times New Roman" w:hAnsi="Times New Roman"/>
          <w:rtl w:val="0"/>
        </w:rPr>
        <w:t xml:space="preserve">, Article 104849. https://doi.org/10.1016/j.cities.2024.104849</w:t>
      </w:r>
    </w:p>
    <w:p w:rsidR="00000000" w:rsidDel="00000000" w:rsidP="00000000" w:rsidRDefault="00000000" w:rsidRPr="00000000" w14:paraId="000000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Voight, A., Giraldo-García, R., &amp; Shinn, M. (2020). The Effects of Residential Mobility on the Education Outcomes of Urban Middle School Students and the Moderating Potential of Civic Engagement. </w:t>
      </w:r>
      <w:r w:rsidDel="00000000" w:rsidR="00000000" w:rsidRPr="00000000">
        <w:rPr>
          <w:rFonts w:ascii="Times New Roman" w:cs="Times New Roman" w:eastAsia="Times New Roman" w:hAnsi="Times New Roman"/>
          <w:i w:val="1"/>
          <w:iCs w:val="1"/>
          <w:rtl w:val="0"/>
        </w:rPr>
        <w:t xml:space="preserve">Urban Education (Beverly Hills, Calif.)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55</w:t>
      </w:r>
      <w:r w:rsidDel="00000000" w:rsidR="00000000" w:rsidRPr="00000000">
        <w:rPr>
          <w:rFonts w:ascii="Times New Roman" w:cs="Times New Roman" w:eastAsia="Times New Roman" w:hAnsi="Times New Roman"/>
          <w:rtl w:val="0"/>
        </w:rPr>
        <w:t xml:space="preserve">(4), 570–591. https://doi.org/10.1177/0042085917721956 </w:t>
      </w:r>
    </w:p>
    <w:p w:rsidR="00000000" w:rsidDel="00000000" w:rsidP="00000000" w:rsidRDefault="00000000" w:rsidRPr="00000000" w14:paraId="0000004C">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Williams, D. R., &amp; Vaske, J. J. (2003). The measurement of place attachment: Validity and generalizability of a psychometric approach. Forest science, 49(6), 830-840.</w:t>
      </w:r>
    </w:p>
    <w:p w:rsidR="00000000" w:rsidDel="00000000" w:rsidP="00000000" w:rsidRDefault="00000000" w:rsidRPr="00000000" w14:paraId="0000004D">
      <w:pPr>
        <w:rPr>
          <w:rFonts w:ascii="Times New Roman" w:cs="Times New Roman" w:eastAsia="Times New Roman" w:hAnsi="Times New Roman"/>
          <w:color w:val="008080"/>
          <w:sz w:val="24"/>
          <w:szCs w:val="24"/>
          <w:highlight w:val="white"/>
          <w:u w:val="single"/>
        </w:rPr>
      </w:pPr>
      <w:r w:rsidDel="00000000" w:rsidR="00000000" w:rsidRPr="00000000">
        <w:rPr>
          <w:rFonts w:ascii="Times New Roman" w:cs="Times New Roman" w:eastAsia="Times New Roman" w:hAnsi="Times New Roman"/>
          <w:color w:val="008080"/>
          <w:sz w:val="24"/>
          <w:szCs w:val="24"/>
          <w:highlight w:val="white"/>
          <w:u w:val="single"/>
          <w:rtl w:val="0"/>
        </w:rPr>
        <w:t xml:space="preserve">Rossetti, S., &amp; Zazzi, M. (2020). In field assessment of existing pedestrian paths: A comprehensive approach towards pedestrian oriented neighbourhoods. In M. Pezzagno, M. Tira, &amp; A. Richiedei (Eds.), </w:t>
      </w:r>
      <w:r w:rsidDel="00000000" w:rsidR="00000000" w:rsidRPr="00000000">
        <w:rPr>
          <w:rFonts w:ascii="Times New Roman" w:cs="Times New Roman" w:eastAsia="Times New Roman" w:hAnsi="Times New Roman"/>
          <w:i w:val="1"/>
          <w:iCs w:val="1"/>
          <w:color w:val="008080"/>
          <w:sz w:val="24"/>
          <w:szCs w:val="24"/>
          <w:highlight w:val="white"/>
          <w:u w:val="single"/>
          <w:rtl w:val="0"/>
        </w:rPr>
        <w:t xml:space="preserve">Pedestrians, Urban Spaces and Health</w:t>
      </w:r>
      <w:r w:rsidDel="00000000" w:rsidR="00000000" w:rsidRPr="00000000">
        <w:rPr>
          <w:rFonts w:ascii="Times New Roman" w:cs="Times New Roman" w:eastAsia="Times New Roman" w:hAnsi="Times New Roman"/>
          <w:color w:val="008080"/>
          <w:sz w:val="24"/>
          <w:szCs w:val="24"/>
          <w:highlight w:val="white"/>
          <w:u w:val="single"/>
          <w:rtl w:val="0"/>
        </w:rPr>
        <w:t xml:space="preserve"> (1st ed., pp. 88–92). CRC Press. https://doi.org/10.1201/9781003027379-17</w:t>
      </w:r>
    </w:p>
    <w:p w:rsidR="00000000" w:rsidDel="00000000" w:rsidP="00000000" w:rsidRDefault="00000000" w:rsidRPr="00000000" w14:paraId="0000004E">
      <w:pPr>
        <w:spacing w:after="24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96607d"/>
          <w:vertAlign w:val="superscript"/>
          <w:rtl w:val="0"/>
        </w:rPr>
        <w:t xml:space="preserve">[1]</w:t>
      </w:r>
      <w:r w:rsidDel="00000000" w:rsidR="00000000" w:rsidRPr="00000000">
        <w:rPr>
          <w:rFonts w:ascii="Times New Roman" w:cs="Times New Roman" w:eastAsia="Times New Roman" w:hAnsi="Times New Roman"/>
          <w:rtl w:val="0"/>
        </w:rPr>
        <w:t xml:space="preserve"> Place attachment was measured using a belonging scale adapted from urban studies literature, which captures residents’ sense of attachment, identification, and emotional connection to their neighborhood as a place (​​Inalhan &amp; Finch, 2004).</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200" w:lineRule="auto"/>
        <w:rPr>
          <w:rFonts w:ascii="Times New Roman" w:cs="Times New Roman" w:eastAsia="Times New Roman" w:hAnsi="Times New Roman"/>
          <w:b w:val="1"/>
          <w:bCs w:val="1"/>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sectPr>
          <w:headerReference r:id="rId18" w:type="default"/>
          <w:type w:val="nextPage"/>
          <w:pgSz w:h="15840" w:w="12240" w:orient="portrait"/>
          <w:pgMar w:bottom="1440" w:top="1440" w:left="1440" w:right="1440" w:header="720" w:footer="720"/>
          <w:pgNumType w:start="1"/>
        </w:sectPr>
      </w:pPr>
      <w:bookmarkStart w:colFirst="0" w:colLast="0" w:name="_tk3b4obed50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WIP - Submission Guideline</w:t>
      </w:r>
      <w:r w:rsidDel="00000000" w:rsidR="00000000" w:rsidRPr="00000000">
        <w:rPr>
          <w:rtl w:val="0"/>
        </w:rPr>
      </w:r>
    </w:p>
    <w:p w:rsidR="00000000" w:rsidDel="00000000" w:rsidP="00000000" w:rsidRDefault="00000000" w:rsidRPr="00000000" w14:paraId="00000055">
      <w:pPr>
        <w:spacing w:after="160" w:line="335.999999999999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AEJMC 2026 Conference Paper Competition</w:t>
      </w:r>
    </w:p>
    <w:p w:rsidR="00000000" w:rsidDel="00000000" w:rsidP="00000000" w:rsidRDefault="00000000" w:rsidRPr="00000000" w14:paraId="00000056">
      <w:pPr>
        <w:spacing w:after="160" w:line="335.99999999999994"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Submissions Invited for Research-in-Progress</w:t>
      </w:r>
    </w:p>
    <w:p w:rsidR="00000000" w:rsidDel="00000000" w:rsidP="00000000" w:rsidRDefault="00000000" w:rsidRPr="00000000" w14:paraId="00000057">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AEJMC invites submissions for a new Research-in-Progress submission category at the 2026 Conference. This format provides scholars with an opportunity to present and receive feedback on projects that are underway but not yet complete at the time of presentation. It is ideal for emerging research ideas, pilot studies, data collection efforts, or early analyses that show strong potential for scholarly contribution.</w:t>
      </w:r>
    </w:p>
    <w:p w:rsidR="00000000" w:rsidDel="00000000" w:rsidP="00000000" w:rsidRDefault="00000000" w:rsidRPr="00000000" w14:paraId="00000058">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Divisions, Interest Groups and Commissions with research programming may choose not to participate in the Research-in-Progress symposium competition.</w:t>
      </w:r>
    </w:p>
    <w:p w:rsidR="00000000" w:rsidDel="00000000" w:rsidP="00000000" w:rsidRDefault="00000000" w:rsidRPr="00000000" w14:paraId="00000059">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Deadline</w:t>
      </w:r>
    </w:p>
    <w:p w:rsidR="00000000" w:rsidDel="00000000" w:rsidP="00000000" w:rsidRDefault="00000000" w:rsidRPr="00000000" w14:paraId="0000005A">
      <w:pPr>
        <w:numPr>
          <w:ilvl w:val="0"/>
          <w:numId w:val="2"/>
        </w:numPr>
        <w:spacing w:after="16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11:59 p.m. CDT, April 1, 2026</w:t>
        <w:br w:type="textWrapping"/>
        <w:t xml:space="preserve">All submissions must be uploaded as a single file through the AEJMC submission site.</w:t>
      </w:r>
    </w:p>
    <w:p w:rsidR="00000000" w:rsidDel="00000000" w:rsidP="00000000" w:rsidRDefault="00000000" w:rsidRPr="00000000" w14:paraId="0000005B">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5C">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category supports projects still in progress at the time of the conference.  Submissions should be developed enough for meaningful peer feedback during the review process but not substantially complete or under review elsewhere. This format allows participants to present their project’s purpose and current progress to encourage discussion and constructive feedback. Any submission that is uploaded with author’s identifying information will not be considered for review and will automatically be disqualified.</w:t>
      </w:r>
    </w:p>
    <w:p w:rsidR="00000000" w:rsidDel="00000000" w:rsidP="00000000" w:rsidRDefault="00000000" w:rsidRPr="00000000" w14:paraId="0000005D">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w:t>
      </w:r>
    </w:p>
    <w:p w:rsidR="00000000" w:rsidDel="00000000" w:rsidP="00000000" w:rsidRDefault="00000000" w:rsidRPr="00000000" w14:paraId="0000005E">
      <w:pPr>
        <w:numPr>
          <w:ilvl w:val="0"/>
          <w:numId w:val="6"/>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Projects must be actively in progress—data collection, analysis, or writing should be underway.</w:t>
      </w:r>
    </w:p>
    <w:p w:rsidR="00000000" w:rsidDel="00000000" w:rsidP="00000000" w:rsidRDefault="00000000" w:rsidRPr="00000000" w14:paraId="0000005F">
      <w:pPr>
        <w:numPr>
          <w:ilvl w:val="0"/>
          <w:numId w:val="6"/>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Submissions must include sufficient detail for reviewers to evaluate scholarly potential (see below under Submission Requirements for further details).</w:t>
      </w:r>
    </w:p>
    <w:p w:rsidR="00000000" w:rsidDel="00000000" w:rsidP="00000000" w:rsidRDefault="00000000" w:rsidRPr="00000000" w14:paraId="00000060">
      <w:pPr>
        <w:numPr>
          <w:ilvl w:val="0"/>
          <w:numId w:val="6"/>
        </w:numPr>
        <w:spacing w:after="16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Completed papers or those under review elsewhere are not eligible.</w:t>
      </w:r>
    </w:p>
    <w:p w:rsidR="00000000" w:rsidDel="00000000" w:rsidP="00000000" w:rsidRDefault="00000000" w:rsidRPr="00000000" w14:paraId="00000061">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w:t>
      </w:r>
    </w:p>
    <w:p w:rsidR="00000000" w:rsidDel="00000000" w:rsidP="00000000" w:rsidRDefault="00000000" w:rsidRPr="00000000" w14:paraId="00000062">
      <w:pPr>
        <w:numPr>
          <w:ilvl w:val="0"/>
          <w:numId w:val="5"/>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Research-in-progress will be accepted for in-person presentation, and registration for the conference will be required.</w:t>
      </w:r>
    </w:p>
    <w:p w:rsidR="00000000" w:rsidDel="00000000" w:rsidP="00000000" w:rsidRDefault="00000000" w:rsidRPr="00000000" w14:paraId="00000063">
      <w:pPr>
        <w:numPr>
          <w:ilvl w:val="0"/>
          <w:numId w:val="5"/>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You do not have to be a current member to submit.</w:t>
      </w:r>
    </w:p>
    <w:p w:rsidR="00000000" w:rsidDel="00000000" w:rsidP="00000000" w:rsidRDefault="00000000" w:rsidRPr="00000000" w14:paraId="00000064">
      <w:pPr>
        <w:numPr>
          <w:ilvl w:val="0"/>
          <w:numId w:val="5"/>
        </w:numPr>
        <w:spacing w:after="16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Participating DIGs will decide on presentation format for accepted Research-in-Progress submissions.</w:t>
      </w:r>
    </w:p>
    <w:p w:rsidR="00000000" w:rsidDel="00000000" w:rsidP="00000000" w:rsidRDefault="00000000" w:rsidRPr="00000000" w14:paraId="00000065">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Requirements</w:t>
      </w:r>
    </w:p>
    <w:p w:rsidR="00000000" w:rsidDel="00000000" w:rsidP="00000000" w:rsidRDefault="00000000" w:rsidRPr="00000000" w14:paraId="00000066">
      <w:pPr>
        <w:numPr>
          <w:ilvl w:val="0"/>
          <w:numId w:val="7"/>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Abstract (75 words or fewer)</w:t>
      </w:r>
    </w:p>
    <w:p w:rsidR="00000000" w:rsidDel="00000000" w:rsidP="00000000" w:rsidRDefault="00000000" w:rsidRPr="00000000" w14:paraId="00000067">
      <w:pPr>
        <w:numPr>
          <w:ilvl w:val="0"/>
          <w:numId w:val="7"/>
        </w:numPr>
        <w:spacing w:after="0" w:afterAutospacing="0" w:line="335.99999999999994" w:lineRule="auto"/>
        <w:ind w:left="72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Proposal of 1,000–1,500 words (PDF preferred, Word accepted) outlining:</w:t>
      </w:r>
    </w:p>
    <w:p w:rsidR="00000000" w:rsidDel="00000000" w:rsidP="00000000" w:rsidRDefault="00000000" w:rsidRPr="00000000" w14:paraId="00000068">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Purpose and significance</w:t>
      </w:r>
    </w:p>
    <w:p w:rsidR="00000000" w:rsidDel="00000000" w:rsidP="00000000" w:rsidRDefault="00000000" w:rsidRPr="00000000" w14:paraId="00000069">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Theoretical framework and/or literature grounding</w:t>
      </w:r>
    </w:p>
    <w:p w:rsidR="00000000" w:rsidDel="00000000" w:rsidP="00000000" w:rsidRDefault="00000000" w:rsidRPr="00000000" w14:paraId="0000006A">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Research questions and/or hypotheses</w:t>
      </w:r>
    </w:p>
    <w:p w:rsidR="00000000" w:rsidDel="00000000" w:rsidP="00000000" w:rsidRDefault="00000000" w:rsidRPr="00000000" w14:paraId="0000006B">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Methodology</w:t>
      </w:r>
    </w:p>
    <w:p w:rsidR="00000000" w:rsidDel="00000000" w:rsidP="00000000" w:rsidRDefault="00000000" w:rsidRPr="00000000" w14:paraId="0000006C">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Expected contributions to the field of communication or media studies</w:t>
      </w:r>
    </w:p>
    <w:p w:rsidR="00000000" w:rsidDel="00000000" w:rsidP="00000000" w:rsidRDefault="00000000" w:rsidRPr="00000000" w14:paraId="0000006D">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Preliminary results or findings</w:t>
      </w:r>
    </w:p>
    <w:p w:rsidR="00000000" w:rsidDel="00000000" w:rsidP="00000000" w:rsidRDefault="00000000" w:rsidRPr="00000000" w14:paraId="0000006E">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Areas needing feedback that would benefit the research project</w:t>
      </w:r>
    </w:p>
    <w:p w:rsidR="00000000" w:rsidDel="00000000" w:rsidP="00000000" w:rsidRDefault="00000000" w:rsidRPr="00000000" w14:paraId="0000006F">
      <w:pPr>
        <w:numPr>
          <w:ilvl w:val="1"/>
          <w:numId w:val="7"/>
        </w:numPr>
        <w:spacing w:after="0" w:afterAutospacing="0" w:line="335.99999999999994" w:lineRule="auto"/>
        <w:ind w:left="144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rtl w:val="0"/>
        </w:rPr>
        <w:t xml:space="preserve">References, tables, and figures (not part of word count).</w:t>
      </w:r>
    </w:p>
    <w:p w:rsidR="00000000" w:rsidDel="00000000" w:rsidP="00000000" w:rsidRDefault="00000000" w:rsidRPr="00000000" w14:paraId="00000070">
      <w:pPr>
        <w:numPr>
          <w:ilvl w:val="0"/>
          <w:numId w:val="7"/>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Labeling &amp; Submission</w:t>
      </w:r>
    </w:p>
    <w:p w:rsidR="00000000" w:rsidDel="00000000" w:rsidP="00000000" w:rsidRDefault="00000000" w:rsidRPr="00000000" w14:paraId="00000071">
      <w:pPr>
        <w:numPr>
          <w:ilvl w:val="1"/>
          <w:numId w:val="7"/>
        </w:numPr>
        <w:spacing w:after="0" w:afterAutospacing="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Select “Research in Progress” in the AEJMC Submission Portal.</w:t>
      </w:r>
    </w:p>
    <w:p w:rsidR="00000000" w:rsidDel="00000000" w:rsidP="00000000" w:rsidRDefault="00000000" w:rsidRPr="00000000" w14:paraId="00000072">
      <w:pPr>
        <w:numPr>
          <w:ilvl w:val="1"/>
          <w:numId w:val="7"/>
        </w:numPr>
        <w:spacing w:after="0" w:afterAutospacing="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Clearly include “Research in Progress: [Your Paper Title]” in the title and on the title page.</w:t>
      </w:r>
    </w:p>
    <w:p w:rsidR="00000000" w:rsidDel="00000000" w:rsidP="00000000" w:rsidRDefault="00000000" w:rsidRPr="00000000" w14:paraId="00000073">
      <w:pPr>
        <w:numPr>
          <w:ilvl w:val="1"/>
          <w:numId w:val="7"/>
        </w:numPr>
        <w:spacing w:after="0" w:afterAutospacing="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Anonymize all files—remove identifying author information.</w:t>
      </w:r>
    </w:p>
    <w:p w:rsidR="00000000" w:rsidDel="00000000" w:rsidP="00000000" w:rsidRDefault="00000000" w:rsidRPr="00000000" w14:paraId="00000074">
      <w:pPr>
        <w:numPr>
          <w:ilvl w:val="1"/>
          <w:numId w:val="7"/>
        </w:numPr>
        <w:spacing w:after="0" w:afterAutospacing="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Each submission may be sent to only one participating Division, Interest Group, or Commission.</w:t>
      </w:r>
    </w:p>
    <w:p w:rsidR="00000000" w:rsidDel="00000000" w:rsidP="00000000" w:rsidRDefault="00000000" w:rsidRPr="00000000" w14:paraId="00000075">
      <w:pPr>
        <w:numPr>
          <w:ilvl w:val="0"/>
          <w:numId w:val="7"/>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Review &amp; Eligibility</w:t>
      </w:r>
    </w:p>
    <w:p w:rsidR="00000000" w:rsidDel="00000000" w:rsidP="00000000" w:rsidRDefault="00000000" w:rsidRPr="00000000" w14:paraId="00000076">
      <w:pPr>
        <w:numPr>
          <w:ilvl w:val="1"/>
          <w:numId w:val="7"/>
        </w:numPr>
        <w:spacing w:after="0" w:afterAutospacing="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Submissions will be evaluated using criteria specific to Research-in-Progress projects, distinct from full paper reviews.</w:t>
      </w:r>
    </w:p>
    <w:p w:rsidR="00000000" w:rsidDel="00000000" w:rsidP="00000000" w:rsidRDefault="00000000" w:rsidRPr="00000000" w14:paraId="00000077">
      <w:pPr>
        <w:numPr>
          <w:ilvl w:val="1"/>
          <w:numId w:val="7"/>
        </w:numPr>
        <w:spacing w:after="160" w:line="335.99999999999994"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While these submissions are not eligible for AEJMC-wide or DIG Top Paper Awards, they may receive Top Research-in-Progress recognition at the DIG level.</w:t>
      </w:r>
    </w:p>
    <w:p w:rsidR="00000000" w:rsidDel="00000000" w:rsidP="00000000" w:rsidRDefault="00000000" w:rsidRPr="00000000" w14:paraId="00000078">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Guidelines</w:t>
      </w:r>
    </w:p>
    <w:p w:rsidR="00000000" w:rsidDel="00000000" w:rsidP="00000000" w:rsidRDefault="00000000" w:rsidRPr="00000000" w14:paraId="00000079">
      <w:pPr>
        <w:numPr>
          <w:ilvl w:val="0"/>
          <w:numId w:val="1"/>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 submissions must follow AEJMC’s 2026 Uniform Paper Guidelines and reflect best practices in accounting for diverse perspectives as applicable to the field.</w:t>
      </w:r>
    </w:p>
    <w:p w:rsidR="00000000" w:rsidDel="00000000" w:rsidP="00000000" w:rsidRDefault="00000000" w:rsidRPr="00000000" w14:paraId="0000007A">
      <w:pPr>
        <w:numPr>
          <w:ilvl w:val="0"/>
          <w:numId w:val="1"/>
        </w:numPr>
        <w:spacing w:after="16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Adhere to AEJMC’s policy on AI usage.</w:t>
      </w:r>
    </w:p>
    <w:p w:rsidR="00000000" w:rsidDel="00000000" w:rsidP="00000000" w:rsidRDefault="00000000" w:rsidRPr="00000000" w14:paraId="0000007B">
      <w:pPr>
        <w:spacing w:after="160" w:line="335.999999999999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Dates</w:t>
      </w:r>
    </w:p>
    <w:p w:rsidR="00000000" w:rsidDel="00000000" w:rsidP="00000000" w:rsidRDefault="00000000" w:rsidRPr="00000000" w14:paraId="0000007C">
      <w:pPr>
        <w:numPr>
          <w:ilvl w:val="0"/>
          <w:numId w:val="3"/>
        </w:numPr>
        <w:spacing w:after="0" w:afterAutospacing="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Submission deadline: 11:59 p.m. CDT, April 1, 2026</w:t>
      </w:r>
    </w:p>
    <w:p w:rsidR="00000000" w:rsidDel="00000000" w:rsidP="00000000" w:rsidRDefault="00000000" w:rsidRPr="00000000" w14:paraId="0000007D">
      <w:pPr>
        <w:numPr>
          <w:ilvl w:val="0"/>
          <w:numId w:val="3"/>
        </w:numPr>
        <w:spacing w:after="160" w:line="335.99999999999994"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Notification of acceptance: May 20, 2026</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sectPr>
      <w:headerReference r:id="rId1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yla Chen" w:id="0" w:date="2026-03-09T19:47:3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1182 words expect for preliminary results.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Inter" w:cs="Inter" w:eastAsia="Inter" w:hAnsi="Inter"/>
        <w:color w:val="595959"/>
        <w:sz w:val="24"/>
        <w:szCs w:val="24"/>
        <w:u w:val="none"/>
      </w:rPr>
    </w:lvl>
    <w:lvl w:ilvl="1">
      <w:start w:val="1"/>
      <w:numFmt w:val="bullet"/>
      <w:lvlText w:val="○"/>
      <w:lvlJc w:val="left"/>
      <w:pPr>
        <w:ind w:left="1440" w:hanging="360"/>
      </w:pPr>
      <w:rPr>
        <w:rFonts w:ascii="Inter" w:cs="Inter" w:eastAsia="Inter" w:hAnsi="Inter"/>
        <w:color w:val="59595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77/009365001028004003" TargetMode="External"/><Relationship Id="rId10" Type="http://schemas.openxmlformats.org/officeDocument/2006/relationships/hyperlink" Target="https://doi.org/10.1016/j.jclepro.2024.144533" TargetMode="External"/><Relationship Id="rId13" Type="http://schemas.openxmlformats.org/officeDocument/2006/relationships/hyperlink" Target="https://doi.org/10.1080/1369118X.2025.2524579" TargetMode="External"/><Relationship Id="rId12" Type="http://schemas.openxmlformats.org/officeDocument/2006/relationships/hyperlink" Target="https://doi.org/10.1108/026327704105403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ilink.org/20.500.12592/23x93vs" TargetMode="External"/><Relationship Id="rId15" Type="http://schemas.openxmlformats.org/officeDocument/2006/relationships/hyperlink" Target="https://doi.org/10.1080/10510974.2021.1876129" TargetMode="External"/><Relationship Id="rId14" Type="http://schemas.openxmlformats.org/officeDocument/2006/relationships/hyperlink" Target="https://doi.org/10.1080/19331681.2026.2616671" TargetMode="External"/><Relationship Id="rId17" Type="http://schemas.openxmlformats.org/officeDocument/2006/relationships/header" Target="header1.xml"/><Relationship Id="rId16" Type="http://schemas.openxmlformats.org/officeDocument/2006/relationships/hyperlink" Target="https://doi.org/10.4135/9781848607910.n35" TargetMode="External"/><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s://coilink.org/20.500.12592/23x93v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