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8502" w14:textId="77777777" w:rsidR="00344462" w:rsidRDefault="00000000">
      <w:pPr>
        <w:pStyle w:val="Title"/>
      </w:pPr>
      <w:r>
        <w:t>Chemdist Group Digital and Branding Action Plan</w:t>
      </w:r>
    </w:p>
    <w:p w14:paraId="2292A62C" w14:textId="77777777" w:rsidR="00344462" w:rsidRDefault="00000000">
      <w:pPr>
        <w:pStyle w:val="Subtitle"/>
      </w:pPr>
      <w:r>
        <w:t>Team brief | 26 September 2026</w:t>
      </w:r>
    </w:p>
    <w:p w14:paraId="6EFDB6FB" w14:textId="77777777" w:rsidR="00344462" w:rsidRDefault="00000000">
      <w:r>
        <w:t>Decision: build one customer-facing website at chemdistgroup.com, organised around six strategic business units. Use the established Chemdist symbol and colour system; prepare an all-caps CHEMDIST wordmark for approval. Move group email identity to @chemdistgroup.com while clearly naming the legal contracting company in proposals, signatures and page footers.</w:t>
      </w:r>
    </w:p>
    <w:p w14:paraId="1661A296" w14:textId="77777777" w:rsidR="00344462" w:rsidRDefault="00000000">
      <w:pPr>
        <w:pStyle w:val="Heading1"/>
      </w:pPr>
      <w:r>
        <w:t>1 Brand and entity architecture</w:t>
      </w:r>
    </w:p>
    <w:p w14:paraId="3AA72172" w14:textId="77777777" w:rsidR="00344462" w:rsidRDefault="00000000">
      <w:r>
        <w:t>CHEMDIST GROUP is the public umbrella brand and website identity. Chemdist Process Technologies Pvt. Ltd. (CDPTPL) is the proposed holding and core operating company. JNK Chemdist Technologies Pvt. Ltd. remains the separately identified JV focused on R&amp;D, intellectual property and green process technologies. Group presentation must distinguish brand affiliation from legal ownership; confirm shareholding and permitted name usage before stating that a company is a subsidiary.</w:t>
      </w:r>
    </w:p>
    <w:p w14:paraId="38BADACC" w14:textId="77777777" w:rsidR="00344462" w:rsidRDefault="00000000">
      <w:r>
        <w:t>Group entities to show on the Our Group page: CDPTPL; JNK Chemdist Technologies; Chemdist Green Chemicals; Chemdist Mass Transfer Solutions; Chemdist USA; Chemdist Arabia; Bright–Chemdist JV; and the membrane venture. “Chemdist Membrane Technologies” is a proposed name, subject to founder agreement, company-name availability and trademark clearance. Until completed, use its registered name, Total Membrane Technologies Pvt. Ltd.</w:t>
      </w:r>
    </w:p>
    <w:p w14:paraId="7368896A" w14:textId="77777777" w:rsidR="00344462" w:rsidRDefault="00000000">
      <w:pPr>
        <w:pStyle w:val="Heading1"/>
      </w:pPr>
      <w:r>
        <w:t>2 Six strategic business units</w:t>
      </w:r>
    </w:p>
    <w:tbl>
      <w:tblPr>
        <w:tblStyle w:val="TableGrid"/>
        <w:tblW w:w="0" w:type="auto"/>
        <w:jc w:val="center"/>
        <w:tblLook w:val="04A0" w:firstRow="1" w:lastRow="0" w:firstColumn="1" w:lastColumn="0" w:noHBand="0" w:noVBand="1"/>
      </w:tblPr>
      <w:tblGrid>
        <w:gridCol w:w="657"/>
        <w:gridCol w:w="3312"/>
        <w:gridCol w:w="6183"/>
      </w:tblGrid>
      <w:tr w:rsidR="00344462" w14:paraId="580383FB" w14:textId="77777777" w:rsidTr="00525700">
        <w:trPr>
          <w:cantSplit/>
          <w:jc w:val="center"/>
        </w:trPr>
        <w:tc>
          <w:tcPr>
            <w:tcW w:w="657" w:type="dxa"/>
            <w:shd w:val="clear" w:color="auto" w:fill="24344B"/>
          </w:tcPr>
          <w:p w14:paraId="0C6CA863" w14:textId="77777777" w:rsidR="00344462" w:rsidRDefault="00000000">
            <w:r>
              <w:rPr>
                <w:b/>
                <w:color w:val="FFFFFF"/>
              </w:rPr>
              <w:t>SBU</w:t>
            </w:r>
          </w:p>
        </w:tc>
        <w:tc>
          <w:tcPr>
            <w:tcW w:w="3312" w:type="dxa"/>
            <w:shd w:val="clear" w:color="auto" w:fill="24344B"/>
          </w:tcPr>
          <w:p w14:paraId="3F84A1A0" w14:textId="77777777" w:rsidR="00344462" w:rsidRDefault="00000000">
            <w:r>
              <w:rPr>
                <w:b/>
                <w:color w:val="FFFFFF"/>
              </w:rPr>
              <w:t>Website landing page</w:t>
            </w:r>
          </w:p>
        </w:tc>
        <w:tc>
          <w:tcPr>
            <w:tcW w:w="6183" w:type="dxa"/>
            <w:shd w:val="clear" w:color="auto" w:fill="24344B"/>
          </w:tcPr>
          <w:p w14:paraId="5E3951C9" w14:textId="77777777" w:rsidR="00344462" w:rsidRDefault="00000000">
            <w:r>
              <w:rPr>
                <w:b/>
                <w:color w:val="FFFFFF"/>
              </w:rPr>
              <w:t>Scope</w:t>
            </w:r>
          </w:p>
        </w:tc>
      </w:tr>
      <w:tr w:rsidR="00344462" w14:paraId="0B282DA6" w14:textId="77777777" w:rsidTr="00525700">
        <w:trPr>
          <w:cantSplit/>
          <w:jc w:val="center"/>
        </w:trPr>
        <w:tc>
          <w:tcPr>
            <w:tcW w:w="657" w:type="dxa"/>
          </w:tcPr>
          <w:p w14:paraId="19EB069B" w14:textId="77777777" w:rsidR="00344462" w:rsidRDefault="00000000">
            <w:r>
              <w:t>1</w:t>
            </w:r>
          </w:p>
        </w:tc>
        <w:tc>
          <w:tcPr>
            <w:tcW w:w="3312" w:type="dxa"/>
          </w:tcPr>
          <w:p w14:paraId="68693AA7" w14:textId="77777777" w:rsidR="00344462" w:rsidRDefault="00000000">
            <w:r>
              <w:t>Process Equipment and Separation</w:t>
            </w:r>
          </w:p>
        </w:tc>
        <w:tc>
          <w:tcPr>
            <w:tcW w:w="6183" w:type="dxa"/>
          </w:tcPr>
          <w:p w14:paraId="27FC0A69" w14:textId="77777777" w:rsidR="00344462" w:rsidRDefault="00000000">
            <w:r>
              <w:t>Distillation, evaporation, columns, reactors, equipment packages and separation systems.</w:t>
            </w:r>
          </w:p>
        </w:tc>
      </w:tr>
      <w:tr w:rsidR="00344462" w14:paraId="757C4E82" w14:textId="77777777" w:rsidTr="00525700">
        <w:trPr>
          <w:cantSplit/>
          <w:jc w:val="center"/>
        </w:trPr>
        <w:tc>
          <w:tcPr>
            <w:tcW w:w="657" w:type="dxa"/>
          </w:tcPr>
          <w:p w14:paraId="1F6BE211" w14:textId="77777777" w:rsidR="00344462" w:rsidRDefault="00000000">
            <w:r>
              <w:t>2</w:t>
            </w:r>
          </w:p>
        </w:tc>
        <w:tc>
          <w:tcPr>
            <w:tcW w:w="3312" w:type="dxa"/>
          </w:tcPr>
          <w:p w14:paraId="08CC78D3" w14:textId="77777777" w:rsidR="00344462" w:rsidRDefault="00000000">
            <w:r>
              <w:t>Process Plants and EPC</w:t>
            </w:r>
          </w:p>
        </w:tc>
        <w:tc>
          <w:tcPr>
            <w:tcW w:w="6183" w:type="dxa"/>
          </w:tcPr>
          <w:p w14:paraId="2743F78B" w14:textId="77777777" w:rsidR="00344462" w:rsidRDefault="00000000">
            <w:r>
              <w:t>Plant engineering, modular packages, project execution and integration.</w:t>
            </w:r>
          </w:p>
        </w:tc>
      </w:tr>
      <w:tr w:rsidR="00344462" w14:paraId="3A1AB9F5" w14:textId="77777777" w:rsidTr="00525700">
        <w:trPr>
          <w:cantSplit/>
          <w:jc w:val="center"/>
        </w:trPr>
        <w:tc>
          <w:tcPr>
            <w:tcW w:w="657" w:type="dxa"/>
          </w:tcPr>
          <w:p w14:paraId="3CDCC837" w14:textId="77777777" w:rsidR="00344462" w:rsidRDefault="00000000">
            <w:r>
              <w:t>3</w:t>
            </w:r>
          </w:p>
        </w:tc>
        <w:tc>
          <w:tcPr>
            <w:tcW w:w="3312" w:type="dxa"/>
          </w:tcPr>
          <w:p w14:paraId="7CF9AA89" w14:textId="77777777" w:rsidR="00344462" w:rsidRDefault="00000000">
            <w:r>
              <w:t>Green Process Technologies</w:t>
            </w:r>
          </w:p>
        </w:tc>
        <w:tc>
          <w:tcPr>
            <w:tcW w:w="6183" w:type="dxa"/>
          </w:tcPr>
          <w:p w14:paraId="111051B1" w14:textId="77777777" w:rsidR="00344462" w:rsidRDefault="00000000">
            <w:r>
              <w:t>Ethanol derivatives, CO₂ utilisation, green chemicals and process technology development.</w:t>
            </w:r>
          </w:p>
        </w:tc>
      </w:tr>
      <w:tr w:rsidR="00344462" w14:paraId="4E67E6A0" w14:textId="77777777" w:rsidTr="00525700">
        <w:trPr>
          <w:cantSplit/>
          <w:jc w:val="center"/>
        </w:trPr>
        <w:tc>
          <w:tcPr>
            <w:tcW w:w="657" w:type="dxa"/>
          </w:tcPr>
          <w:p w14:paraId="2E5CD0DC" w14:textId="77777777" w:rsidR="00344462" w:rsidRDefault="00000000">
            <w:r>
              <w:t>4</w:t>
            </w:r>
          </w:p>
        </w:tc>
        <w:tc>
          <w:tcPr>
            <w:tcW w:w="3312" w:type="dxa"/>
          </w:tcPr>
          <w:p w14:paraId="39C54E21" w14:textId="77777777" w:rsidR="00344462" w:rsidRDefault="00000000">
            <w:r>
              <w:t>Membranes and Advanced Separation</w:t>
            </w:r>
          </w:p>
        </w:tc>
        <w:tc>
          <w:tcPr>
            <w:tcW w:w="6183" w:type="dxa"/>
          </w:tcPr>
          <w:p w14:paraId="61532965" w14:textId="77777777" w:rsidR="00344462" w:rsidRDefault="00000000">
            <w:r>
              <w:t>Gas separation, pervaporation and other membrane applications; explain the responsible entity per product.</w:t>
            </w:r>
          </w:p>
        </w:tc>
      </w:tr>
      <w:tr w:rsidR="00344462" w14:paraId="669A72D2" w14:textId="77777777" w:rsidTr="00525700">
        <w:trPr>
          <w:cantSplit/>
          <w:jc w:val="center"/>
        </w:trPr>
        <w:tc>
          <w:tcPr>
            <w:tcW w:w="657" w:type="dxa"/>
          </w:tcPr>
          <w:p w14:paraId="0307674A" w14:textId="77777777" w:rsidR="00344462" w:rsidRDefault="00000000">
            <w:r>
              <w:t>5</w:t>
            </w:r>
          </w:p>
        </w:tc>
        <w:tc>
          <w:tcPr>
            <w:tcW w:w="3312" w:type="dxa"/>
          </w:tcPr>
          <w:p w14:paraId="4E122938" w14:textId="77777777" w:rsidR="00344462" w:rsidRDefault="00000000">
            <w:r>
              <w:t>Hydrogen and New Energy</w:t>
            </w:r>
          </w:p>
        </w:tc>
        <w:tc>
          <w:tcPr>
            <w:tcW w:w="6183" w:type="dxa"/>
          </w:tcPr>
          <w:p w14:paraId="29C4310C" w14:textId="3B47B2C6" w:rsidR="00344462" w:rsidRDefault="00525700">
            <w:r>
              <w:t>Electrolyzers</w:t>
            </w:r>
            <w:r w:rsidR="00000000">
              <w:t>, hydrogen systems, energy transition applications and associated projects.</w:t>
            </w:r>
          </w:p>
        </w:tc>
      </w:tr>
      <w:tr w:rsidR="00344462" w14:paraId="2F81AB7E" w14:textId="77777777" w:rsidTr="00525700">
        <w:trPr>
          <w:cantSplit/>
          <w:jc w:val="center"/>
        </w:trPr>
        <w:tc>
          <w:tcPr>
            <w:tcW w:w="657" w:type="dxa"/>
          </w:tcPr>
          <w:p w14:paraId="4E33DDD8" w14:textId="77777777" w:rsidR="00344462" w:rsidRDefault="00000000">
            <w:r>
              <w:t>6</w:t>
            </w:r>
          </w:p>
        </w:tc>
        <w:tc>
          <w:tcPr>
            <w:tcW w:w="3312" w:type="dxa"/>
          </w:tcPr>
          <w:p w14:paraId="36D29577" w14:textId="77777777" w:rsidR="00344462" w:rsidRDefault="00000000">
            <w:r>
              <w:t>Water and Wastewater Treatment</w:t>
            </w:r>
          </w:p>
        </w:tc>
        <w:tc>
          <w:tcPr>
            <w:tcW w:w="6183" w:type="dxa"/>
          </w:tcPr>
          <w:p w14:paraId="47BCC295" w14:textId="77777777" w:rsidR="00344462" w:rsidRDefault="00000000">
            <w:r>
              <w:t>Industrial water treatment, UF/MBR, reuse, recycling and zero liquid discharge where supported by actual capability.</w:t>
            </w:r>
          </w:p>
        </w:tc>
      </w:tr>
    </w:tbl>
    <w:p w14:paraId="1C9CC0B1" w14:textId="77777777" w:rsidR="00344462" w:rsidRDefault="00000000">
      <w:r>
        <w:t>SBU names describe market-facing capabilities, not separate legal companies. Each landing page must identify the enquiry route, product owner, relevant project references and contracting entity where applicable.</w:t>
      </w:r>
    </w:p>
    <w:p w14:paraId="4498F774" w14:textId="77777777" w:rsidR="00344462" w:rsidRDefault="00000000">
      <w:pPr>
        <w:pStyle w:val="Heading1"/>
      </w:pPr>
      <w:r>
        <w:t>3 Single website structure</w:t>
      </w:r>
    </w:p>
    <w:p w14:paraId="3B59FCF9" w14:textId="77777777" w:rsidR="00344462" w:rsidRDefault="00000000">
      <w:r>
        <w:t>Primary navigation: Home | Solutions (six SBU pages) | Technologies | Industries | Projects | R&amp;D | Our Group | Global Presence | Careers | Contact. Use an enquiries form with SBU, industry, location and project stage fields; route submissions to the responsible team in one CRM. Provide cross-links among related solutions without duplicating complete websites.</w:t>
      </w:r>
    </w:p>
    <w:p w14:paraId="064AC283" w14:textId="77777777" w:rsidR="00344462" w:rsidRDefault="00000000">
      <w:r>
        <w:t>Homepage: explain what Chemdist delivers in one sentence, show all six SBU entry points, selected verifiable installations, technology and R&amp;D credentials, global footprint and one clear project-enquiry call to action. Each SBU page: problem and applications, specific offerings, process diagram or authentic installation imagery, evidence, downloadable brochure, enquiry form and relevant legal-entity disclosure.</w:t>
      </w:r>
    </w:p>
    <w:p w14:paraId="7D14DE33" w14:textId="77777777" w:rsidR="00344462" w:rsidRDefault="00000000">
      <w:r>
        <w:t>Domain plan: chemdistgroup.com is canonical. Keep chemdist.in and jnkchemdist.com registered. Map existing high-value URLs individually with permanent redirects where content moves; retain a focused JNKC identity page and any legally required information. Avoid redirecting every old URL to the homepage. Preserve email delivery and old mailboxes during transition.</w:t>
      </w:r>
    </w:p>
    <w:p w14:paraId="249D36BA" w14:textId="77777777" w:rsidR="00344462" w:rsidRDefault="00000000">
      <w:pPr>
        <w:pStyle w:val="Heading1"/>
      </w:pPr>
      <w:r>
        <w:lastRenderedPageBreak/>
        <w:t>4 Visual identity and email</w:t>
      </w:r>
    </w:p>
    <w:p w14:paraId="3E493C23" w14:textId="77777777" w:rsidR="00344462" w:rsidRDefault="00000000">
      <w:r>
        <w:t>Preserve the supplied red and blue Chemdist symbol. Create a vector master with CHEMDIST in capitals while retaining the proportions and recognizable form; produce horizontal, stacked, single-colour and reversed variants. Test legibility in an email signature and mobile header. The current image is a reference, not production artwork. Use “Science | Engineering | Technology” consistently, subject to final brand approval.</w:t>
      </w:r>
    </w:p>
    <w:p w14:paraId="1A94D7E5" w14:textId="77777777" w:rsidR="00344462" w:rsidRDefault="00000000">
      <w:r>
        <w:t>Standard group signature: Tushar Wagh | Founder and Managing Director, Chemdist Group | Managing Director and CEO, JNK Chemdist Technologies Pvt. Ltd. | tushar@chemdistgroup.com | chemdistgroup.com | mobile and main phone. Show CDPTPL as the contracting entity in CDPTPL communications; use an alternate JNKC signature when writing for JNKC. Avoid suggesting that CHEMDIST GROUP is itself a registered legal entity unless confirmed. Keep address and social icons optional and compact.</w:t>
      </w:r>
    </w:p>
    <w:p w14:paraId="5B2B231D" w14:textId="77777777" w:rsidR="00344462" w:rsidRDefault="00000000">
      <w:r>
        <w:t>IT rollout: establish @chemdistgroup.com mailboxes or aliases, migrate in phases, retain @jnkchemdist.com forwarding/replies, configure SPF, DKIM and DMARC, and test deliverability. Update employee signatures, proposals, quotations, invoices, LinkedIn pages, brochures, QR codes and exhibition assets. Invoices and agreements must retain the correct registered entity, tax details and address.</w:t>
      </w:r>
    </w:p>
    <w:p w14:paraId="20EEEED9" w14:textId="77777777" w:rsidR="00344462" w:rsidRDefault="00000000">
      <w:pPr>
        <w:pStyle w:val="Heading1"/>
      </w:pPr>
      <w:r>
        <w:t>5 Delivery schedule and ownership</w:t>
      </w:r>
    </w:p>
    <w:tbl>
      <w:tblPr>
        <w:tblStyle w:val="TableGrid"/>
        <w:tblW w:w="0" w:type="auto"/>
        <w:tblLook w:val="04A0" w:firstRow="1" w:lastRow="0" w:firstColumn="1" w:lastColumn="0" w:noHBand="0" w:noVBand="1"/>
      </w:tblPr>
      <w:tblGrid>
        <w:gridCol w:w="3312"/>
        <w:gridCol w:w="3312"/>
        <w:gridCol w:w="3312"/>
      </w:tblGrid>
      <w:tr w:rsidR="00344462" w14:paraId="6323E002" w14:textId="77777777">
        <w:trPr>
          <w:cantSplit/>
        </w:trPr>
        <w:tc>
          <w:tcPr>
            <w:tcW w:w="3312" w:type="dxa"/>
            <w:shd w:val="clear" w:color="auto" w:fill="24344B"/>
          </w:tcPr>
          <w:p w14:paraId="094DB01C" w14:textId="77777777" w:rsidR="00344462" w:rsidRDefault="00000000">
            <w:r>
              <w:rPr>
                <w:b/>
                <w:color w:val="FFFFFF"/>
              </w:rPr>
              <w:t>Timing</w:t>
            </w:r>
          </w:p>
        </w:tc>
        <w:tc>
          <w:tcPr>
            <w:tcW w:w="3312" w:type="dxa"/>
            <w:shd w:val="clear" w:color="auto" w:fill="24344B"/>
          </w:tcPr>
          <w:p w14:paraId="0469DB45" w14:textId="77777777" w:rsidR="00344462" w:rsidRDefault="00000000">
            <w:r>
              <w:rPr>
                <w:b/>
                <w:color w:val="FFFFFF"/>
              </w:rPr>
              <w:t>Owner</w:t>
            </w:r>
          </w:p>
        </w:tc>
        <w:tc>
          <w:tcPr>
            <w:tcW w:w="3312" w:type="dxa"/>
            <w:shd w:val="clear" w:color="auto" w:fill="24344B"/>
          </w:tcPr>
          <w:p w14:paraId="6C0DA946" w14:textId="77777777" w:rsidR="00344462" w:rsidRDefault="00000000">
            <w:r>
              <w:rPr>
                <w:b/>
                <w:color w:val="FFFFFF"/>
              </w:rPr>
              <w:t>Deliverable</w:t>
            </w:r>
          </w:p>
        </w:tc>
      </w:tr>
      <w:tr w:rsidR="00344462" w14:paraId="6E17D0C8" w14:textId="77777777">
        <w:trPr>
          <w:cantSplit/>
        </w:trPr>
        <w:tc>
          <w:tcPr>
            <w:tcW w:w="3312" w:type="dxa"/>
          </w:tcPr>
          <w:p w14:paraId="7255970C" w14:textId="77777777" w:rsidR="00344462" w:rsidRDefault="00000000">
            <w:r>
              <w:t>Week 1</w:t>
            </w:r>
          </w:p>
        </w:tc>
        <w:tc>
          <w:tcPr>
            <w:tcW w:w="3312" w:type="dxa"/>
          </w:tcPr>
          <w:p w14:paraId="58909DE5" w14:textId="77777777" w:rsidR="00344462" w:rsidRDefault="00000000">
            <w:r>
              <w:t>Leadership and legal</w:t>
            </w:r>
          </w:p>
        </w:tc>
        <w:tc>
          <w:tcPr>
            <w:tcW w:w="3312" w:type="dxa"/>
          </w:tcPr>
          <w:p w14:paraId="3F0641D1" w14:textId="77777777" w:rsidR="00344462" w:rsidRDefault="00000000">
            <w:r>
              <w:t>Approve SBU names, entity roles, membrane naming status, wordmark and JNK JV references; inventory domains, URLs, email addresses and collateral.</w:t>
            </w:r>
          </w:p>
        </w:tc>
      </w:tr>
      <w:tr w:rsidR="00344462" w14:paraId="21868117" w14:textId="77777777">
        <w:trPr>
          <w:cantSplit/>
        </w:trPr>
        <w:tc>
          <w:tcPr>
            <w:tcW w:w="3312" w:type="dxa"/>
          </w:tcPr>
          <w:p w14:paraId="22B16B0A" w14:textId="77777777" w:rsidR="00344462" w:rsidRDefault="00000000">
            <w:r>
              <w:t>Weeks 2–3</w:t>
            </w:r>
          </w:p>
        </w:tc>
        <w:tc>
          <w:tcPr>
            <w:tcW w:w="3312" w:type="dxa"/>
          </w:tcPr>
          <w:p w14:paraId="0B642525" w14:textId="77777777" w:rsidR="00344462" w:rsidRDefault="00000000">
            <w:r>
              <w:t>Brand and content</w:t>
            </w:r>
          </w:p>
        </w:tc>
        <w:tc>
          <w:tcPr>
            <w:tcW w:w="3312" w:type="dxa"/>
          </w:tcPr>
          <w:p w14:paraId="1BF1ACFF" w14:textId="77777777" w:rsidR="00344462" w:rsidRDefault="00000000">
            <w:r>
              <w:t>Produce vector logo kit, signature templates, page copy outline, proof-backed case studies and entity disclosures; obtain technical and legal sign-off.</w:t>
            </w:r>
          </w:p>
        </w:tc>
      </w:tr>
      <w:tr w:rsidR="00344462" w14:paraId="6E723436" w14:textId="77777777">
        <w:trPr>
          <w:cantSplit/>
        </w:trPr>
        <w:tc>
          <w:tcPr>
            <w:tcW w:w="3312" w:type="dxa"/>
          </w:tcPr>
          <w:p w14:paraId="401309A6" w14:textId="77777777" w:rsidR="00344462" w:rsidRDefault="00000000">
            <w:r>
              <w:t>Weeks 3–6</w:t>
            </w:r>
          </w:p>
        </w:tc>
        <w:tc>
          <w:tcPr>
            <w:tcW w:w="3312" w:type="dxa"/>
          </w:tcPr>
          <w:p w14:paraId="35660B48" w14:textId="77777777" w:rsidR="00344462" w:rsidRDefault="00000000">
            <w:r>
              <w:t>Digital and IT</w:t>
            </w:r>
          </w:p>
        </w:tc>
        <w:tc>
          <w:tcPr>
            <w:tcW w:w="3312" w:type="dxa"/>
          </w:tcPr>
          <w:p w14:paraId="26CBAB2A" w14:textId="77777777" w:rsidR="00344462" w:rsidRDefault="00000000">
            <w:r>
              <w:t>Design and build site, SBU templates, CRM routing, analytics, search metadata, redirects and staged email migration.</w:t>
            </w:r>
          </w:p>
        </w:tc>
      </w:tr>
      <w:tr w:rsidR="00344462" w14:paraId="0BFE6FAA" w14:textId="77777777">
        <w:trPr>
          <w:cantSplit/>
        </w:trPr>
        <w:tc>
          <w:tcPr>
            <w:tcW w:w="3312" w:type="dxa"/>
          </w:tcPr>
          <w:p w14:paraId="2E49E02C" w14:textId="77777777" w:rsidR="00344462" w:rsidRDefault="00000000">
            <w:r>
              <w:t>Weeks 6–7</w:t>
            </w:r>
          </w:p>
        </w:tc>
        <w:tc>
          <w:tcPr>
            <w:tcW w:w="3312" w:type="dxa"/>
          </w:tcPr>
          <w:p w14:paraId="6329C8D5" w14:textId="77777777" w:rsidR="00344462" w:rsidRDefault="00000000">
            <w:r>
              <w:t>QA and leadership</w:t>
            </w:r>
          </w:p>
        </w:tc>
        <w:tc>
          <w:tcPr>
            <w:tcW w:w="3312" w:type="dxa"/>
          </w:tcPr>
          <w:p w14:paraId="550A6CD8" w14:textId="77777777" w:rsidR="00344462" w:rsidRDefault="00000000">
            <w:r>
              <w:t>Test mobile, forms, redirects, accessibility, page speed, email authentication and legal accuracy; approve launch.</w:t>
            </w:r>
          </w:p>
        </w:tc>
      </w:tr>
      <w:tr w:rsidR="00344462" w14:paraId="4A48E351" w14:textId="77777777">
        <w:trPr>
          <w:cantSplit/>
        </w:trPr>
        <w:tc>
          <w:tcPr>
            <w:tcW w:w="3312" w:type="dxa"/>
          </w:tcPr>
          <w:p w14:paraId="3B0E9464" w14:textId="77777777" w:rsidR="00344462" w:rsidRDefault="00000000">
            <w:r>
              <w:t>Week 8 onward</w:t>
            </w:r>
          </w:p>
        </w:tc>
        <w:tc>
          <w:tcPr>
            <w:tcW w:w="3312" w:type="dxa"/>
          </w:tcPr>
          <w:p w14:paraId="395F8CAE" w14:textId="77777777" w:rsidR="00344462" w:rsidRDefault="00000000">
            <w:r>
              <w:t>Marketing and sales</w:t>
            </w:r>
          </w:p>
        </w:tc>
        <w:tc>
          <w:tcPr>
            <w:tcW w:w="3312" w:type="dxa"/>
          </w:tcPr>
          <w:p w14:paraId="21A4CC93" w14:textId="77777777" w:rsidR="00344462" w:rsidRDefault="00000000">
            <w:r>
              <w:t>Launch, inform clients, update all sales assets, monitor leads/search traffic, and correct gaps monthly.</w:t>
            </w:r>
          </w:p>
        </w:tc>
      </w:tr>
    </w:tbl>
    <w:p w14:paraId="694571F1" w14:textId="77777777" w:rsidR="00344462" w:rsidRDefault="00000000">
      <w:pPr>
        <w:pStyle w:val="Heading1"/>
      </w:pPr>
      <w:r>
        <w:t>6 Launch acceptance and measures</w:t>
      </w:r>
    </w:p>
    <w:p w14:paraId="28310A63" w14:textId="77777777" w:rsidR="00344462" w:rsidRDefault="00000000">
      <w:r>
        <w:t>Launch only when all six SBU pages are live; entity statements and case studies are verified; enquiries reach named owners; redirects and legacy email work; and the site renders well on mobile. Review monthly: qualified enquiries by SBU, enquiry-to-proposal conversion, search visibility, broken links, response times and email delivery failures.</w:t>
      </w:r>
    </w:p>
    <w:sectPr w:rsidR="00344462"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399323">
    <w:abstractNumId w:val="8"/>
  </w:num>
  <w:num w:numId="2" w16cid:durableId="1109163430">
    <w:abstractNumId w:val="6"/>
  </w:num>
  <w:num w:numId="3" w16cid:durableId="454107813">
    <w:abstractNumId w:val="5"/>
  </w:num>
  <w:num w:numId="4" w16cid:durableId="1977641564">
    <w:abstractNumId w:val="4"/>
  </w:num>
  <w:num w:numId="5" w16cid:durableId="1132477723">
    <w:abstractNumId w:val="7"/>
  </w:num>
  <w:num w:numId="6" w16cid:durableId="1434663384">
    <w:abstractNumId w:val="3"/>
  </w:num>
  <w:num w:numId="7" w16cid:durableId="1042628788">
    <w:abstractNumId w:val="2"/>
  </w:num>
  <w:num w:numId="8" w16cid:durableId="2037150167">
    <w:abstractNumId w:val="1"/>
  </w:num>
  <w:num w:numId="9" w16cid:durableId="212692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462"/>
    <w:rsid w:val="00525700"/>
    <w:rsid w:val="00AA1D8D"/>
    <w:rsid w:val="00B47730"/>
    <w:rsid w:val="00CB0664"/>
    <w:rsid w:val="00FC2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A1292"/>
  <w14:defaultImageDpi w14:val="300"/>
  <w15:docId w15:val="{139004FA-F701-4F7C-8B89-BA7DDF24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after="16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Wagh</cp:lastModifiedBy>
  <cp:revision>2</cp:revision>
  <dcterms:created xsi:type="dcterms:W3CDTF">2013-12-23T23:15:00Z</dcterms:created>
  <dcterms:modified xsi:type="dcterms:W3CDTF">2026-09-26T09:07:00Z</dcterms:modified>
  <cp:category/>
</cp:coreProperties>
</file>