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Aptos Display" w:hAnsi="Aptos Display"/>
          <w:b/>
          <w:color w:val="17324D"/>
          <w:sz w:val="56"/>
        </w:rPr>
        <w:t>API HealthLab</w:t>
      </w:r>
    </w:p>
    <w:p>
      <w:pPr>
        <w:spacing w:after="200"/>
        <w:jc w:val="center"/>
      </w:pPr>
      <w:r>
        <w:rPr>
          <w:rFonts w:ascii="Aptos" w:hAnsi="Aptos"/>
          <w:color w:val="0F766E"/>
          <w:sz w:val="28"/>
        </w:rPr>
        <w:t>Universal API Health &amp; Credential Diagnostics Platform</w:t>
      </w:r>
    </w:p>
    <w:p>
      <w:pPr>
        <w:jc w:val="center"/>
      </w:pPr>
      <w:r>
        <w:t>v2.4 • Consolidated • Implementation-Ready Product, Architecture, Data, Integrations, Security &amp; Engineering Specification</w:t>
      </w:r>
    </w:p>
    <w:p/>
    <w:tbl>
      <w:tblPr>
        <w:tblW w:type="auto" w:w="0"/>
        <w:jc w:val="center"/>
        <w:tblLook w:firstColumn="1" w:firstRow="1" w:lastColumn="0" w:lastRow="0" w:noHBand="0" w:noVBand="1" w:val="04A0"/>
      </w:tblPr>
      <w:tblGrid>
        <w:gridCol w:w="9994"/>
      </w:tblGrid>
      <w:tr>
        <w:tc>
          <w:tcPr>
            <w:tcW w:type="dxa" w:w="9994"/>
            <w:shd w:fill="E7F0F6"/>
            <w:tcMar>
              <w:top w:w="110" w:type="dxa"/>
              <w:start w:w="110" w:type="dxa"/>
              <w:bottom w:w="110" w:type="dxa"/>
              <w:end w:w="110" w:type="dxa"/>
            </w:tcMar>
          </w:tcPr>
          <w:p>
            <w:r>
              <w:t>Implementation status  v2.4 preserves the audited v2.3 baseline and adds explicit implementation-ready specifications for system architecture, hosted state schema, integrations, authentication/authorization/security and coding standards. Runtime testing can still discover provider drift or implementation defects; those are code-validation outcomes, not unresolved blueprint contracts.</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70" w:type="dxa"/>
              <w:start w:w="70" w:type="dxa"/>
              <w:bottom w:w="70" w:type="dxa"/>
              <w:end w:w="70" w:type="dxa"/>
            </w:tcMar>
            <w:shd w:fill="17324D"/>
          </w:tcPr>
          <w:p>
            <w:pPr>
              <w:spacing w:after="0" w:before="0"/>
            </w:pPr>
            <w:r>
              <w:rPr>
                <w:rFonts w:ascii="Aptos" w:hAnsi="Aptos"/>
                <w:b/>
                <w:color w:val="FFFFFF"/>
                <w:sz w:val="17"/>
              </w:rPr>
              <w:t>Item</w:t>
            </w:r>
          </w:p>
        </w:tc>
        <w:tc>
          <w:tcPr>
            <w:tcW w:type="dxa" w:w="4997"/>
            <w:tcMar>
              <w:top w:w="70" w:type="dxa"/>
              <w:start w:w="70" w:type="dxa"/>
              <w:bottom w:w="70" w:type="dxa"/>
              <w:end w:w="70" w:type="dxa"/>
            </w:tcMar>
            <w:shd w:fill="17324D"/>
          </w:tcPr>
          <w:p>
            <w:pPr>
              <w:spacing w:after="0" w:before="0"/>
            </w:pPr>
            <w:r>
              <w:rPr>
                <w:rFonts w:ascii="Aptos" w:hAnsi="Aptos"/>
                <w:b/>
                <w:color w:val="FFFFFF"/>
                <w:sz w:val="17"/>
              </w:rPr>
              <w:t>Decision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Product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 HealthLab</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color w:val="243342"/>
                <w:sz w:val="16"/>
              </w:rPr>
              <w:t>Core thesis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this credential safely perform this intended API action?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Execution model</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Local CLI/shared core first; hosted web is a constrained convenience surface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color w:val="243342"/>
                <w:sz w:val="16"/>
              </w:rPr>
              <w:t>MVP</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7 providers, 5 intents, local CLI + hosted R0/R1 path + error diagnosis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Live MVP auth</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API_KEY, BEARER_TOKEN</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color w:val="243342"/>
                <w:sz w:val="16"/>
              </w:rPr>
              <w:t>Manifest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Manifest v1 is single-step; multi-step probes use reviewed code adapters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Security stance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 intentional credential persistence; hosted processing explicitly disclosed</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color w:val="243342"/>
                <w:sz w:val="16"/>
              </w:rPr>
              <w:t>Infrastructure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React/Vite + Cloudflare Workers + SQLite-backed Durable Objects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Repository stance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Open-source core; reviewed provider adapters; signed/provenanced releases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color w:val="243342"/>
                <w:sz w:val="16"/>
              </w:rPr>
              <w:t>Version</w:t>
            </w:r>
          </w:p>
        </w:tc>
        <w:tc>
          <w:tcPr>
            <w:tcW w:type="dxa" w:w="4997"/>
            <w:vAlign w:val="center"/>
            <w:tcMar>
              <w:top w:w="70" w:type="dxa"/>
              <w:start w:w="70" w:type="dxa"/>
              <w:bottom w:w="70" w:type="dxa"/>
              <w:end w:w="70" w:type="dxa"/>
            </w:tcMar>
            <w:shd w:fill="F7FAFC"/>
          </w:tcPr>
          <w:p>
            <w:r>
              <w:t>2.4</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color w:val="243342"/>
                <w:sz w:val="16"/>
              </w:rPr>
              <w:t>Date</w:t>
            </w:r>
          </w:p>
        </w:tc>
        <w:tc>
          <w:tcPr>
            <w:tcW w:type="dxa" w:w="4997"/>
            <w:vAlign w:val="center"/>
            <w:tcMar>
              <w:top w:w="70" w:type="dxa"/>
              <w:start w:w="70" w:type="dxa"/>
              <w:bottom w:w="70" w:type="dxa"/>
              <w:end w:w="70" w:type="dxa"/>
            </w:tcMar>
          </w:tcPr>
          <w:p>
            <w:r>
              <w:t>13 October 2026</w:t>
            </w:r>
          </w:p>
        </w:tc>
      </w:tr>
    </w:tbl>
    <w:p>
      <w:r>
        <w:br w:type="page"/>
      </w:r>
    </w:p>
    <w:p>
      <w:pPr>
        <w:pStyle w:val="Heading1"/>
        <w:spacing w:before="240" w:after="120"/>
      </w:pPr>
      <w:r>
        <w:rPr>
          <w:rFonts w:ascii="Aptos Display" w:hAnsi="Aptos Display"/>
          <w:color w:val="17324D"/>
        </w:rPr>
        <w:t>Executive Decision</w:t>
      </w:r>
    </w:p>
    <w:p>
      <w:pPr>
        <w:spacing w:after="100" w:line="252" w:lineRule="auto"/>
      </w:pPr>
      <w:r>
        <w:rPr>
          <w:rFonts w:ascii="Aptos" w:hAnsi="Aptos"/>
          <w:color w:val="243342"/>
          <w:sz w:val="18"/>
        </w:rPr>
        <w:t>API HealthLab is feasible as a developer tool because its hardest problems are bounded: typed credential inputs, intent-specific probes, provider-specific classification, controlled outbound networking, and local-first execution. The project should not attempt literal universal API support in the MVP.</w:t>
      </w:r>
    </w:p>
    <w:p>
      <w:pPr>
        <w:spacing w:after="100" w:line="252" w:lineRule="auto"/>
      </w:pPr>
      <w:r>
        <w:rPr>
          <w:rFonts w:ascii="Aptos" w:hAnsi="Aptos"/>
          <w:color w:val="243342"/>
          <w:sz w:val="18"/>
        </w:rPr>
        <w:t>The v2.3 architecture is designed around one invariant: the shared core is the semantic source of truth. The web UI, Worker and CLI are execution surfaces. A provider adapter cannot bypass the controlled fetch client, policy engine, evidence builder, classifier or redaction pipeline.</w:t>
      </w:r>
    </w:p>
    <w:p>
      <w:pPr>
        <w:spacing w:after="100" w:line="252" w:lineRule="auto"/>
      </w:pPr>
      <w:r>
        <w:rPr>
          <w:rFonts w:ascii="Aptos" w:hAnsi="Aptos"/>
          <w:color w:val="243342"/>
          <w:sz w:val="18"/>
        </w:rPr>
        <w:t>The project is implementation-ready only for the frozen scope. Expansion to cloud IAM, payments, arbitrary tenant endpoints, databases, self-hosted APIs and scheduled monitoring requires new provider-specific security reviews and, where necessary, new ADRs.</w:t>
      </w:r>
    </w:p>
    <w:p>
      <w:pPr>
        <w:pStyle w:val="Heading2"/>
        <w:spacing w:before="180" w:after="80"/>
      </w:pPr>
      <w:r>
        <w:t>Baseline decisions retained from v2.3</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Change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v2.3 resolution</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Canonical contracts</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Appendix A now defines every contract named in Document Control; `CredentialInput` is the public request union name and `AuthCredential` is its internal discriminant.</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Risk tiers</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R0–R3 are formally defined with examples and hosted/local rules.</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Cost model</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`CostClass` is standardized to FREE / LOW / POSSIBLE_CHARGE / HIGH_CHARGE; metadata is a separate `ProbeCategory`.</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Policy function</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The matrix is now a total default-deny function with ALLOW / ALLOW_WITH_CONSENT / DENY and explicit reason codes; a 128-combination test set is defined.</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Aggregation</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Each DiagnosticStatus has a deterministic default overall mapping; ABORTED runs, preflight refusals, stream events and `aggregationPolicyVersion` are specified.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Manifest v1</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Single-step only; array extraction, target-model assertion, safe body templating, retryability and remediation fields are defined; inheritance is non-widening.</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Security</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Header allowlist, Origin/CORS policy, runtime secret registration, response parsing caps, kill switch, incident response and environment separation are defined.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Cloudflare</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Concrete source/provider limits, counter semantics, degrade mode, provider-budget strategy and Turnstile validation requirements are fixed.</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CLI</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Exact exit codes, `.env` rules, `--map`, `--dry-run`, release provenance and dependency controls are specified.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Scope</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CLI precedes hosted delivery; interviews run during Phase 0–1 with numeric decision thresholds.</w:t>
            </w:r>
          </w:p>
        </w:tc>
      </w:tr>
    </w:tbl>
    <w:p>
      <w:r>
        <w:br w:type="page"/>
      </w:r>
    </w:p>
    <w:p>
      <w:pPr>
        <w:pStyle w:val="Heading1"/>
        <w:spacing w:before="240" w:after="120"/>
      </w:pPr>
      <w:r>
        <w:rPr>
          <w:rFonts w:ascii="Aptos Display" w:hAnsi="Aptos Display"/>
          <w:color w:val="17324D"/>
        </w:rPr>
        <w:t>Contents</w:t>
      </w:r>
    </w:p>
    <w:p>
      <w:pPr>
        <w:spacing w:after="30"/>
      </w:pPr>
      <w:r>
        <w:rPr>
          <w:rFonts w:ascii="Aptos" w:hAnsi="Aptos"/>
          <w:sz w:val="18"/>
        </w:rPr>
        <w:t>1. Executive Summary &amp; Product Thesis</w:t>
      </w:r>
    </w:p>
    <w:p>
      <w:pPr>
        <w:spacing w:after="30"/>
      </w:pPr>
      <w:r>
        <w:rPr>
          <w:rFonts w:ascii="Aptos" w:hAnsi="Aptos"/>
          <w:sz w:val="18"/>
        </w:rPr>
        <w:t>2. Scope, Non-Goals &amp; Release Definitions</w:t>
      </w:r>
    </w:p>
    <w:p>
      <w:pPr>
        <w:spacing w:after="30"/>
      </w:pPr>
      <w:r>
        <w:rPr>
          <w:rFonts w:ascii="Aptos" w:hAnsi="Aptos"/>
          <w:sz w:val="18"/>
        </w:rPr>
        <w:t>3. Personas, Jobs-to-be-Done &amp; User Journeys</w:t>
      </w:r>
    </w:p>
    <w:p>
      <w:pPr>
        <w:spacing w:after="30"/>
      </w:pPr>
      <w:r>
        <w:rPr>
          <w:rFonts w:ascii="Aptos" w:hAnsi="Aptos"/>
          <w:sz w:val="18"/>
        </w:rPr>
        <w:t>4. Trust Model &amp; Execution Modes</w:t>
      </w:r>
    </w:p>
    <w:p>
      <w:pPr>
        <w:spacing w:after="30"/>
      </w:pPr>
      <w:r>
        <w:rPr>
          <w:rFonts w:ascii="Aptos" w:hAnsi="Aptos"/>
          <w:sz w:val="18"/>
        </w:rPr>
        <w:t>5. Credential Risk, Side Effects, Cost &amp; Evidence</w:t>
      </w:r>
    </w:p>
    <w:p>
      <w:pPr>
        <w:spacing w:after="30"/>
      </w:pPr>
      <w:r>
        <w:rPr>
          <w:rFonts w:ascii="Aptos" w:hAnsi="Aptos"/>
          <w:sz w:val="18"/>
        </w:rPr>
        <w:t>6. Canonical Domain &amp; Contract Model</w:t>
      </w:r>
    </w:p>
    <w:p>
      <w:pPr>
        <w:spacing w:after="30"/>
      </w:pPr>
      <w:r>
        <w:rPr>
          <w:rFonts w:ascii="Aptos" w:hAnsi="Aptos"/>
          <w:sz w:val="18"/>
        </w:rPr>
        <w:t>7. Intent Taxonomy &amp; Capability Resolution</w:t>
      </w:r>
    </w:p>
    <w:p>
      <w:pPr>
        <w:spacing w:after="30"/>
      </w:pPr>
      <w:r>
        <w:rPr>
          <w:rFonts w:ascii="Aptos" w:hAnsi="Aptos"/>
          <w:sz w:val="18"/>
        </w:rPr>
        <w:t>8. ProbePlan v1 Execution Semantics</w:t>
      </w:r>
    </w:p>
    <w:p>
      <w:pPr>
        <w:spacing w:after="30"/>
      </w:pPr>
      <w:r>
        <w:rPr>
          <w:rFonts w:ascii="Aptos" w:hAnsi="Aptos"/>
          <w:sz w:val="18"/>
        </w:rPr>
        <w:t>9. Provider Manifest v1 Specification</w:t>
      </w:r>
    </w:p>
    <w:p>
      <w:pPr>
        <w:pStyle w:val="Normal"/>
      </w:pPr>
      <w:r>
        <w:rPr>
          <w:rFonts w:ascii="Aptos" w:hAnsi="Aptos"/>
          <w:sz w:val="17"/>
          <w:color w:val="243342"/>
        </w:rPr>
        <w:t>Manifest v1 is single-step. Multi-step OAuth/SigV4/service-account workflows use reviewed code adapters and bounded ProbePlans. LIST_MODELS must use capped array extraction and, when a target model is supplied, an arrayContains semantic assertion. CHAT_MINIMAL and EMBED_MINIMAL use fixed safe JSON templates with a tiny output cap; user content is not interpolated in MVP.</w:t>
      </w:r>
    </w:p>
    <w:p>
      <w:pPr>
        <w:pStyle w:val="Normal"/>
      </w:pPr>
      <w:r>
        <w:rPr>
          <w:rFonts w:ascii="Aptos" w:hAnsi="Aptos"/>
          <w:sz w:val="17"/>
          <w:color w:val="243342"/>
        </w:rPr>
        <w:t>Billable probes must declare a CostClass of POSSIBLE_CHARGE or HIGH_CHARGE where applicable, an explicit output cap, and a provider-reviewed safe-body template.</w:t>
      </w:r>
    </w:p>
    <w:p>
      <w:pPr>
        <w:spacing w:after="30"/>
      </w:pPr>
      <w:r>
        <w:rPr>
          <w:rFonts w:ascii="Aptos" w:hAnsi="Aptos"/>
          <w:sz w:val="18"/>
        </w:rPr>
        <w:t>10. Provider Adapter Architecture</w:t>
      </w:r>
    </w:p>
    <w:p>
      <w:pPr>
        <w:spacing w:after="30"/>
      </w:pPr>
      <w:r>
        <w:rPr>
          <w:rFonts w:ascii="Aptos" w:hAnsi="Aptos"/>
          <w:sz w:val="18"/>
        </w:rPr>
        <w:t>11. Diagnostic Status, Evidence &amp; Aggregation</w:t>
      </w:r>
    </w:p>
    <w:p>
      <w:pPr>
        <w:spacing w:after="30"/>
      </w:pPr>
      <w:r>
        <w:rPr>
          <w:rFonts w:ascii="Aptos" w:hAnsi="Aptos"/>
          <w:sz w:val="18"/>
        </w:rPr>
        <w:t>12. Controlled Fetch &amp; Network Security</w:t>
      </w:r>
    </w:p>
    <w:p>
      <w:pPr>
        <w:spacing w:after="30"/>
      </w:pPr>
      <w:r>
        <w:rPr>
          <w:rFonts w:ascii="Aptos" w:hAnsi="Aptos"/>
          <w:sz w:val="18"/>
        </w:rPr>
        <w:t>13. Secret Handling, Redaction &amp; Data Exposure</w:t>
      </w:r>
    </w:p>
    <w:p>
      <w:pPr>
        <w:spacing w:after="30"/>
      </w:pPr>
      <w:r>
        <w:rPr>
          <w:rFonts w:ascii="Aptos" w:hAnsi="Aptos"/>
          <w:sz w:val="18"/>
        </w:rPr>
        <w:t>14. Hosted Abuse Controls &amp; Cloudflare Architecture</w:t>
      </w:r>
    </w:p>
    <w:p>
      <w:pPr>
        <w:spacing w:after="30"/>
      </w:pPr>
      <w:r>
        <w:rPr>
          <w:rFonts w:ascii="Aptos" w:hAnsi="Aptos"/>
          <w:sz w:val="18"/>
        </w:rPr>
        <w:t>15. NDJSON Transport &amp; HTTP API Contract</w:t>
      </w:r>
    </w:p>
    <w:p>
      <w:pPr>
        <w:spacing w:after="30"/>
      </w:pPr>
      <w:r>
        <w:rPr>
          <w:rFonts w:ascii="Aptos" w:hAnsi="Aptos"/>
          <w:sz w:val="18"/>
        </w:rPr>
        <w:t>16. CLI Architecture &amp; Workspace Scanner</w:t>
      </w:r>
    </w:p>
    <w:p>
      <w:pPr>
        <w:spacing w:after="30"/>
      </w:pPr>
      <w:r>
        <w:rPr>
          <w:rFonts w:ascii="Aptos" w:hAnsi="Aptos"/>
          <w:sz w:val="18"/>
        </w:rPr>
        <w:t>17. UX / UI Information Architecture</w:t>
      </w:r>
    </w:p>
    <w:p>
      <w:pPr>
        <w:spacing w:after="30"/>
      </w:pPr>
      <w:r>
        <w:rPr>
          <w:rFonts w:ascii="Aptos" w:hAnsi="Aptos"/>
          <w:sz w:val="18"/>
        </w:rPr>
        <w:t>18. Error Diagnosis &amp; Reproduction</w:t>
      </w:r>
    </w:p>
    <w:p>
      <w:pPr>
        <w:spacing w:after="30"/>
      </w:pPr>
      <w:r>
        <w:rPr>
          <w:rFonts w:ascii="Aptos" w:hAnsi="Aptos"/>
          <w:sz w:val="18"/>
        </w:rPr>
        <w:t>19. Provider &amp; Model Intelligence</w:t>
      </w:r>
    </w:p>
    <w:p>
      <w:pPr>
        <w:spacing w:after="30"/>
      </w:pPr>
      <w:r>
        <w:rPr>
          <w:rFonts w:ascii="Aptos" w:hAnsi="Aptos"/>
          <w:sz w:val="18"/>
        </w:rPr>
        <w:t>20. Provider Catalog &amp; Roadmap</w:t>
      </w:r>
    </w:p>
    <w:p>
      <w:pPr>
        <w:spacing w:after="30"/>
      </w:pPr>
      <w:r>
        <w:rPr>
          <w:rFonts w:ascii="Aptos" w:hAnsi="Aptos"/>
          <w:sz w:val="18"/>
        </w:rPr>
        <w:t>21. Testing, Fixtures &amp; Provider Drift</w:t>
      </w:r>
    </w:p>
    <w:p>
      <w:pPr>
        <w:spacing w:after="30"/>
      </w:pPr>
      <w:r>
        <w:rPr>
          <w:rFonts w:ascii="Aptos" w:hAnsi="Aptos"/>
          <w:sz w:val="18"/>
        </w:rPr>
        <w:t>22. CI/CD, Supply Chain &amp; Release Engineering</w:t>
      </w:r>
    </w:p>
    <w:p>
      <w:pPr>
        <w:spacing w:after="30"/>
      </w:pPr>
      <w:r>
        <w:rPr>
          <w:rFonts w:ascii="Aptos" w:hAnsi="Aptos"/>
          <w:sz w:val="18"/>
        </w:rPr>
        <w:t>23. Privacy, Legal &amp; Responsible Use</w:t>
      </w:r>
    </w:p>
    <w:p>
      <w:pPr>
        <w:spacing w:after="30"/>
      </w:pPr>
      <w:r>
        <w:rPr>
          <w:rFonts w:ascii="Aptos" w:hAnsi="Aptos"/>
          <w:sz w:val="18"/>
        </w:rPr>
        <w:t>24. Threat Model, Operations &amp; Incident Response</w:t>
      </w:r>
    </w:p>
    <w:p>
      <w:pPr>
        <w:pStyle w:val="Normal"/>
      </w:pPr>
      <w:r>
        <w:rPr>
          <w:rFonts w:ascii="Aptos" w:hAnsi="Aptos"/>
          <w:sz w:val="18"/>
          <w:color w:val="243342"/>
        </w:rPr>
        <w:t>25. Functional Requirements</w:t>
      </w:r>
    </w:p>
    <w:p>
      <w:pPr>
        <w:spacing w:after="30"/>
      </w:pPr>
      <w:r>
        <w:rPr>
          <w:rFonts w:ascii="Aptos" w:hAnsi="Aptos"/>
          <w:sz w:val="18"/>
        </w:rPr>
        <w:t>26. Technology Stack &amp; Free-Tier Plan</w:t>
      </w:r>
    </w:p>
    <w:p>
      <w:pPr>
        <w:spacing w:after="30"/>
      </w:pPr>
      <w:r>
        <w:rPr>
          <w:rFonts w:ascii="Aptos" w:hAnsi="Aptos"/>
          <w:sz w:val="18"/>
        </w:rPr>
        <w:t>27. Repository Structure &amp; Dependency Boundaries</w:t>
      </w:r>
    </w:p>
    <w:p>
      <w:pPr/>
      <w:r>
        <w:t>28. Detailed Implementation Playbook: Architecture, Database, Integrations, Security &amp; Coding Standards</w:t>
      </w:r>
    </w:p>
    <w:p>
      <w:pPr>
        <w:spacing w:after="30"/>
      </w:pPr>
      <w:r>
        <w:t>29. Delivery Plan &amp; Solo-Builder Scope</w:t>
      </w:r>
    </w:p>
    <w:p>
      <w:pPr>
        <w:spacing w:after="30"/>
      </w:pPr>
      <w:r>
        <w:t>30. Market Analysis &amp; Validation</w:t>
      </w:r>
    </w:p>
    <w:p>
      <w:pPr>
        <w:pStyle w:val="Normal"/>
      </w:pPr>
      <w:r>
        <w:rPr>
          <w:rFonts w:ascii="Aptos" w:hAnsi="Aptos"/>
          <w:sz w:val="17"/>
          <w:color w:val="243342"/>
        </w:rPr>
        <w:t>Current competitor and platform statistics are contextual market signals, not proof of product-market fit. Public claims should use the cited source URL, publication/update date and access date. Do not use speculative ARR percentages as evidence. The go/no-go decision uses the predefined interview and prototype thresholds in Appendix F.</w:t>
      </w:r>
    </w:p>
    <w:p>
      <w:pPr>
        <w:spacing w:after="30"/>
      </w:pPr>
      <w:r>
        <w:t>31. Business Model &amp; Future Monitoring</w:t>
      </w:r>
    </w:p>
    <w:p>
      <w:pPr>
        <w:spacing w:after="30"/>
      </w:pPr>
      <w:r>
        <w:t>32. Risk Register</w:t>
      </w:r>
    </w:p>
    <w:p>
      <w:pPr>
        <w:spacing w:after="30"/>
      </w:pPr>
      <w:r>
        <w:t>33. Acceptance Criteria &amp; Launch Gate</w:t>
      </w:r>
    </w:p>
    <w:p>
      <w:pPr>
        <w:spacing w:after="30"/>
      </w:pPr>
      <w:r>
        <w:t>34. Architecture Decision Records</w:t>
      </w:r>
    </w:p>
    <w:p>
      <w:pPr>
        <w:spacing w:after="30"/>
      </w:pPr>
      <w:r>
        <w:rPr>
          <w:rFonts w:ascii="Aptos" w:hAnsi="Aptos"/>
          <w:sz w:val="18"/>
        </w:rPr>
        <w:t>Appendix A. Canonical TypeScript Contracts</w:t>
      </w:r>
    </w:p>
    <w:p>
      <w:pPr>
        <w:spacing w:after="30"/>
      </w:pPr>
      <w:r>
        <w:rPr>
          <w:rFonts w:ascii="Aptos" w:hAnsi="Aptos"/>
          <w:sz w:val="18"/>
        </w:rPr>
        <w:t>Appendix B. Manifest v1 Canonical Example</w:t>
      </w:r>
    </w:p>
    <w:p>
      <w:pPr>
        <w:spacing w:after="30"/>
      </w:pPr>
      <w:r>
        <w:rPr>
          <w:rFonts w:ascii="Aptos" w:hAnsi="Aptos"/>
          <w:sz w:val="18"/>
        </w:rPr>
        <w:t>Appendix C. 128-Combination Policy Test Matrix</w:t>
      </w:r>
    </w:p>
    <w:p>
      <w:pPr>
        <w:spacing w:after="30"/>
      </w:pPr>
      <w:r>
        <w:rPr>
          <w:rFonts w:ascii="Aptos" w:hAnsi="Aptos"/>
          <w:sz w:val="18"/>
        </w:rPr>
        <w:t>Appendix D. Provider Capability Matrix</w:t>
      </w:r>
    </w:p>
    <w:p>
      <w:pPr>
        <w:spacing w:after="30"/>
      </w:pPr>
      <w:r>
        <w:rPr>
          <w:rFonts w:ascii="Aptos" w:hAnsi="Aptos"/>
          <w:sz w:val="18"/>
        </w:rPr>
        <w:t>Appendix E. CLI Exit Codes &amp; Reason Codes</w:t>
      </w:r>
    </w:p>
    <w:p>
      <w:pPr>
        <w:spacing w:after="30"/>
      </w:pPr>
      <w:r>
        <w:rPr>
          <w:rFonts w:ascii="Aptos" w:hAnsi="Aptos"/>
          <w:sz w:val="18"/>
        </w:rPr>
        <w:t>Appendix F. Interview / Experiment Template</w:t>
      </w:r>
    </w:p>
    <w:p>
      <w:pPr>
        <w:spacing w:after="30"/>
      </w:pPr>
      <w:r>
        <w:rPr>
          <w:rFonts w:ascii="Aptos" w:hAnsi="Aptos"/>
          <w:sz w:val="18"/>
        </w:rPr>
        <w:t>Appendix G. Source Register</w:t>
      </w:r>
    </w:p>
    <w:p>
      <w:pPr>
        <w:pStyle w:val="Heading1"/>
        <w:spacing w:before="240" w:after="120"/>
      </w:pPr>
      <w:r>
        <w:rPr>
          <w:rFonts w:ascii="Aptos Display" w:hAnsi="Aptos Display"/>
          <w:color w:val="17324D"/>
        </w:rPr>
        <w:t>1. Executive Summary &amp; Product Thesis</w:t>
      </w:r>
    </w:p>
    <w:p>
      <w:pPr>
        <w:spacing w:after="100" w:line="252" w:lineRule="auto"/>
      </w:pPr>
      <w:r>
        <w:rPr>
          <w:rFonts w:ascii="Aptos" w:hAnsi="Aptos"/>
          <w:color w:val="243342"/>
          <w:sz w:val="18"/>
        </w:rPr>
        <w:t>API HealthLab is an evidence-driven API credential diagnostic platform. It does not attempt to prove that a string “looks like” a key. It tests whether a typed credential can perform a bounded, user-selected intent against a known provider target and explains the result using structured evidence.</w:t>
      </w:r>
    </w:p>
    <w:p>
      <w:pPr>
        <w:spacing w:after="100" w:line="252" w:lineRule="auto"/>
      </w:pPr>
      <w:r>
        <w:rPr>
          <w:rFonts w:ascii="Aptos" w:hAnsi="Aptos"/>
          <w:color w:val="243342"/>
          <w:sz w:val="18"/>
        </w:rPr>
        <w:t>The product deliberately separates credential status, intent capability, provider health, execution policy, and evidence strength. That separation is essential because a credential can authenticate successfully while still being unable to invoke a particular model, resource, deployment or scope.</w:t>
      </w:r>
    </w:p>
    <w:p>
      <w:pPr>
        <w:pStyle w:val="Heading2"/>
        <w:spacing w:before="180" w:after="80"/>
      </w:pPr>
      <w:r>
        <w:rPr>
          <w:rFonts w:ascii="Aptos" w:hAnsi="Aptos"/>
          <w:color w:val="0F766E"/>
        </w:rPr>
        <w:t>Core value proposition</w:t>
      </w:r>
    </w:p>
    <w:p>
      <w:pPr>
        <w:pStyle w:val="ListBullet"/>
        <w:spacing w:after="40"/>
      </w:pPr>
      <w:r>
        <w:rPr>
          <w:rFonts w:ascii="Aptos" w:hAnsi="Aptos"/>
          <w:color w:val="243342"/>
          <w:sz w:val="18"/>
        </w:rPr>
        <w:t>Intent-first: the user states the action before entering a credential.</w:t>
      </w:r>
    </w:p>
    <w:p>
      <w:pPr>
        <w:pStyle w:val="ListBullet"/>
        <w:spacing w:after="40"/>
      </w:pPr>
      <w:r>
        <w:rPr>
          <w:rFonts w:ascii="Aptos" w:hAnsi="Aptos"/>
          <w:color w:val="243342"/>
          <w:sz w:val="18"/>
        </w:rPr>
        <w:t>Evidence-first: every claim in the result is backed by provider or local-runtime evidence.</w:t>
      </w:r>
    </w:p>
    <w:p>
      <w:pPr>
        <w:pStyle w:val="ListBullet"/>
        <w:spacing w:after="40"/>
      </w:pPr>
      <w:r>
        <w:rPr>
          <w:rFonts w:ascii="Aptos" w:hAnsi="Aptos"/>
          <w:color w:val="243342"/>
          <w:sz w:val="18"/>
        </w:rPr>
        <w:t>Local-first: the same semantic core runs in the CLI without sending credentials to API HealthLab infrastructure.</w:t>
      </w:r>
    </w:p>
    <w:p>
      <w:pPr>
        <w:pStyle w:val="ListBullet"/>
        <w:spacing w:after="40"/>
      </w:pPr>
      <w:r>
        <w:rPr>
          <w:rFonts w:ascii="Aptos" w:hAnsi="Aptos"/>
          <w:color w:val="243342"/>
          <w:sz w:val="18"/>
        </w:rPr>
        <w:t>Controlled execution: provider requests pass through one fetch gateway with host, header, timeout, redirect and response-size controls.</w:t>
      </w:r>
    </w:p>
    <w:p>
      <w:pPr>
        <w:pStyle w:val="ListBullet"/>
        <w:spacing w:after="40"/>
      </w:pPr>
      <w:r>
        <w:rPr>
          <w:rFonts w:ascii="Aptos" w:hAnsi="Aptos"/>
          <w:color w:val="243342"/>
          <w:sz w:val="18"/>
        </w:rPr>
        <w:t>Provider-aware diagnosis: structured provider codes are preferred over generic HTTP status guesses.</w:t>
      </w:r>
    </w:p>
    <w:p>
      <w:pPr>
        <w:pStyle w:val="ListBullet"/>
        <w:spacing w:after="40"/>
      </w:pPr>
      <w:r>
        <w:rPr>
          <w:rFonts w:ascii="Aptos" w:hAnsi="Aptos"/>
          <w:color w:val="243342"/>
          <w:sz w:val="18"/>
        </w:rPr>
        <w:t>Trust-free entry point: users can paste an error message and receive rule-based diagnosis without submitting a credential.</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Non-universal promise  </w:t>
            </w:r>
            <w:r>
              <w:rPr>
                <w:color w:val="243342"/>
                <w:sz w:val="18"/>
              </w:rPr>
              <w:t>API HealthLab supports a growing catalog of providers; it does not claim to support arbitrary providers, arbitrary hosts, or arbitrary credential formats.</w:t>
            </w:r>
          </w:p>
        </w:tc>
      </w:tr>
    </w:tbl>
    <w:p>
      <w:pPr>
        <w:spacing w:after="20"/>
      </w:pPr>
    </w:p>
    <w:p>
      <w:pPr>
        <w:pStyle w:val="Heading1"/>
        <w:spacing w:before="240" w:after="120"/>
      </w:pPr>
      <w:r>
        <w:rPr>
          <w:rFonts w:ascii="Aptos Display" w:hAnsi="Aptos Display"/>
          <w:color w:val="17324D"/>
        </w:rPr>
        <w:t>2. Scope, Non-Goals &amp; Release Definitions</w:t>
      </w:r>
    </w:p>
    <w:p>
      <w:pPr>
        <w:pStyle w:val="Heading2"/>
        <w:spacing w:before="180" w:after="80"/>
      </w:pPr>
      <w:r>
        <w:rPr>
          <w:rFonts w:ascii="Aptos" w:hAnsi="Aptos"/>
          <w:color w:val="0F766E"/>
        </w:rPr>
        <w:t>2.1 MVP scope</w:t>
      </w:r>
    </w:p>
    <w:p>
      <w:pPr>
        <w:pStyle w:val="ListBullet"/>
        <w:spacing w:after="40"/>
      </w:pPr>
      <w:r>
        <w:rPr>
          <w:rFonts w:ascii="Aptos" w:hAnsi="Aptos"/>
          <w:color w:val="243342"/>
          <w:sz w:val="18"/>
        </w:rPr>
        <w:t>Shared TypeScript core: contracts, policy, intent resolution, ProbePlan runner, classifier, evidence builder, redactor and controlled fetch abstraction.</w:t>
      </w:r>
    </w:p>
    <w:p>
      <w:pPr>
        <w:pStyle w:val="ListBullet"/>
        <w:spacing w:after="40"/>
      </w:pPr>
      <w:r>
        <w:rPr>
          <w:rFonts w:ascii="Aptos" w:hAnsi="Aptos"/>
          <w:color w:val="243342"/>
          <w:sz w:val="18"/>
        </w:rPr>
        <w:t>CLI: Commander, environment-variable input, stdin, hidden prompt, local `.env` scan, JSON/text output and CI exit codes.</w:t>
      </w:r>
    </w:p>
    <w:p>
      <w:pPr>
        <w:pStyle w:val="ListBullet"/>
        <w:spacing w:after="40"/>
      </w:pPr>
      <w:r>
        <w:rPr>
          <w:rFonts w:ascii="Aptos" w:hAnsi="Aptos"/>
          <w:color w:val="243342"/>
          <w:sz w:val="18"/>
        </w:rPr>
        <w:t>Hosted UI: React/Vite, same-origin Worker API, strict CSP, Turnstile Siteverify, Durable Object abuse control, NDJSON streaming.</w:t>
      </w:r>
    </w:p>
    <w:p>
      <w:pPr>
        <w:pStyle w:val="ListBullet"/>
        <w:spacing w:after="40"/>
      </w:pPr>
      <w:r>
        <w:rPr>
          <w:rFonts w:ascii="Aptos" w:hAnsi="Aptos"/>
          <w:color w:val="243342"/>
          <w:sz w:val="18"/>
        </w:rPr>
        <w:t>MVP providers: OpenAI, Google Gemini, Anthropic, Mistral, Groq, OpenRouter and GitHub.</w:t>
      </w:r>
    </w:p>
    <w:p>
      <w:pPr>
        <w:pStyle w:val="ListBullet"/>
        <w:spacing w:after="40"/>
      </w:pPr>
      <w:r>
        <w:rPr>
          <w:rFonts w:ascii="Aptos" w:hAnsi="Aptos"/>
          <w:color w:val="243342"/>
          <w:sz w:val="18"/>
        </w:rPr>
        <w:t>MVP intents: LIST_MODELS, IDENTITY, CHAT_MINIMAL, EMBED_MINIMAL and RESOURCE_READ.</w:t>
      </w:r>
    </w:p>
    <w:p>
      <w:pPr>
        <w:pStyle w:val="ListBullet"/>
        <w:spacing w:after="40"/>
      </w:pPr>
      <w:r>
        <w:rPr>
          <w:rFonts w:ascii="Aptos" w:hAnsi="Aptos"/>
          <w:color w:val="243342"/>
          <w:sz w:val="18"/>
        </w:rPr>
        <w:t>MVP live auth: API_KEY and BEARER_TOKEN only.</w:t>
      </w:r>
    </w:p>
    <w:p>
      <w:pPr>
        <w:pStyle w:val="ListBullet"/>
        <w:spacing w:after="40"/>
      </w:pPr>
      <w:r>
        <w:rPr>
          <w:rFonts w:ascii="Aptos" w:hAnsi="Aptos"/>
          <w:color w:val="243342"/>
          <w:sz w:val="18"/>
        </w:rPr>
        <w:t>Error-first diagnosis, secret-free curl/TypeScript/Python reproduction and explicit “what this proves / does not prove” UX.</w:t>
      </w:r>
    </w:p>
    <w:p>
      <w:pPr>
        <w:pStyle w:val="ListBullet"/>
        <w:spacing w:after="40"/>
      </w:pPr>
      <w:r>
        <w:rPr>
          <w:rFonts w:ascii="Aptos" w:hAnsi="Aptos"/>
          <w:color w:val="243342"/>
          <w:sz w:val="18"/>
        </w:rPr>
        <w:t>Fixture-driven provider drift testing and invalid-key canary governance.</w:t>
      </w:r>
    </w:p>
    <w:p>
      <w:pPr>
        <w:pStyle w:val="Heading2"/>
        <w:spacing w:before="180" w:after="80"/>
      </w:pPr>
      <w:r>
        <w:rPr>
          <w:rFonts w:ascii="Aptos" w:hAnsi="Aptos"/>
          <w:color w:val="0F766E"/>
        </w:rPr>
        <w:t>2.2 Explicit non-goals for MVP</w:t>
      </w:r>
    </w:p>
    <w:p>
      <w:pPr>
        <w:pStyle w:val="ListBullet"/>
        <w:spacing w:after="40"/>
      </w:pPr>
      <w:r>
        <w:rPr>
          <w:rFonts w:ascii="Aptos" w:hAnsi="Aptos"/>
          <w:color w:val="243342"/>
          <w:sz w:val="18"/>
        </w:rPr>
        <w:t>Arbitrary hosted URLs or custom provider endpoints.</w:t>
      </w:r>
    </w:p>
    <w:p>
      <w:pPr>
        <w:pStyle w:val="ListBullet"/>
        <w:spacing w:after="40"/>
      </w:pPr>
      <w:r>
        <w:rPr>
          <w:rFonts w:ascii="Aptos" w:hAnsi="Aptos"/>
          <w:color w:val="243342"/>
          <w:sz w:val="18"/>
        </w:rPr>
        <w:t>Hosted AWS IAM, Azure tenant endpoints, Vertex service-account flows, Stripe live credentials, database connection strings, mTLS or private keys.</w:t>
      </w:r>
    </w:p>
    <w:p>
      <w:pPr>
        <w:pStyle w:val="ListBullet"/>
        <w:spacing w:after="40"/>
      </w:pPr>
      <w:r>
        <w:rPr>
          <w:rFonts w:ascii="Aptos" w:hAnsi="Aptos"/>
          <w:color w:val="243342"/>
          <w:sz w:val="18"/>
        </w:rPr>
        <w:t>Bulk credential validation or leaked-secret discovery workflows.</w:t>
      </w:r>
    </w:p>
    <w:p>
      <w:pPr>
        <w:pStyle w:val="ListBullet"/>
        <w:spacing w:after="40"/>
      </w:pPr>
      <w:r>
        <w:rPr>
          <w:rFonts w:ascii="Aptos" w:hAnsi="Aptos"/>
          <w:color w:val="243342"/>
          <w:sz w:val="18"/>
        </w:rPr>
        <w:t>Scheduled monitoring using API HealthLab-held credentials.</w:t>
      </w:r>
    </w:p>
    <w:p>
      <w:pPr>
        <w:pStyle w:val="ListBullet"/>
        <w:spacing w:after="40"/>
      </w:pPr>
      <w:r>
        <w:rPr>
          <w:rFonts w:ascii="Aptos" w:hAnsi="Aptos"/>
          <w:color w:val="243342"/>
          <w:sz w:val="18"/>
        </w:rPr>
        <w:t>AI-generated diagnosis using a third-party LLM.</w:t>
      </w:r>
    </w:p>
    <w:p>
      <w:pPr>
        <w:pStyle w:val="ListBullet"/>
        <w:spacing w:after="40"/>
      </w:pPr>
      <w:r>
        <w:rPr>
          <w:rFonts w:ascii="Aptos" w:hAnsi="Aptos"/>
          <w:color w:val="243342"/>
          <w:sz w:val="18"/>
        </w:rPr>
        <w:t>Direct-browser execution marketed as a trust boundary.</w:t>
      </w:r>
    </w:p>
    <w:p>
      <w:pPr>
        <w:pStyle w:val="ListBullet"/>
        <w:spacing w:after="40"/>
      </w:pPr>
      <w:r>
        <w:rPr>
          <w:rFonts w:ascii="Aptos" w:hAnsi="Aptos"/>
          <w:color w:val="243342"/>
          <w:sz w:val="18"/>
        </w:rPr>
        <w:t>A 100+ provider implementation claim.</w:t>
      </w:r>
    </w:p>
    <w:p>
      <w:pPr>
        <w:pStyle w:val="Heading2"/>
        <w:spacing w:before="180" w:after="80"/>
      </w:pPr>
      <w:r>
        <w:rPr>
          <w:rFonts w:ascii="Aptos" w:hAnsi="Aptos"/>
          <w:color w:val="0F766E"/>
        </w:rPr>
        <w:t>2.3 Release terminology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Release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Definition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MVP</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Core local + constrained hosted experience for the seven frozen providers and five intents.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v1.0</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MVP plus P1 status/model intelligence and selected additional providers after review.</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v1.x</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Incremental reviewed provider adapters and safe intent families.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Enterprise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Optional governance, private deployment, customer-controlled runners and secret-manager integrations.</w:t>
            </w:r>
          </w:p>
        </w:tc>
      </w:tr>
    </w:tbl>
    <w:p>
      <w:pPr>
        <w:pStyle w:val="Heading1"/>
        <w:spacing w:before="240" w:after="120"/>
      </w:pPr>
      <w:r>
        <w:rPr>
          <w:rFonts w:ascii="Aptos Display" w:hAnsi="Aptos Display"/>
          <w:color w:val="17324D"/>
        </w:rPr>
        <w:t>3. Personas, Jobs-to-be-Done &amp; User Journeys</w:t>
      </w:r>
    </w:p>
    <w:p>
      <w:pPr>
        <w:pStyle w:val="Heading2"/>
        <w:spacing w:before="180" w:after="80"/>
      </w:pPr>
      <w:r>
        <w:rPr>
          <w:rFonts w:ascii="Aptos" w:hAnsi="Aptos"/>
          <w:color w:val="0F766E"/>
        </w:rPr>
        <w:t>3.1 Personas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Persona</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Primary need</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Preferred mode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AI developer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Prove a model call works with this credential/model combination.</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CLI or hosted R1</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Full-stack developer</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Diagnose 401/403/404/429 without guessing.</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CLI or hosted R1</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Platform engineer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Validate environment variables before deployment.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CLI/CI</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Security-conscious developer</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Run tests without sending credentials to a SaaS service.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CLI</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Support / solutions engineer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Separate provider outage from credential/configuration failure.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 for R0/R1; CLI for sensitive credentials</w:t>
            </w:r>
          </w:p>
        </w:tc>
      </w:tr>
    </w:tbl>
    <w:p>
      <w:pPr>
        <w:pStyle w:val="Heading2"/>
        <w:spacing w:before="180" w:after="80"/>
      </w:pPr>
      <w:r>
        <w:rPr>
          <w:rFonts w:ascii="Aptos" w:hAnsi="Aptos"/>
          <w:color w:val="0F766E"/>
        </w:rPr>
        <w:t>3.2 Canonical web journey</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8"/>
              </w:rPr>
              <w:t>INTENT → PROVIDER → TARGET → EXECUTION / RISK → CONSENT → CREDENTIAL → TEST → EVIDENCE → REPRODUCE</w:t>
            </w:r>
          </w:p>
        </w:tc>
      </w:tr>
    </w:tbl>
    <w:p>
      <w:pPr>
        <w:spacing w:after="20"/>
      </w:pPr>
    </w:p>
    <w:p>
      <w:pPr>
        <w:pStyle w:val="ListNumber"/>
        <w:spacing w:after="40"/>
      </w:pPr>
      <w:r>
        <w:rPr>
          <w:rFonts w:ascii="Aptos" w:hAnsi="Aptos"/>
          <w:sz w:val="18"/>
        </w:rPr>
        <w:t>Choose the exact intent.</w:t>
      </w:r>
    </w:p>
    <w:p>
      <w:pPr>
        <w:pStyle w:val="ListNumber"/>
        <w:spacing w:after="40"/>
      </w:pPr>
      <w:r>
        <w:rPr>
          <w:rFonts w:ascii="Aptos" w:hAnsi="Aptos"/>
          <w:sz w:val="18"/>
        </w:rPr>
        <w:t>Choose a supported provider and product surface.</w:t>
      </w:r>
    </w:p>
    <w:p>
      <w:pPr>
        <w:pStyle w:val="ListNumber"/>
        <w:spacing w:after="40"/>
      </w:pPr>
      <w:r>
        <w:rPr>
          <w:rFonts w:ascii="Aptos" w:hAnsi="Aptos"/>
          <w:sz w:val="18"/>
        </w:rPr>
        <w:t>Supply non-secret target context such as model, deployment, region or resource.</w:t>
      </w:r>
    </w:p>
    <w:p>
      <w:pPr>
        <w:pStyle w:val="ListNumber"/>
        <w:spacing w:after="40"/>
      </w:pPr>
      <w:r>
        <w:rPr>
          <w:rFonts w:ascii="Aptos" w:hAnsi="Aptos"/>
          <w:sz w:val="18"/>
        </w:rPr>
        <w:t>Choose hosted or local execution and review risk/cost/side-effect information.</w:t>
      </w:r>
    </w:p>
    <w:p>
      <w:pPr>
        <w:pStyle w:val="ListNumber"/>
        <w:spacing w:after="40"/>
      </w:pPr>
      <w:r>
        <w:rPr>
          <w:rFonts w:ascii="Aptos" w:hAnsi="Aptos"/>
          <w:sz w:val="18"/>
        </w:rPr>
        <w:t>Acknowledge authorization; for billable probes, acknowledge billable consent separately.</w:t>
      </w:r>
    </w:p>
    <w:p>
      <w:pPr>
        <w:pStyle w:val="ListNumber"/>
        <w:spacing w:after="40"/>
      </w:pPr>
      <w:r>
        <w:rPr>
          <w:rFonts w:ascii="Aptos" w:hAnsi="Aptos"/>
          <w:sz w:val="18"/>
        </w:rPr>
        <w:t>Enter the credential last using typed fields.</w:t>
      </w:r>
    </w:p>
    <w:p>
      <w:pPr>
        <w:pStyle w:val="ListNumber"/>
        <w:spacing w:after="40"/>
      </w:pPr>
      <w:r>
        <w:rPr>
          <w:rFonts w:ascii="Aptos" w:hAnsi="Aptos"/>
          <w:sz w:val="18"/>
        </w:rPr>
        <w:t>Run one bounded test; no automatic retry.</w:t>
      </w:r>
    </w:p>
    <w:p>
      <w:pPr>
        <w:pStyle w:val="ListNumber"/>
        <w:spacing w:after="40"/>
      </w:pPr>
      <w:r>
        <w:rPr>
          <w:rFonts w:ascii="Aptos" w:hAnsi="Aptos"/>
          <w:sz w:val="18"/>
        </w:rPr>
        <w:t>Review step states, evidence, provider-health signal and next action.</w:t>
      </w:r>
    </w:p>
    <w:p>
      <w:pPr>
        <w:pStyle w:val="ListNumber"/>
        <w:spacing w:after="40"/>
      </w:pPr>
      <w:r>
        <w:rPr>
          <w:rFonts w:ascii="Aptos" w:hAnsi="Aptos"/>
          <w:sz w:val="18"/>
        </w:rPr>
        <w:t>Reproduce using generated snippets with an environment-variable placeholder.</w:t>
      </w:r>
    </w:p>
    <w:p>
      <w:pPr>
        <w:pStyle w:val="Heading2"/>
        <w:spacing w:before="180" w:after="80"/>
      </w:pPr>
      <w:r>
        <w:rPr>
          <w:rFonts w:ascii="Aptos" w:hAnsi="Aptos"/>
          <w:color w:val="0F766E"/>
        </w:rPr>
        <w:t>3.3 Trust-free error journey</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7"/>
              </w:rPr>
              <w:t>PASTE ERROR → INPUT SANITIZATION → SECRET SCRUB → RULE MATCH → DIAGNOSIS → NEXT ACTION → OPTIONAL LOCAL TEST</w:t>
            </w:r>
          </w:p>
        </w:tc>
      </w:tr>
    </w:tbl>
    <w:p>
      <w:pPr>
        <w:spacing w:after="20"/>
      </w:pPr>
    </w:p>
    <w:p>
      <w:pPr>
        <w:pStyle w:val="Heading1"/>
        <w:spacing w:before="240" w:after="120"/>
      </w:pPr>
      <w:r>
        <w:rPr>
          <w:rFonts w:ascii="Aptos Display" w:hAnsi="Aptos Display"/>
          <w:color w:val="17324D"/>
        </w:rPr>
        <w:t>4. Trust Model &amp; Execution Modes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Mode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Credential exposure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Allowed scope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Default positioning</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Credential traverses Worker/edge transiently; no intentional persistence.</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R0/R1, exact provider hosts, one credential, one bounded test.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Convenience path only.</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Local CLI</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Credential remains on user's machine during engine execution.</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R0–R3 subject to adapter/provider safety policy.</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High-assurance/default for sensitive cases.</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Direct browser</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Removed from MVP.</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None as a trust mode.</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Future downloadable/static build only after review.</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Trust-language rule  </w:t>
            </w:r>
            <w:r>
              <w:rPr>
                <w:color w:val="243342"/>
                <w:sz w:val="18"/>
              </w:rPr>
              <w:t>Hosted mode must never claim “we never see your secret.” The accurate statement is that API HealthLab does not intentionally persist the credential. Local CLI execution keeps the credential out of the hosted data plane.</w:t>
            </w:r>
          </w:p>
        </w:tc>
      </w:tr>
    </w:tbl>
    <w:p>
      <w:pPr>
        <w:spacing w:after="20"/>
      </w:pPr>
    </w:p>
    <w:p>
      <w:pPr>
        <w:pStyle w:val="Heading1"/>
        <w:spacing w:before="240" w:after="120"/>
      </w:pPr>
      <w:r>
        <w:rPr>
          <w:rFonts w:ascii="Aptos Display" w:hAnsi="Aptos Display"/>
          <w:color w:val="17324D"/>
        </w:rPr>
        <w:t>5. Credential Risk, Side Effects, Cost &amp; Evidence</w:t>
      </w:r>
    </w:p>
    <w:p>
      <w:pPr>
        <w:pStyle w:val="Heading2"/>
        <w:spacing w:before="180" w:after="80"/>
      </w:pPr>
      <w:r>
        <w:rPr>
          <w:rFonts w:ascii="Aptos" w:hAnsi="Aptos"/>
          <w:color w:val="0F766E"/>
        </w:rPr>
        <w:t>5.1 CredentialRisk definitions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Tier</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Definition</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Examples</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Hosted MVP</w:t>
            </w:r>
          </w:p>
        </w:tc>
      </w:tr>
      <w:tr>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R0</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Low blast radius; no known account mutation/data access; narrow metadata credential.</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Anonymous/public metadata token, low-impact read key.</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ALLOW when probe is NONE + FREE.</w:t>
            </w:r>
          </w:p>
        </w:tc>
      </w:tr>
      <w:tr>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R1</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Low-to-moderate impact; read-only or tightly scoped developer credential.</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Restricted LLM/API key used for model access; narrow read-only developer token.</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ALLOW under bounded policy; explicit consent for possible charge.</w:t>
            </w:r>
          </w:p>
        </w:tc>
      </w:tr>
      <w:tr>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R2</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Meaningful access to private data, repositories or scoped resources; compromise can expose sensitive business data.</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GitHub fine-grained/read token; private service credential.</w:t>
            </w:r>
          </w:p>
        </w:tc>
        <w:tc>
          <w:tcPr>
            <w:tcW w:type="dxa" w:w="2498"/>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DENY in MVP; local-first.</w:t>
            </w:r>
          </w:p>
        </w:tc>
      </w:tr>
      <w:tr>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R3</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High impact: cloud IAM, live payment access, private keys, mTLS, database connections, broad admin credentials.</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AWS secret/access key pair, Stripe live secret, DB connection string, private key.</w:t>
            </w:r>
          </w:p>
        </w:tc>
        <w:tc>
          <w:tcPr>
            <w:tcW w:type="dxa" w:w="2498"/>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DENY in hosted; supported local-only safe flows.</w:t>
            </w:r>
          </w:p>
        </w:tc>
      </w:tr>
    </w:tbl>
    <w:p>
      <w:pPr>
        <w:pStyle w:val="Heading2"/>
        <w:spacing w:before="180" w:after="80"/>
      </w:pPr>
      <w:r>
        <w:rPr>
          <w:rFonts w:ascii="Aptos" w:hAnsi="Aptos"/>
          <w:color w:val="0F766E"/>
        </w:rPr>
        <w:t>5.2 Policy axes (four)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Axis</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Values</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Meaning</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CredentialRisk</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R0/R1/R2/R3</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Potential blast radius if mishandled.</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SideEffectClass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NONE / READ_ONLY / SANDBOX_MUTATION / REAL_WORLD_MUTATION</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What the probe itself can change.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CostClass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FREE / LOW / POSSIBLE_CHARGE / HIGH_CHARGE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Potential provider charge/quota consumption.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ExecutionMode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HOSTED / LOCAL</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Where the probe executes.</w:t>
            </w:r>
          </w:p>
        </w:tc>
      </w:tr>
    </w:tbl>
    <w:p>
      <w:pPr>
        <w:pStyle w:val="Heading2"/>
        <w:spacing w:before="180" w:after="80"/>
      </w:pPr>
      <w:r>
        <w:rPr>
          <w:rFonts w:ascii="Aptos" w:hAnsi="Aptos"/>
          <w:color w:val="0F766E"/>
        </w:rPr>
        <w:t>5.3 ProbeCategory and evidence</w:t>
      </w:r>
    </w:p>
    <w:p>
      <w:pPr>
        <w:pStyle w:val="Normal"/>
      </w:pPr>
      <w:r>
        <w:rPr>
          <w:rFonts w:ascii="Aptos" w:hAnsi="Aptos"/>
          <w:sz w:val="18"/>
          <w:color w:val="243342"/>
        </w:rPr>
        <w:t>`EvidenceStrength` is a result-level evidence property, not a policy axis. It is attached to individual Evidence records and never participates in the hosted allow/deny policy function.</w:t>
      </w:r>
    </w:p>
    <w:p>
      <w:pPr>
        <w:spacing w:after="100" w:line="252" w:lineRule="auto"/>
      </w:pPr>
      <w:r>
        <w:rPr>
          <w:rFonts w:ascii="Aptos" w:hAnsi="Aptos"/>
          <w:color w:val="243342"/>
          <w:sz w:val="18"/>
        </w:rPr>
        <w:t>`METADATA` is not a cost class. It is a semantic category for probes such as model listing or provider metadata lookup. Cost is separately declared as `FREE`, `LOW`, `POSSIBLE_CHARGE` or `HIGH_CHARGE`.</w:t>
      </w:r>
    </w:p>
    <w:p>
      <w:pPr>
        <w:pStyle w:val="Heading1"/>
        <w:spacing w:before="240" w:after="120"/>
      </w:pPr>
      <w:r>
        <w:rPr>
          <w:rFonts w:ascii="Aptos Display" w:hAnsi="Aptos Display"/>
          <w:color w:val="17324D"/>
        </w:rPr>
        <w:t>6. Canonical Domain &amp; Contract Model</w:t>
      </w:r>
    </w:p>
    <w:p>
      <w:pPr>
        <w:spacing w:after="100" w:line="252" w:lineRule="auto"/>
      </w:pPr>
      <w:r>
        <w:rPr>
          <w:rFonts w:ascii="Aptos" w:hAnsi="Aptos"/>
          <w:color w:val="243342"/>
          <w:sz w:val="18"/>
        </w:rPr>
        <w:t>The document and repository must share one source of truth. After Phase 0, generated TypeScript types and runtime validation schemas must come from the repository schemas; the Word document is documentation, not the authoritative implementation artifact.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Contract</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Purpose</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Company/service boundary; not equivalent to a model.</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Product</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 provider offering/surface, e.g. hosted LLM API.</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ModelCatalogEntry</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Live or curated model/resource metadata.</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CredentialInput</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Typed public authentication material plus target/execution context.</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AuthCredential</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Discriminated internal auth shape.</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TargetContext</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Non-secret target information.</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IntentSpec</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Reusable developer goal and parameter schema.</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ProbePlan</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Bounded provider-specific execution plan.</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Evidence</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Allowlisted observed fact.</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StepResult</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Outcome and evidence for one plan step.</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DiagnosticStatus</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Normalized root-cause classification.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ProviderHealthSignal</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Independent provider-status signal.</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RunResult</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Final aggregated result.</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AggregationPolicy</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Versioned mapping from step/status evidence to overall result.</w:t>
            </w:r>
          </w:p>
        </w:tc>
      </w:tr>
    </w:tbl>
    <w:p>
      <w:pPr>
        <w:pStyle w:val="Heading1"/>
        <w:spacing w:before="240" w:after="120"/>
      </w:pPr>
      <w:r>
        <w:rPr>
          <w:rFonts w:ascii="Aptos Display" w:hAnsi="Aptos Display"/>
          <w:color w:val="17324D"/>
        </w:rPr>
        <w:t>7. Intent Taxonomy &amp; Capability Resolution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Intent</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Definition</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MVP</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Required target examples</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LIST_MODELS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the credential enumerate or retrieve advertised models/resources?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Provider/product; optional target model.</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IDENTITY</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the provider safely identify the current principal/project?</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 where supported</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None or project/tenant context.</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CHAT_MINIMAL</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the selected model accept the smallest safe generation request?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model.</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EMBED_MINIMAL</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the selected embedding model accept one minimal input?</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embedding model.</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RESOURCE_READ</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the credential read the selected non-mutating resource?</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resource identifier.</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Unsupported capability  </w:t>
            </w:r>
            <w:r>
              <w:rPr>
                <w:color w:val="243342"/>
                <w:sz w:val="18"/>
              </w:rPr>
              <w:t>If a provider does not support the selected intent, return `SKIPPED` with `reasonCode=UNSUPPORTED_INTENT` and make no provider request.</w:t>
            </w:r>
          </w:p>
        </w:tc>
      </w:tr>
    </w:tbl>
    <w:p>
      <w:pPr>
        <w:spacing w:after="20"/>
      </w:pPr>
    </w:p>
    <w:p>
      <w:pPr>
        <w:pStyle w:val="Heading2"/>
        <w:spacing w:before="180" w:after="80"/>
      </w:pPr>
      <w:r>
        <w:rPr>
          <w:rFonts w:ascii="Aptos" w:hAnsi="Aptos"/>
          <w:color w:val="0F766E"/>
        </w:rPr>
        <w:t>7.1 Capability resolution</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7"/>
              </w:rPr>
              <w:t>IntentSpec + ProviderCapability + TargetContext</w:t>
            </w:r>
            <w:r>
              <w:br/>
            </w:r>
            <w:r>
              <w:rPr>
                <w:rFonts w:ascii="Consolas" w:hAnsi="Consolas"/>
                <w:color w:val="334155"/>
                <w:sz w:val="17"/>
              </w:rPr>
              <w:t xml:space="preserve">        ↓</w:t>
            </w:r>
            <w:r>
              <w:br/>
            </w:r>
            <w:r>
              <w:rPr>
                <w:rFonts w:ascii="Consolas" w:hAnsi="Consolas"/>
                <w:color w:val="334155"/>
                <w:sz w:val="17"/>
              </w:rPr>
              <w:t>Validate intent parameters against IntentSpec schema</w:t>
            </w:r>
            <w:r>
              <w:br/>
            </w:r>
            <w:r>
              <w:rPr>
                <w:rFonts w:ascii="Consolas" w:hAnsi="Consolas"/>
                <w:color w:val="334155"/>
                <w:sz w:val="17"/>
              </w:rPr>
              <w:t xml:space="preserve">        ↓</w:t>
            </w:r>
            <w:r>
              <w:br/>
            </w:r>
            <w:r>
              <w:rPr>
                <w:rFonts w:ascii="Consolas" w:hAnsi="Consolas"/>
                <w:color w:val="334155"/>
                <w:sz w:val="17"/>
              </w:rPr>
              <w:t>Resolve provider capability</w:t>
            </w:r>
            <w:r>
              <w:br/>
            </w:r>
            <w:r>
              <w:rPr>
                <w:rFonts w:ascii="Consolas" w:hAnsi="Consolas"/>
                <w:color w:val="334155"/>
                <w:sz w:val="17"/>
              </w:rPr>
              <w:t xml:space="preserve">        ↓</w:t>
            </w:r>
            <w:r>
              <w:br/>
            </w:r>
            <w:r>
              <w:rPr>
                <w:rFonts w:ascii="Consolas" w:hAnsi="Consolas"/>
                <w:color w:val="334155"/>
                <w:sz w:val="17"/>
              </w:rPr>
              <w:t>If unsupported → SKIPPED(UNSUPPORTED_INTENT)</w:t>
            </w:r>
            <w:r>
              <w:br/>
            </w:r>
            <w:r>
              <w:rPr>
                <w:rFonts w:ascii="Consolas" w:hAnsi="Consolas"/>
                <w:color w:val="334155"/>
                <w:sz w:val="17"/>
              </w:rPr>
              <w:t xml:space="preserve">        ↓</w:t>
            </w:r>
            <w:r>
              <w:br/>
            </w:r>
            <w:r>
              <w:rPr>
                <w:rFonts w:ascii="Consolas" w:hAnsi="Consolas"/>
                <w:color w:val="334155"/>
                <w:sz w:val="17"/>
              </w:rPr>
              <w:t>Resolve bounded ProbePlan</w:t>
            </w:r>
            <w:r>
              <w:br/>
            </w:r>
            <w:r>
              <w:rPr>
                <w:rFonts w:ascii="Consolas" w:hAnsi="Consolas"/>
                <w:color w:val="334155"/>
                <w:sz w:val="17"/>
              </w:rPr>
              <w:t xml:space="preserve">        ↓</w:t>
            </w:r>
            <w:r>
              <w:br/>
            </w:r>
            <w:r>
              <w:rPr>
                <w:rFonts w:ascii="Consolas" w:hAnsi="Consolas"/>
                <w:color w:val="334155"/>
                <w:sz w:val="17"/>
              </w:rPr>
              <w:t>Apply execution policy</w:t>
            </w:r>
            <w:r>
              <w:br/>
            </w:r>
            <w:r>
              <w:rPr>
                <w:rFonts w:ascii="Consolas" w:hAnsi="Consolas"/>
                <w:color w:val="334155"/>
                <w:sz w:val="17"/>
              </w:rPr>
              <w:t xml:space="preserve">        ↓</w:t>
            </w:r>
            <w:r>
              <w:br/>
            </w:r>
            <w:r>
              <w:rPr>
                <w:rFonts w:ascii="Consolas" w:hAnsi="Consolas"/>
                <w:color w:val="334155"/>
                <w:sz w:val="17"/>
              </w:rPr>
              <w:t>Materialize secrets only after all preflight gates pass</w:t>
            </w:r>
          </w:p>
        </w:tc>
      </w:tr>
    </w:tbl>
    <w:p>
      <w:pPr>
        <w:spacing w:after="20"/>
      </w:pPr>
    </w:p>
    <w:p>
      <w:pPr>
        <w:pStyle w:val="Heading1"/>
        <w:spacing w:before="240" w:after="120"/>
      </w:pPr>
      <w:r>
        <w:rPr>
          <w:rFonts w:ascii="Aptos Display" w:hAnsi="Aptos Display"/>
          <w:color w:val="17324D"/>
        </w:rPr>
        <w:t>8. ProbePlan v1 Execution Semantics</w:t>
      </w:r>
    </w:p>
    <w:p>
      <w:pPr>
        <w:spacing w:after="100" w:line="252" w:lineRule="auto"/>
      </w:pPr>
      <w:r>
        <w:rPr>
          <w:rFonts w:ascii="Aptos" w:hAnsi="Aptos"/>
          <w:color w:val="243342"/>
          <w:sz w:val="18"/>
        </w:rPr>
        <w:t>ProbePlan v1 supports bounded multi-step code adapters, but Manifest v1 is intentionally single-step. This avoids putting an unbounded orchestration language inside the manifest.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Rule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v2.3 specification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Manifest v1</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One HTTP request per intent; multi-step flows require reviewed code adapters.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Maximum steps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4 total network steps.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Maximum provider subrequests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4 per accepted test.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Hosted hard budget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8 seconds total; provider timeout 6 seconds by default.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Retries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None automatically in the engine.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Dependencies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Explicit DAG only; cycle rejected.</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Secret bindings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Ephemeral only; never included in evidence, telemetry or RunResult.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Failure propagation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Dependent steps become SKIPPED(prerequisite_failed).</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Cancellation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Abort upstream fetch via AbortController where runtime permits.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Side effects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Declared at plan level; REAL_WORLD_MUTATION is not a hosted MVP capability.</w:t>
            </w:r>
          </w:p>
        </w:tc>
      </w:tr>
    </w:tbl>
    <w:p>
      <w:pPr>
        <w:pStyle w:val="Heading2"/>
        <w:spacing w:before="180" w:after="80"/>
      </w:pPr>
      <w:r>
        <w:rPr>
          <w:rFonts w:ascii="Aptos" w:hAnsi="Aptos"/>
          <w:color w:val="0F766E"/>
        </w:rPr>
        <w:t>8.1 Multi-step binding model</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6"/>
              </w:rPr>
              <w:t>step-1: token_exchange</w:t>
            </w:r>
            <w:r>
              <w:br/>
            </w:r>
            <w:r>
              <w:rPr>
                <w:rFonts w:ascii="Consolas" w:hAnsi="Consolas"/>
                <w:color w:val="334155"/>
                <w:sz w:val="16"/>
              </w:rPr>
              <w:t xml:space="preserve">  output: accessToken [SECRET_INTERMEDIATE]</w:t>
            </w:r>
            <w:r>
              <w:br/>
            </w:r>
            <w:r>
              <w:rPr>
                <w:rFonts w:ascii="Consolas" w:hAnsi="Consolas"/>
                <w:color w:val="334155"/>
                <w:sz w:val="16"/>
              </w:rPr>
            </w:r>
            <w:r>
              <w:br/>
            </w:r>
            <w:r>
              <w:rPr>
                <w:rFonts w:ascii="Consolas" w:hAnsi="Consolas"/>
                <w:color w:val="334155"/>
                <w:sz w:val="16"/>
              </w:rPr>
              <w:t>step-2: authenticated_call</w:t>
            </w:r>
            <w:r>
              <w:br/>
            </w:r>
            <w:r>
              <w:rPr>
                <w:rFonts w:ascii="Consolas" w:hAnsi="Consolas"/>
                <w:color w:val="334155"/>
                <w:sz w:val="16"/>
              </w:rPr>
              <w:t xml:space="preserve">  inputBinding:</w:t>
            </w:r>
            <w:r>
              <w:br/>
            </w:r>
            <w:r>
              <w:rPr>
                <w:rFonts w:ascii="Consolas" w:hAnsi="Consolas"/>
                <w:color w:val="334155"/>
                <w:sz w:val="16"/>
              </w:rPr>
              <w:t xml:space="preserve">    Authorization ← step-1.accessToken</w:t>
            </w:r>
            <w:r>
              <w:br/>
            </w:r>
            <w:r>
              <w:rPr>
                <w:rFonts w:ascii="Consolas" w:hAnsi="Consolas"/>
                <w:color w:val="334155"/>
                <w:sz w:val="16"/>
              </w:rPr>
              <w:t xml:space="preserve">  output:</w:t>
            </w:r>
            <w:r>
              <w:br/>
            </w:r>
            <w:r>
              <w:rPr>
                <w:rFonts w:ascii="Consolas" w:hAnsi="Consolas"/>
                <w:color w:val="334155"/>
                <w:sz w:val="16"/>
              </w:rPr>
              <w:t xml:space="preserve">    principal ← JSON pointer /user/id</w:t>
            </w:r>
            <w:r>
              <w:br/>
            </w:r>
            <w:r>
              <w:rPr>
                <w:rFonts w:ascii="Consolas" w:hAnsi="Consolas"/>
                <w:color w:val="334155"/>
                <w:sz w:val="16"/>
              </w:rPr>
            </w:r>
            <w:r>
              <w:br/>
            </w:r>
            <w:r>
              <w:rPr>
                <w:rFonts w:ascii="Consolas" w:hAnsi="Consolas"/>
                <w:color w:val="334155"/>
                <w:sz w:val="16"/>
              </w:rPr>
              <w:t>Rules:</w:t>
            </w:r>
            <w:r>
              <w:br/>
            </w:r>
            <w:r>
              <w:rPr>
                <w:rFonts w:ascii="Consolas" w:hAnsi="Consolas"/>
                <w:color w:val="334155"/>
                <w:sz w:val="16"/>
              </w:rPr>
              <w:t>- SECRET_INTERMEDIATE values live only in the execution context.</w:t>
            </w:r>
            <w:r>
              <w:br/>
            </w:r>
            <w:r>
              <w:rPr>
                <w:rFonts w:ascii="Consolas" w:hAnsi="Consolas"/>
                <w:color w:val="334155"/>
                <w:sz w:val="16"/>
              </w:rPr>
              <w:t>- Intermediate secrets are registered in RedactionContext immediately.</w:t>
            </w:r>
            <w:r>
              <w:br/>
            </w:r>
            <w:r>
              <w:rPr>
                <w:rFonts w:ascii="Consolas" w:hAnsi="Consolas"/>
                <w:color w:val="334155"/>
                <w:sz w:val="16"/>
              </w:rPr>
              <w:t>- Secret outputs can never become Evidence.</w:t>
            </w:r>
          </w:p>
        </w:tc>
      </w:tr>
    </w:tbl>
    <w:p>
      <w:pPr>
        <w:spacing w:after="20"/>
      </w:pPr>
    </w:p>
    <w:p>
      <w:pPr>
        <w:pStyle w:val="Heading1"/>
        <w:spacing w:before="240" w:after="120"/>
      </w:pPr>
      <w:r>
        <w:rPr>
          <w:rFonts w:ascii="Aptos Display" w:hAnsi="Aptos Display"/>
          <w:color w:val="17324D"/>
        </w:rPr>
        <w:t>9. Provider Manifest v1 Specification</w:t>
      </w:r>
    </w:p>
    <w:p>
      <w:pPr>
        <w:spacing w:after="100" w:line="252" w:lineRule="auto"/>
      </w:pPr>
      <w:r>
        <w:rPr>
          <w:rFonts w:ascii="Aptos" w:hAnsi="Aptos"/>
          <w:color w:val="243342"/>
          <w:sz w:val="18"/>
        </w:rPr>
        <w:t>Manifest v1 is declarative configuration for safe, single-step provider probes. It is not executable program code. Runtime security invariants are enforced independently of manifest author intent.</w:t>
      </w:r>
    </w:p>
    <w:p>
      <w:pPr>
        <w:pStyle w:val="Heading2"/>
        <w:spacing w:before="180" w:after="80"/>
      </w:pPr>
      <w:r>
        <w:rPr>
          <w:rFonts w:ascii="Aptos" w:hAnsi="Aptos"/>
          <w:color w:val="0F766E"/>
        </w:rPr>
        <w:t>9.1 Required manifest fields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Field</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Requirement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schemaVersion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Required; only supported versions load.</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id</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Stable provider manifest identifier.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providerId / product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and product metadata.</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lifecycle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active / review / deprecated / disabled / removed.</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verifiedOn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Date of last provider verification.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hostPolicy</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Hosted MVP uses exact provider hosts only.</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auth</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Typed auth method and header injection declaration.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intents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Single-step request + expect + extract + cost + side effect.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errorMatchers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Deterministic structured provider-code matchers.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termsUrl / docsUrl</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documentation and terms where available.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statusSource / modelSource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Optional P1 machine-readable metadata sources.</w:t>
            </w:r>
          </w:p>
        </w:tc>
      </w:tr>
    </w:tbl>
    <w:p>
      <w:pPr>
        <w:pStyle w:val="Heading2"/>
        <w:spacing w:before="180" w:after="80"/>
      </w:pPr>
      <w:r>
        <w:rPr>
          <w:rFonts w:ascii="Aptos" w:hAnsi="Aptos"/>
          <w:color w:val="0F766E"/>
        </w:rPr>
        <w:t>9.2 Manifest security invariants</w:t>
      </w:r>
    </w:p>
    <w:p>
      <w:pPr>
        <w:pStyle w:val="ListBullet"/>
        <w:spacing w:after="40"/>
      </w:pPr>
      <w:r>
        <w:rPr>
          <w:rFonts w:ascii="Aptos" w:hAnsi="Aptos"/>
          <w:color w:val="243342"/>
          <w:sz w:val="18"/>
        </w:rPr>
        <w:t>Hosted secrets may be interpolated into declared authentication-header slots only.</w:t>
      </w:r>
    </w:p>
    <w:p>
      <w:pPr>
        <w:pStyle w:val="ListBullet"/>
        <w:spacing w:after="40"/>
      </w:pPr>
      <w:r>
        <w:rPr>
          <w:rFonts w:ascii="Aptos" w:hAnsi="Aptos"/>
          <w:color w:val="243342"/>
          <w:sz w:val="18"/>
        </w:rPr>
        <w:t>Secrets may not appear in hosted query strings, URL paths or request bodies.</w:t>
      </w:r>
    </w:p>
    <w:p>
      <w:pPr>
        <w:pStyle w:val="ListBullet"/>
        <w:spacing w:after="40"/>
      </w:pPr>
      <w:r>
        <w:rPr>
          <w:rFonts w:ascii="Aptos" w:hAnsi="Aptos"/>
          <w:color w:val="243342"/>
          <w:sz w:val="18"/>
        </w:rPr>
        <w:t>Hosted request methods are GET or POST only.</w:t>
      </w:r>
    </w:p>
    <w:p>
      <w:pPr>
        <w:pStyle w:val="ListBullet"/>
        <w:spacing w:after="40"/>
      </w:pPr>
      <w:r>
        <w:rPr>
          <w:rFonts w:ascii="Aptos" w:hAnsi="Aptos"/>
          <w:color w:val="243342"/>
          <w:sz w:val="18"/>
        </w:rPr>
        <w:t>Header names use a global allowlist; `Host`, `Content-Length`, `Cookie`, `Connection`, `Transfer-Encoding`, `Proxy-Authorization`, `Forwarded`, `X-Forwarded-*`, `Upgrade` and equivalent hop-by-hop/proxy headers are rejected.</w:t>
      </w:r>
    </w:p>
    <w:p>
      <w:pPr>
        <w:pStyle w:val="ListBullet"/>
        <w:spacing w:after="40"/>
      </w:pPr>
      <w:r>
        <w:rPr>
          <w:rFonts w:ascii="Aptos" w:hAnsi="Aptos"/>
          <w:color w:val="243342"/>
          <w:sz w:val="18"/>
        </w:rPr>
        <w:t>User-supplied model/deployment/resource fields have per-field character sets, length limits, CR/LF rejection and path-component encoding.</w:t>
      </w:r>
    </w:p>
    <w:p>
      <w:pPr>
        <w:pStyle w:val="ListBullet"/>
        <w:spacing w:after="40"/>
      </w:pPr>
      <w:r>
        <w:rPr>
          <w:rFonts w:ascii="Aptos" w:hAnsi="Aptos"/>
          <w:color w:val="243342"/>
          <w:sz w:val="18"/>
        </w:rPr>
        <w:t>Arbitrary hosted regex is forbidden; structured matchers are preferred.</w:t>
      </w:r>
    </w:p>
    <w:p>
      <w:pPr>
        <w:pStyle w:val="ListBullet"/>
        <w:spacing w:after="40"/>
      </w:pPr>
      <w:r>
        <w:rPr>
          <w:rFonts w:ascii="Aptos" w:hAnsi="Aptos"/>
          <w:color w:val="243342"/>
          <w:sz w:val="18"/>
        </w:rPr>
        <w:t>Custom manifests are disabled in hosted mode and default CLI; explicit dangerous local mode is required.</w:t>
      </w:r>
    </w:p>
    <w:p>
      <w:pPr>
        <w:pStyle w:val="ListBullet"/>
        <w:spacing w:after="40"/>
      </w:pPr>
      <w:r>
        <w:rPr>
          <w:rFonts w:ascii="Aptos" w:hAnsi="Aptos"/>
          <w:color w:val="243342"/>
          <w:sz w:val="18"/>
        </w:rPr>
        <w:t>Inheritance is resolved only from bundled trusted parents and cannot widen host policy, auth locations, methods, risk tier, cost or side-effect permissions.</w:t>
      </w:r>
    </w:p>
    <w:p>
      <w:pPr>
        <w:pStyle w:val="ListBullet"/>
        <w:spacing w:after="40"/>
      </w:pPr>
      <w:r>
        <w:rPr>
          <w:rFonts w:ascii="Aptos" w:hAnsi="Aptos"/>
          <w:color w:val="243342"/>
          <w:sz w:val="18"/>
        </w:rPr>
        <w:t>Maximum inheritance depth = 3; cycles are rejected.</w:t>
      </w:r>
    </w:p>
    <w:p>
      <w:pPr>
        <w:pStyle w:val="ListBullet"/>
        <w:spacing w:after="40"/>
      </w:pPr>
      <w:r>
        <w:rPr>
          <w:rFonts w:ascii="Aptos" w:hAnsi="Aptos"/>
          <w:color w:val="243342"/>
          <w:sz w:val="18"/>
        </w:rPr>
        <w:t>Final resolved URL and headers are revalidated immediately before fetch.</w:t>
      </w:r>
    </w:p>
    <w:p>
      <w:pPr>
        <w:pStyle w:val="Heading2"/>
        <w:spacing w:before="180" w:after="80"/>
      </w:pPr>
      <w:r>
        <w:rPr>
          <w:rFonts w:ascii="Aptos" w:hAnsi="Aptos"/>
          <w:color w:val="0F766E"/>
        </w:rPr>
        <w:t>9.3 Matcher semantics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Property</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Rule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Priority</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Higher numeric priority evaluates first.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Specificity</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code / structured body or header matcher outranks generic HTTP fallback.</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Tie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If equally authoritative rules produce different statuses, classification is INCONCLUSIVE.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Retryable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Explicit boolean; engine never automatically retries, but UI may explain that retry may help.</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Remediation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Structured `actionId` + human explanation used to render Fix next.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Non-JSON response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HTML/WAF/body-block fixture can classify ORIGIN_RESTRICTED only when adapter rule establishes that meaning; otherwise UNKNOWN.</w:t>
            </w:r>
          </w:p>
        </w:tc>
      </w:tr>
    </w:tbl>
    <w:p>
      <w:pPr>
        <w:pStyle w:val="Heading2"/>
      </w:pPr>
      <w:r>
        <w:rPr>
          <w:rFonts w:ascii="Aptos" w:hAnsi="Aptos"/>
          <w:sz w:val="24"/>
          <w:color w:val="0F766E"/>
        </w:rPr>
        <w:t>9.4 Manifest request-safety metadata</w:t>
      </w:r>
    </w:p>
    <w:p>
      <w:pPr>
        <w:pStyle w:val="Normal"/>
      </w:pPr>
      <w:r>
        <w:rPr>
          <w:rFonts w:ascii="Aptos" w:hAnsi="Aptos"/>
          <w:sz w:val="17"/>
          <w:color w:val="243342"/>
        </w:rPr>
        <w:t>Every Manifest v1 intent also declares `requestSafety` and `dataSensitivity`. `requestSafety` records whether a probe is safe under the declared side-effect/cost policy; `dataSensitivity` is NONE | CREDENTIAL_METADATA | USER_DATA. These fields prevent later probes involving files, audio, images or customer data from being silently treated like metadata probes.</w:t>
      </w:r>
    </w:p>
    <w:p>
      <w:pPr>
        <w:pStyle w:val="Heading2"/>
      </w:pPr>
      <w:r>
        <w:rPr>
          <w:rFonts w:ascii="Aptos" w:hAnsi="Aptos"/>
          <w:sz w:val="24"/>
          <w:color w:val="0F766E"/>
        </w:rPr>
        <w:t>9.5 Semantic assertions and billable probes</w:t>
      </w:r>
    </w:p>
    <w:p>
      <w:pPr>
        <w:pStyle w:val="Normal"/>
      </w:pPr>
      <w:r>
        <w:rPr>
          <w:rFonts w:ascii="Aptos" w:hAnsi="Aptos"/>
          <w:sz w:val="17"/>
          <w:color w:val="243342"/>
        </w:rPr>
        <w:t>Manifest v1 is single-step. LIST_MODELS uses capped array extraction (`/data/*/id`) and, when a target model is supplied, an `arrayContains` semantic assertion. CHAT_MINIMAL and EMBED_MINIMAL use provider-specific fixed JSON templates with safe serialization and tiny output caps. User text is not interpolated into billable MVP probes.</w:t>
      </w:r>
    </w:p>
    <w:tbl>
      <w:tblPr>
        <w:tblW w:w="9000" w:type="dxa"/>
      </w:tblPr>
      <w:tr>
        <w:tc>
          <w:tcPr>
            <w:shd w:fill="F5F7F9"/>
          </w:tcPr>
          <w:p>
            <w:r>
              <w:rPr>
                <w:rFonts w:ascii="Consolas" w:hAnsi="Consolas"/>
                <w:sz w:val="12"/>
              </w:rPr>
              <w:t>LIST_MODELS</w:t>
            </w:r>
            <w:r>
              <w:br/>
            </w:r>
            <w:r>
              <w:rPr>
                <w:rFonts w:ascii="Consolas" w:hAnsi="Consolas"/>
                <w:sz w:val="12"/>
              </w:rPr>
              <w:t>extract: /data/*/id</w:t>
            </w:r>
            <w:r>
              <w:br/>
            </w:r>
            <w:r>
              <w:rPr>
                <w:rFonts w:ascii="Consolas" w:hAnsi="Consolas"/>
                <w:sz w:val="12"/>
              </w:rPr>
              <w:t>maxItems: 256</w:t>
            </w:r>
            <w:r>
              <w:br/>
            </w:r>
            <w:r>
              <w:rPr>
                <w:rFonts w:ascii="Consolas" w:hAnsi="Consolas"/>
                <w:sz w:val="12"/>
              </w:rPr>
              <w:t>expect: arrayContains(target.model)</w:t>
            </w:r>
            <w:r>
              <w:br/>
            </w:r>
            <w:r>
              <w:rPr>
                <w:rFonts w:ascii="Consolas" w:hAnsi="Consolas"/>
                <w:sz w:val="12"/>
              </w:rPr>
              <w:t/>
            </w:r>
            <w:r>
              <w:br/>
            </w:r>
            <w:r>
              <w:rPr>
                <w:rFonts w:ascii="Consolas" w:hAnsi="Consolas"/>
                <w:sz w:val="12"/>
              </w:rPr>
              <w:t>CHAT_MINIMAL / EMBED_MINIMAL</w:t>
            </w:r>
            <w:r>
              <w:br/>
            </w:r>
            <w:r>
              <w:rPr>
                <w:rFonts w:ascii="Consolas" w:hAnsi="Consolas"/>
                <w:sz w:val="12"/>
              </w:rPr>
              <w:t>fixed provider-specific JSON template</w:t>
            </w:r>
            <w:r>
              <w:br/>
            </w:r>
            <w:r>
              <w:rPr>
                <w:rFonts w:ascii="Consolas" w:hAnsi="Consolas"/>
                <w:sz w:val="12"/>
              </w:rPr>
              <w:t>outputCapBytes: 4096</w:t>
            </w:r>
            <w:r>
              <w:br/>
            </w:r>
            <w:r>
              <w:rPr>
                <w:rFonts w:ascii="Consolas" w:hAnsi="Consolas"/>
                <w:sz w:val="12"/>
              </w:rPr>
              <w:t>safe JSON serializer: required</w:t>
            </w:r>
          </w:p>
        </w:tc>
      </w:tr>
    </w:tbl>
    <w:p>
      <w:pPr>
        <w:pStyle w:val="Normal"/>
      </w:pPr>
      <w:r>
        <w:rPr>
          <w:rFonts w:ascii="Aptos" w:hAnsi="Aptos"/>
          <w:sz w:val="17"/>
          <w:color w:val="243342"/>
        </w:rPr>
        <w:t>Billable probes must declare POSSIBLE_CHARGE or HIGH_CHARGE where applicable, explicit output caps and reviewed safe-body templates.</w:t>
      </w:r>
    </w:p>
    <w:p>
      <w:pPr>
        <w:pStyle w:val="Heading1"/>
        <w:spacing w:before="240" w:after="120"/>
      </w:pPr>
      <w:r>
        <w:rPr>
          <w:rFonts w:ascii="Aptos Display" w:hAnsi="Aptos Display"/>
          <w:color w:val="17324D"/>
        </w:rPr>
        <w:t>10. Provider Adapter Architecture</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7"/>
              </w:rPr>
              <w:t>packages/providers/</w:t>
            </w:r>
            <w:r>
              <w:br/>
            </w:r>
            <w:r>
              <w:rPr>
                <w:rFonts w:ascii="Consolas" w:hAnsi="Consolas"/>
                <w:color w:val="334155"/>
                <w:sz w:val="17"/>
              </w:rPr>
              <w:t xml:space="preserve">  protocols/</w:t>
            </w:r>
            <w:r>
              <w:br/>
            </w:r>
            <w:r>
              <w:rPr>
                <w:rFonts w:ascii="Consolas" w:hAnsi="Consolas"/>
                <w:color w:val="334155"/>
                <w:sz w:val="17"/>
              </w:rPr>
              <w:t xml:space="preserve">    openai-compatible.manifest.json</w:t>
            </w:r>
            <w:r>
              <w:br/>
            </w:r>
            <w:r>
              <w:rPr>
                <w:rFonts w:ascii="Consolas" w:hAnsi="Consolas"/>
                <w:color w:val="334155"/>
                <w:sz w:val="17"/>
              </w:rPr>
              <w:t xml:space="preserve">  manifests/</w:t>
            </w:r>
            <w:r>
              <w:br/>
            </w:r>
            <w:r>
              <w:rPr>
                <w:rFonts w:ascii="Consolas" w:hAnsi="Consolas"/>
                <w:color w:val="334155"/>
                <w:sz w:val="17"/>
              </w:rPr>
              <w:t xml:space="preserve">    openai.json</w:t>
            </w:r>
            <w:r>
              <w:br/>
            </w:r>
            <w:r>
              <w:rPr>
                <w:rFonts w:ascii="Consolas" w:hAnsi="Consolas"/>
                <w:color w:val="334155"/>
                <w:sz w:val="17"/>
              </w:rPr>
              <w:t xml:space="preserve">    gemini.json</w:t>
            </w:r>
            <w:r>
              <w:br/>
            </w:r>
            <w:r>
              <w:rPr>
                <w:rFonts w:ascii="Consolas" w:hAnsi="Consolas"/>
                <w:color w:val="334155"/>
                <w:sz w:val="17"/>
              </w:rPr>
              <w:t xml:space="preserve">    anthropic.json</w:t>
            </w:r>
            <w:r>
              <w:br/>
            </w:r>
            <w:r>
              <w:rPr>
                <w:rFonts w:ascii="Consolas" w:hAnsi="Consolas"/>
                <w:color w:val="334155"/>
                <w:sz w:val="17"/>
              </w:rPr>
              <w:t xml:space="preserve">    mistral.json</w:t>
            </w:r>
            <w:r>
              <w:br/>
            </w:r>
            <w:r>
              <w:rPr>
                <w:rFonts w:ascii="Consolas" w:hAnsi="Consolas"/>
                <w:color w:val="334155"/>
                <w:sz w:val="17"/>
              </w:rPr>
              <w:t xml:space="preserve">    groq.json</w:t>
            </w:r>
            <w:r>
              <w:br/>
            </w:r>
            <w:r>
              <w:rPr>
                <w:rFonts w:ascii="Consolas" w:hAnsi="Consolas"/>
                <w:color w:val="334155"/>
                <w:sz w:val="17"/>
              </w:rPr>
              <w:t xml:space="preserve">    openrouter.json</w:t>
            </w:r>
            <w:r>
              <w:br/>
            </w:r>
            <w:r>
              <w:rPr>
                <w:rFonts w:ascii="Consolas" w:hAnsi="Consolas"/>
                <w:color w:val="334155"/>
                <w:sz w:val="17"/>
              </w:rPr>
              <w:t xml:space="preserve">    github.json</w:t>
            </w:r>
            <w:r>
              <w:br/>
            </w:r>
            <w:r>
              <w:rPr>
                <w:rFonts w:ascii="Consolas" w:hAnsi="Consolas"/>
                <w:color w:val="334155"/>
                <w:sz w:val="17"/>
              </w:rPr>
              <w:t xml:space="preserve">  code/</w:t>
            </w:r>
            <w:r>
              <w:br/>
            </w:r>
            <w:r>
              <w:rPr>
                <w:rFonts w:ascii="Consolas" w:hAnsi="Consolas"/>
                <w:color w:val="334155"/>
                <w:sz w:val="17"/>
              </w:rPr>
              <w:t xml:space="preserve">    aws-sigv4.ts         # future/local only</w:t>
            </w:r>
            <w:r>
              <w:br/>
            </w:r>
            <w:r>
              <w:rPr>
                <w:rFonts w:ascii="Consolas" w:hAnsi="Consolas"/>
                <w:color w:val="334155"/>
                <w:sz w:val="17"/>
              </w:rPr>
              <w:t xml:space="preserve">    oauth-flow.ts        # future/local only</w:t>
            </w:r>
          </w:p>
        </w:tc>
      </w:tr>
    </w:tbl>
    <w:p>
      <w:pPr>
        <w:spacing w:after="20"/>
      </w:pPr>
    </w:p>
    <w:p>
      <w:pPr>
        <w:spacing w:after="100" w:line="252" w:lineRule="auto"/>
      </w:pPr>
      <w:r>
        <w:rPr>
          <w:rFonts w:ascii="Aptos" w:hAnsi="Aptos"/>
          <w:color w:val="243342"/>
          <w:sz w:val="18"/>
        </w:rPr>
        <w:t>A shared protocol manifest may be inherited by multiple providers when behavior is genuinely compatible. Provider-specific endpoints, error codes, model behavior and headers remain in the child manifest. The manifest is the source of truth for capability metadata; Appendix D is generated from the manifests.</w:t>
      </w:r>
    </w:p>
    <w:p>
      <w:pPr>
        <w:pStyle w:val="Heading2"/>
        <w:spacing w:before="180" w:after="80"/>
      </w:pPr>
      <w:r>
        <w:rPr>
          <w:rFonts w:ascii="Aptos" w:hAnsi="Aptos"/>
          <w:color w:val="0F766E"/>
        </w:rPr>
        <w:t>10.1 MVP adapter set</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Provider</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Auth</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Host</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MVP intents</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Execution</w:t>
            </w:r>
          </w:p>
        </w:tc>
      </w:tr>
      <w:tr>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OpenAI</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API_KEY</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api.openai.com</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LIST_MODELS, CHAT_MINIMAL, EMBED_MINIMAL</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Gemini</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API_KEY</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generativelanguage.googleapis.com</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LIST_MODELS, CHAT_MINIMAL, EMBED_MINIMAL</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Anthropic</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API_KEY</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api.anthropic.com</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LIST_MODELS, CHAT_MINIMAL</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Mistral</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API_KEY</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api.mistral.ai</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LIST_MODELS, CHAT_MINIMAL, EMBED_MINIMAL</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Groq</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BEARER_TOKEN</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api.groq.com</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LIST_MODELS, CHAT_MINIMAL</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OpenRouter</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API_KEY</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openrouter.ai</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LIST_MODELS, CHAT_MINIMAL</w:t>
            </w:r>
          </w:p>
        </w:tc>
        <w:tc>
          <w:tcPr>
            <w:tcW w:type="dxa" w:w="1999"/>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 local</w:t>
            </w:r>
          </w:p>
        </w:tc>
      </w:tr>
      <w:tr>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GitHub</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BEARER_TOKEN</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api.github.com</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IDENTITY, RESOURCE_READ</w:t>
            </w:r>
          </w:p>
        </w:tc>
        <w:tc>
          <w:tcPr>
            <w:tcW w:type="dxa" w:w="1999"/>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Local-first; hosted policy review if enabled</w:t>
            </w:r>
          </w:p>
        </w:tc>
      </w:tr>
    </w:tbl>
    <w:p>
      <w:pPr>
        <w:pStyle w:val="Heading 2"/>
      </w:pPr>
      <w:r>
        <w:rPr>
          <w:rFonts w:ascii="Aptos" w:hAnsi="Aptos"/>
          <w:sz w:val="24"/>
          <w:color w:val="0F766E"/>
        </w:rPr>
        <w:t>10.2 Provider lifecycle and kill switch</w:t>
      </w:r>
    </w:p>
    <w:p>
      <w:pPr>
        <w:pStyle w:val="Normal"/>
      </w:pPr>
      <w:r>
        <w:rPr>
          <w:rFonts w:ascii="Aptos" w:hAnsi="Aptos"/>
          <w:sz w:val="18"/>
          <w:color w:val="243342"/>
        </w:rPr>
        <w:t>Every provider has lifecycle = ACTIVE | REVIEW | DEPRECATED | DISABLED | REMOVED. The runtime checks lifecycle before credential materialization. DISABLED or REMOVED providers produce SKIPPED(PROVIDER_DISABLED) and no outbound request. Disabling is an operator control that can be triggered by provider drift, terms changes, abuse signals or a security incident.</w:t>
      </w:r>
    </w:p>
    <w:tbl>
      <w:tblPr>
        <w:tblW w:w="9000" w:type="dxa"/>
      </w:tblPr>
      <w:tr>
        <w:tc>
          <w:shd w:fill="F5F7F9"/>
          <w:p>
            <w:r>
              <w:rPr>
                <w:rFonts w:ascii="Consolas" w:hAnsi="Consolas"/>
                <w:sz w:val="14"/>
              </w:rPr>
              <w:t>{</w:t>
            </w:r>
            <w:r>
              <w:br/>
            </w:r>
            <w:r>
              <w:rPr>
                <w:rFonts w:ascii="Consolas" w:hAnsi="Consolas"/>
                <w:sz w:val="14"/>
              </w:rPr>
              <w:t>  "providerId": "groq",</w:t>
            </w:r>
            <w:r>
              <w:br/>
            </w:r>
            <w:r>
              <w:rPr>
                <w:rFonts w:ascii="Consolas" w:hAnsi="Consolas"/>
                <w:sz w:val="14"/>
              </w:rPr>
              <w:t>  "lifecycle": "disabled",</w:t>
            </w:r>
            <w:r>
              <w:br/>
            </w:r>
            <w:r>
              <w:rPr>
                <w:rFonts w:ascii="Consolas" w:hAnsi="Consolas"/>
                <w:sz w:val="14"/>
              </w:rPr>
              <w:t>  "disabledReason": "Provider authentication behavior changed",</w:t>
            </w:r>
            <w:r>
              <w:br/>
            </w:r>
            <w:r>
              <w:rPr>
                <w:rFonts w:ascii="Consolas" w:hAnsi="Consolas"/>
                <w:sz w:val="14"/>
              </w:rPr>
              <w:t>  "disabledAt": "2026-10-01T12:00:00Z"</w:t>
            </w:r>
            <w:r>
              <w:br/>
            </w:r>
            <w:r>
              <w:rPr>
                <w:rFonts w:ascii="Consolas" w:hAnsi="Consolas"/>
                <w:sz w:val="14"/>
              </w:rPr>
              <w:t>}</w:t>
            </w:r>
          </w:p>
        </w:tc>
      </w:tr>
    </w:tbl>
    <w:p>
      <w:pPr>
        <w:pStyle w:val="Heading1"/>
        <w:spacing w:before="240" w:after="120"/>
      </w:pPr>
      <w:r>
        <w:rPr>
          <w:rFonts w:ascii="Aptos Display" w:hAnsi="Aptos Display"/>
          <w:color w:val="17324D"/>
        </w:rPr>
        <w:t>11. Diagnostic Status, Evidence &amp; Aggregation</w:t>
      </w:r>
    </w:p>
    <w:p>
      <w:pPr>
        <w:pStyle w:val="Heading2"/>
        <w:spacing w:before="180" w:after="80"/>
      </w:pPr>
      <w:r>
        <w:rPr>
          <w:rFonts w:ascii="Aptos" w:hAnsi="Aptos"/>
          <w:color w:val="0F766E"/>
        </w:rPr>
        <w:t>11.1 DiagnosticStatus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Status</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Meaning</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Default Overall</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HEALTHY</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Intent succeeded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HEALTHY</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INVALID_CREDENTIAL</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 evidence shows credential rejection</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KEY_TYPE_MISMATCH</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Credential/auth schema does not match provider expectation</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PERMISSION_DENIED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Credential recognized but selected operation not authorized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INSUFFICIENT_SCOPE</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 explicitly indicates scope mismatch</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QUOTA_EXHAUSTED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Credits/balance/quota exhausted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BILLING_REQUIRED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Billing/prepay prerequisite blocks operation</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MODEL_UNAVAILABLE</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Requested model/resource absent, retired or inaccessible</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ENDPOINT_MISCONFIGURED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Endpoint/path/deployment/version/resource context incorrect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FAILED</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RATE_LIMITED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Temporary throttling; outcome depends on time</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ORIGIN_RESTRICTED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IP/referrer/application restriction mismatch; execution origin differs</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REGION_BLOCKED</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Provider/target unavailable from current execution context</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NETWORK_TIMEOUT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No response within configured budget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TRANSIENT_PROVIDER_ERROR</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5xx/transport failure without enough provider evidence</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REDIRECT_BLOCKED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Redirect received but destination was not approved</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UNKNOWN</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Evidence insufficient to classify</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INCONCLUSIVE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UNSUPPORTED_INTENT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 cannot test intent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SKIPPED</w:t>
            </w:r>
          </w:p>
        </w:tc>
      </w:tr>
    </w:tbl>
    <w:p>
      <w:pPr>
        <w:pStyle w:val="Heading2"/>
        <w:spacing w:before="180" w:after="80"/>
      </w:pPr>
      <w:r>
        <w:rPr>
          <w:rFonts w:ascii="Aptos" w:hAnsi="Aptos"/>
          <w:color w:val="0F766E"/>
        </w:rPr>
        <w:t>11.2 Overall aggregation rules</w:t>
      </w:r>
    </w:p>
    <w:p>
      <w:pPr>
        <w:pStyle w:val="ListNumber"/>
        <w:spacing w:after="40"/>
      </w:pPr>
      <w:r>
        <w:rPr>
          <w:rFonts w:ascii="Aptos" w:hAnsi="Aptos"/>
          <w:sz w:val="18"/>
        </w:rPr>
        <w:t>Policy refusal before execution → `overall=SKIPPED`, `runState=BLOCKED`.</w:t>
      </w:r>
    </w:p>
    <w:p>
      <w:pPr>
        <w:pStyle w:val="ListNumber"/>
        <w:spacing w:after="40"/>
      </w:pPr>
      <w:r>
        <w:rPr>
          <w:rFonts w:ascii="Aptos" w:hAnsi="Aptos"/>
          <w:sz w:val="18"/>
        </w:rPr>
        <w:t>Unsupported intent or missing required context → `overall=SKIPPED`, `runState=BLOCKED`.</w:t>
      </w:r>
    </w:p>
    <w:p>
      <w:pPr>
        <w:pStyle w:val="ListNumber"/>
        <w:spacing w:after="40"/>
      </w:pPr>
      <w:r>
        <w:rPr>
          <w:rFonts w:ascii="Aptos" w:hAnsi="Aptos"/>
          <w:sz w:val="18"/>
        </w:rPr>
        <w:t>Strong prerequisite failure → dependent steps are `SKIPPED`; `overall=FAILED`; primary status is the root cause.</w:t>
      </w:r>
    </w:p>
    <w:p>
      <w:pPr>
        <w:pStyle w:val="ListNumber"/>
        <w:spacing w:after="40"/>
      </w:pPr>
      <w:r>
        <w:rPr>
          <w:rFonts w:ascii="Aptos" w:hAnsi="Aptos"/>
          <w:sz w:val="18"/>
        </w:rPr>
        <w:t>Selected intent succeeds → `overall=HEALTHY` unless there is conflicting terminal evidence or a policy violation.</w:t>
      </w:r>
    </w:p>
    <w:p>
      <w:pPr>
        <w:pStyle w:val="ListNumber"/>
        <w:spacing w:after="40"/>
      </w:pPr>
      <w:r>
        <w:rPr>
          <w:rFonts w:ascii="Aptos" w:hAnsi="Aptos"/>
          <w:sz w:val="18"/>
        </w:rPr>
        <w:t>Selected intent fails with a status whose default mapping is FAILED → `overall=FAILED`.</w:t>
      </w:r>
    </w:p>
    <w:p>
      <w:pPr>
        <w:pStyle w:val="ListNumber"/>
        <w:spacing w:after="40"/>
      </w:pPr>
      <w:r>
        <w:rPr>
          <w:rFonts w:ascii="Aptos" w:hAnsi="Aptos"/>
          <w:sz w:val="18"/>
        </w:rPr>
        <w:t>Selected intent fails with a status whose default mapping is INCONCLUSIVE → `overall=INCONCLUSIVE`.</w:t>
      </w:r>
    </w:p>
    <w:p>
      <w:pPr>
        <w:pStyle w:val="ListNumber"/>
        <w:spacing w:after="40"/>
      </w:pPr>
      <w:r>
        <w:rPr>
          <w:rFonts w:ascii="Aptos" w:hAnsi="Aptos"/>
          <w:sz w:val="18"/>
        </w:rPr>
        <w:t>Provider health INCIDENT + transient selected-intent failure → `overall=INCONCLUSIVE` unless provider-specific evidence identifies a different root cause.</w:t>
      </w:r>
    </w:p>
    <w:p>
      <w:pPr>
        <w:pStyle w:val="ListNumber"/>
        <w:spacing w:after="40"/>
      </w:pPr>
      <w:r>
        <w:rPr>
          <w:rFonts w:ascii="Aptos" w:hAnsi="Aptos"/>
          <w:sz w:val="18"/>
        </w:rPr>
        <w:t>Client cancellation → `runState=ABORTED`, `overall=INCONCLUSIVE`, `reasonCode=CLIENT_ABORTED`.</w:t>
      </w:r>
    </w:p>
    <w:p>
      <w:pPr>
        <w:pStyle w:val="ListNumber"/>
        <w:spacing w:after="40"/>
      </w:pPr>
      <w:r>
        <w:rPr>
          <w:rFonts w:ascii="Aptos" w:hAnsi="Aptos"/>
          <w:sz w:val="18"/>
        </w:rPr>
        <w:t>Conflicting equally authoritative classifier evidence → `overall=INCONCLUSIVE`.</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Important  </w:t>
            </w:r>
            <w:r>
              <w:rPr>
                <w:color w:val="243342"/>
                <w:sz w:val="18"/>
              </w:rPr>
              <w:t>HTTP status is only fallback evidence. Provider structured error codes and explicit provider semantics outrank generic 400/401/403/404/429/5xx mappings.</w:t>
            </w:r>
          </w:p>
        </w:tc>
      </w:tr>
    </w:tbl>
    <w:p>
      <w:pPr>
        <w:spacing w:after="20"/>
      </w:pPr>
    </w:p>
    <w:p>
      <w:pPr>
        <w:pStyle w:val="Heading2"/>
        <w:spacing w:before="180" w:after="80"/>
      </w:pPr>
      <w:r>
        <w:rPr>
          <w:rFonts w:ascii="Aptos" w:hAnsi="Aptos"/>
          <w:color w:val="0F766E"/>
        </w:rPr>
        <w:t>11.3 Evidence provenance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Field</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Meaning</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sourceType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PROVIDER_RESPONSE / TRANSPORT / LOCAL_RUNTIME / PROVIDER_STATUS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sourceLocator</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Header name, JSON pointer, transport field or status source.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observedValue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Allowlisted non-secret value only.</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evidenceStrength</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 / MEDIUM / LOW.</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verifiedAt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Timestamp of observation.</w:t>
            </w:r>
          </w:p>
        </w:tc>
      </w:tr>
    </w:tbl>
    <w:p>
      <w:pPr>
        <w:pStyle w:val="Heading1"/>
        <w:spacing w:before="240" w:after="120"/>
      </w:pPr>
      <w:r>
        <w:rPr>
          <w:rFonts w:ascii="Aptos Display" w:hAnsi="Aptos Display"/>
          <w:color w:val="17324D"/>
        </w:rPr>
        <w:t>12. Controlled Fetch &amp; Network Security</w:t>
      </w:r>
    </w:p>
    <w:p>
      <w:pPr>
        <w:pStyle w:val="Heading2"/>
        <w:spacing w:before="180" w:after="80"/>
      </w:pPr>
      <w:r>
        <w:rPr>
          <w:rFonts w:ascii="Aptos" w:hAnsi="Aptos"/>
          <w:color w:val="0F766E"/>
        </w:rPr>
        <w:t>12.1 Hosted policy</w:t>
      </w:r>
    </w:p>
    <w:p>
      <w:pPr>
        <w:pStyle w:val="ListBullet"/>
        <w:spacing w:after="40"/>
      </w:pPr>
      <w:r>
        <w:rPr>
          <w:rFonts w:ascii="Aptos" w:hAnsi="Aptos"/>
          <w:color w:val="243342"/>
          <w:sz w:val="18"/>
        </w:rPr>
        <w:t>HTTPS only.</w:t>
      </w:r>
    </w:p>
    <w:p>
      <w:pPr>
        <w:pStyle w:val="ListBullet"/>
        <w:spacing w:after="40"/>
      </w:pPr>
      <w:r>
        <w:rPr>
          <w:rFonts w:ascii="Aptos" w:hAnsi="Aptos"/>
          <w:color w:val="243342"/>
          <w:sz w:val="18"/>
        </w:rPr>
        <w:t>Exact host allowlist in MVP; no arbitrary hosted URL field.</w:t>
      </w:r>
    </w:p>
    <w:p>
      <w:pPr>
        <w:pStyle w:val="ListBullet"/>
        <w:spacing w:after="40"/>
      </w:pPr>
      <w:r>
        <w:rPr>
          <w:rFonts w:ascii="Aptos" w:hAnsi="Aptos"/>
          <w:color w:val="243342"/>
          <w:sz w:val="18"/>
        </w:rPr>
        <w:t>No IP literals, userinfo, non-default ports or fragments.</w:t>
      </w:r>
    </w:p>
    <w:p>
      <w:pPr>
        <w:pStyle w:val="ListBullet"/>
        <w:spacing w:after="40"/>
      </w:pPr>
      <w:r>
        <w:rPr>
          <w:rFonts w:ascii="Aptos" w:hAnsi="Aptos"/>
          <w:color w:val="243342"/>
          <w:sz w:val="18"/>
        </w:rPr>
        <w:t>No user-controlled proxy, DNS server, socket or raw TCP settings.</w:t>
      </w:r>
    </w:p>
    <w:p>
      <w:pPr>
        <w:pStyle w:val="ListBullet"/>
        <w:spacing w:after="40"/>
      </w:pPr>
      <w:r>
        <w:rPr>
          <w:rFonts w:ascii="Aptos" w:hAnsi="Aptos"/>
          <w:color w:val="243342"/>
          <w:sz w:val="18"/>
        </w:rPr>
        <w:t>`redirect: manual` on every provider fetch.</w:t>
      </w:r>
    </w:p>
    <w:p>
      <w:pPr>
        <w:pStyle w:val="ListBullet"/>
        <w:spacing w:after="40"/>
      </w:pPr>
      <w:r>
        <w:rPr>
          <w:rFonts w:ascii="Aptos" w:hAnsi="Aptos"/>
          <w:color w:val="243342"/>
          <w:sz w:val="18"/>
        </w:rPr>
        <w:t>Any redirect is `REDIRECT_BLOCKED` unless a future reviewed policy validates the destination before a second request.</w:t>
      </w:r>
    </w:p>
    <w:p>
      <w:pPr>
        <w:pStyle w:val="ListBullet"/>
        <w:spacing w:after="40"/>
      </w:pPr>
      <w:r>
        <w:rPr>
          <w:rFonts w:ascii="Aptos" w:hAnsi="Aptos"/>
          <w:color w:val="243342"/>
          <w:sz w:val="18"/>
        </w:rPr>
        <w:t>Final resolved authority and headers are validated immediately before fetch.</w:t>
      </w:r>
    </w:p>
    <w:p>
      <w:pPr>
        <w:pStyle w:val="ListBullet"/>
        <w:spacing w:after="40"/>
      </w:pPr>
      <w:r>
        <w:rPr>
          <w:rFonts w:ascii="Aptos" w:hAnsi="Aptos"/>
          <w:color w:val="243342"/>
          <w:sz w:val="18"/>
        </w:rPr>
        <w:t>Hosted secret placement is header-only.</w:t>
      </w:r>
    </w:p>
    <w:p>
      <w:pPr>
        <w:pStyle w:val="ListBullet"/>
        <w:spacing w:after="40"/>
      </w:pPr>
      <w:r>
        <w:rPr>
          <w:rFonts w:ascii="Aptos" w:hAnsi="Aptos"/>
          <w:color w:val="243342"/>
          <w:sz w:val="18"/>
        </w:rPr>
        <w:t>Provider methods are GET/POST only for manifest v1.</w:t>
      </w:r>
    </w:p>
    <w:p>
      <w:pPr>
        <w:pStyle w:val="ListBullet"/>
        <w:spacing w:after="40"/>
      </w:pPr>
      <w:r>
        <w:rPr>
          <w:rFonts w:ascii="Aptos" w:hAnsi="Aptos"/>
          <w:color w:val="243342"/>
          <w:sz w:val="18"/>
        </w:rPr>
        <w:t>Request body cap = 32 KiB.</w:t>
      </w:r>
    </w:p>
    <w:p>
      <w:pPr>
        <w:pStyle w:val="ListBullet"/>
        <w:spacing w:after="40"/>
      </w:pPr>
      <w:r>
        <w:rPr>
          <w:rFonts w:ascii="Aptos" w:hAnsi="Aptos"/>
          <w:color w:val="243342"/>
          <w:sz w:val="18"/>
        </w:rPr>
        <w:t>Provider response diagnostic cap = 128 KiB decoded bytes; enforce while streaming.</w:t>
      </w:r>
    </w:p>
    <w:p>
      <w:pPr>
        <w:pStyle w:val="ListBullet"/>
        <w:spacing w:after="40"/>
      </w:pPr>
      <w:r>
        <w:rPr>
          <w:rFonts w:ascii="Aptos" w:hAnsi="Aptos"/>
          <w:color w:val="243342"/>
          <w:sz w:val="18"/>
        </w:rPr>
        <w:t>Provider timeout = 6 seconds default; total hosted test budget = 8 seconds.</w:t>
      </w:r>
    </w:p>
    <w:p>
      <w:pPr>
        <w:pStyle w:val="Heading2"/>
        <w:spacing w:before="180" w:after="80"/>
      </w:pPr>
      <w:r>
        <w:rPr>
          <w:rFonts w:ascii="Aptos" w:hAnsi="Aptos"/>
          <w:color w:val="0F766E"/>
        </w:rPr>
        <w:t>12.2 Local policy</w:t>
      </w:r>
    </w:p>
    <w:p>
      <w:pPr>
        <w:spacing w:after="100" w:line="252" w:lineRule="auto"/>
      </w:pPr>
      <w:r>
        <w:rPr>
          <w:rFonts w:ascii="Aptos" w:hAnsi="Aptos"/>
          <w:color w:val="243342"/>
          <w:sz w:val="18"/>
        </w:rPr>
        <w:t>Local execution may support tenant-specific or private/self-hosted HTTP endpoints because the user owns the network boundary. The CLI must still show a confirmation for private/internal destinations, disable redirects by default, and require explicit dangerous mode for arbitrary custom hosts.</w:t>
      </w:r>
    </w:p>
    <w:p>
      <w:pPr>
        <w:pStyle w:val="Heading2"/>
        <w:spacing w:before="180" w:after="80"/>
      </w:pPr>
      <w:r>
        <w:rPr>
          <w:rFonts w:ascii="Aptos" w:hAnsi="Aptos"/>
          <w:color w:val="0F766E"/>
        </w:rPr>
        <w:t>12.3 Why not DNS-based private-IP blocking in Worker?</w:t>
      </w:r>
    </w:p>
    <w:p>
      <w:pPr>
        <w:spacing w:after="100" w:line="252" w:lineRule="auto"/>
      </w:pPr>
      <w:r>
        <w:rPr>
          <w:rFonts w:ascii="Aptos" w:hAnsi="Aptos"/>
          <w:color w:val="243342"/>
          <w:sz w:val="18"/>
        </w:rPr>
        <w:t>The Worker should not claim that it can inspect every outbound DNS resolution address. The enforceable hosted controls are exact host policy, URL syntax restrictions, HTTPS, no arbitrary hosts, and manual redirects. Cloudflare's network isolation is defense in depth, not the application's sole SSRF control.</w:t>
      </w:r>
    </w:p>
    <w:p>
      <w:pPr>
        <w:pStyle w:val="Heading2"/>
      </w:pPr>
      <w:r>
        <w:rPr>
          <w:rFonts w:ascii="Aptos" w:hAnsi="Aptos"/>
          <w:sz w:val="24"/>
          <w:color w:val="0F766E"/>
        </w:rPr>
        <w:t>12.4 Web/API security boundary</w:t>
      </w:r>
    </w:p>
    <w:p>
      <w:pPr>
        <w:pStyle w:val="Normal"/>
      </w:pPr>
      <w:r>
        <w:rPr>
          <w:rFonts w:ascii="Aptos" w:hAnsi="Aptos"/>
          <w:sz w:val="17"/>
          <w:color w:val="243342"/>
        </w:rPr>
        <w:t>Hosted responses must set: Content-Security-Policy with only required same-origin and Turnstile allowances; Strict-Transport-Security; X-Content-Type-Options: nosniff; Referrer-Policy: no-referrer; Permissions-Policy disabling unused capabilities; frame-ancestors 'none'; and Cache-Control: no-store on credential-bearing API responses.</w:t>
      </w:r>
    </w:p>
    <w:p>
      <w:pPr>
        <w:pStyle w:val="Heading2"/>
      </w:pPr>
      <w:r>
        <w:rPr>
          <w:rFonts w:ascii="Aptos" w:hAnsi="Aptos"/>
          <w:sz w:val="24"/>
          <w:color w:val="0F766E"/>
        </w:rPr>
        <w:t>12.5 Origin, CORS and CSRF controls</w:t>
      </w:r>
    </w:p>
    <w:p>
      <w:pPr>
        <w:pStyle w:val="Normal"/>
      </w:pPr>
      <w:r>
        <w:rPr>
          <w:rFonts w:ascii="Aptos" w:hAnsi="Aptos"/>
          <w:sz w:val="17"/>
          <w:color w:val="243342"/>
        </w:rPr>
        <w:t>Credential-test browser requests require Content-Type: application/json and an allowed Origin matching the API HealthLab web origin. Credential-test CORS is deny-by-default. Unexpected origins are rejected before credential materialization. CLI requests use the local execution path and do not rely on browser CORS.</w:t>
      </w:r>
    </w:p>
    <w:p>
      <w:pPr>
        <w:pStyle w:val="Heading2"/>
      </w:pPr>
      <w:r>
        <w:rPr>
          <w:rFonts w:ascii="Aptos" w:hAnsi="Aptos"/>
          <w:sz w:val="24"/>
          <w:color w:val="0F766E"/>
        </w:rPr>
        <w:t>12.6 Header and outbound request policy</w:t>
      </w:r>
    </w:p>
    <w:p>
      <w:pPr>
        <w:pStyle w:val="Normal"/>
      </w:pPr>
      <w:r>
        <w:rPr>
          <w:rFonts w:ascii="Aptos" w:hAnsi="Aptos"/>
          <w:sz w:val="17"/>
          <w:color w:val="243342"/>
        </w:rPr>
        <w:t>Allowed headers: Authorization, Accept, Content-Type and explicitly declared provider-authentication headers. Reject Host, Content-Length, Cookie, Connection, Transfer-Encoding, Proxy-Authorization, Forwarded, X-Forwarded-*, Upgrade and other hop-by-hop/proxy headers. Manifest v1 allows GET and POST only and every request sends an honest `User-Agent: API-HealthLab/&lt;version&gt;`.</w:t>
      </w:r>
    </w:p>
    <w:p>
      <w:pPr>
        <w:pStyle w:val="Heading2"/>
      </w:pPr>
      <w:r>
        <w:rPr>
          <w:rFonts w:ascii="Aptos" w:hAnsi="Aptos"/>
          <w:sz w:val="24"/>
          <w:color w:val="0F766E"/>
        </w:rPr>
        <w:t>12.7 Parser/resource safety limits</w:t>
      </w:r>
    </w:p>
    <w:p>
      <w:pPr>
        <w:pStyle w:val="Normal"/>
      </w:pPr>
      <w:r>
        <w:rPr>
          <w:rFonts w:ascii="Aptos" w:hAnsi="Aptos"/>
          <w:sz w:val="17"/>
          <w:color w:val="243342"/>
        </w:rPr>
        <w:t>Hosted response processing limits are: 128 KiB decoded body; 128 KiB response headers; maximum JSON nesting depth 20; maximum extracted evidence items 64; maximum extracted string length 512; maximum array items 256; 32 KiB hosted request body; and streaming decoded-byte enforcement before JSON parsing. Compressed responses are bounded after decompression.</w:t>
      </w:r>
    </w:p>
    <w:p>
      <w:pPr>
        <w:pStyle w:val="Heading1"/>
        <w:spacing w:before="240" w:after="120"/>
      </w:pPr>
      <w:r>
        <w:rPr>
          <w:rFonts w:ascii="Aptos Display" w:hAnsi="Aptos Display"/>
          <w:color w:val="17324D"/>
        </w:rPr>
        <w:t>13. Secret Handling, Redaction &amp; Data Exposure</w:t>
      </w:r>
    </w:p>
    <w:p>
      <w:pPr>
        <w:pStyle w:val="Heading2"/>
        <w:spacing w:before="180" w:after="80"/>
      </w:pPr>
      <w:r>
        <w:rPr>
          <w:rFonts w:ascii="Aptos" w:hAnsi="Aptos"/>
          <w:color w:val="0F766E"/>
        </w:rPr>
        <w:t>13.1 Secret lifecycle</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7"/>
              </w:rPr>
              <w:t>Input → Typed SecretValue → execution context → auth/header builder → provider fetch</w:t>
            </w:r>
            <w:r>
              <w:br/>
            </w:r>
            <w:r>
              <w:rPr>
                <w:rFonts w:ascii="Consolas" w:hAnsi="Consolas"/>
                <w:color w:val="334155"/>
                <w:sz w:val="17"/>
              </w:rPr>
              <w:t xml:space="preserve">                                  ↓</w:t>
            </w:r>
            <w:r>
              <w:br/>
            </w:r>
            <w:r>
              <w:rPr>
                <w:rFonts w:ascii="Consolas" w:hAnsi="Consolas"/>
                <w:color w:val="334155"/>
                <w:sz w:val="17"/>
              </w:rPr>
              <w:t xml:space="preserve">                       RedactionContext.register(...)</w:t>
            </w:r>
            <w:r>
              <w:br/>
            </w:r>
            <w:r>
              <w:rPr>
                <w:rFonts w:ascii="Consolas" w:hAnsi="Consolas"/>
                <w:color w:val="334155"/>
                <w:sz w:val="17"/>
              </w:rPr>
              <w:t xml:space="preserve">                                  ↓</w:t>
            </w:r>
            <w:r>
              <w:br/>
            </w:r>
            <w:r>
              <w:rPr>
                <w:rFonts w:ascii="Consolas" w:hAnsi="Consolas"/>
                <w:color w:val="334155"/>
                <w:sz w:val="17"/>
              </w:rPr>
              <w:t xml:space="preserve">                       approved Evidence only</w:t>
            </w:r>
            <w:r>
              <w:br/>
            </w:r>
            <w:r>
              <w:rPr>
                <w:rFonts w:ascii="Consolas" w:hAnsi="Consolas"/>
                <w:color w:val="334155"/>
                <w:sz w:val="17"/>
              </w:rPr>
              <w:t xml:space="preserve">                                  ↓</w:t>
            </w:r>
            <w:r>
              <w:br/>
            </w:r>
            <w:r>
              <w:rPr>
                <w:rFonts w:ascii="Consolas" w:hAnsi="Consolas"/>
                <w:color w:val="334155"/>
                <w:sz w:val="17"/>
              </w:rPr>
              <w:t xml:space="preserve">                       RunResult / UI / logs</w:t>
            </w:r>
          </w:p>
        </w:tc>
      </w:tr>
    </w:tbl>
    <w:p>
      <w:pPr>
        <w:spacing w:after="20"/>
      </w:pPr>
    </w:p>
    <w:p>
      <w:pPr>
        <w:pStyle w:val="ListBullet"/>
        <w:spacing w:after="40"/>
      </w:pPr>
      <w:r>
        <w:rPr>
          <w:rFonts w:ascii="Aptos" w:hAnsi="Aptos"/>
          <w:color w:val="243342"/>
          <w:sz w:val="18"/>
        </w:rPr>
        <w:t>The runtime type `Secret` is a compile-time marker only; it is not a memory-erasure guarantee.</w:t>
      </w:r>
    </w:p>
    <w:p>
      <w:pPr>
        <w:pStyle w:val="ListBullet"/>
        <w:spacing w:after="40"/>
      </w:pPr>
      <w:r>
        <w:rPr>
          <w:rFonts w:ascii="Aptos" w:hAnsi="Aptos"/>
          <w:color w:val="243342"/>
          <w:sz w:val="18"/>
        </w:rPr>
        <w:t>A runtime SecretValue wrapper must override `toJSON()` and `toString()` to return `[REDACTED]`.</w:t>
      </w:r>
    </w:p>
    <w:p>
      <w:pPr>
        <w:pStyle w:val="ListBullet"/>
        <w:spacing w:after="40"/>
      </w:pPr>
      <w:r>
        <w:rPr>
          <w:rFonts w:ascii="Aptos" w:hAnsi="Aptos"/>
          <w:color w:val="243342"/>
          <w:sz w:val="18"/>
        </w:rPr>
        <w:t>Only the request/auth layer can call `reveal()`.</w:t>
      </w:r>
    </w:p>
    <w:p>
      <w:pPr>
        <w:pStyle w:val="ListBullet"/>
        <w:spacing w:after="40"/>
      </w:pPr>
      <w:r>
        <w:rPr>
          <w:rFonts w:ascii="Aptos" w:hAnsi="Aptos"/>
          <w:color w:val="243342"/>
          <w:sz w:val="18"/>
        </w:rPr>
        <w:t>Derived secrets created during runtime—OAuth access tokens, JWT assertions, SigV4 signatures and session tokens—must register immediately in RedactionContext.</w:t>
      </w:r>
    </w:p>
    <w:p>
      <w:pPr>
        <w:pStyle w:val="ListBullet"/>
        <w:spacing w:after="40"/>
      </w:pPr>
      <w:r>
        <w:rPr>
          <w:rFonts w:ascii="Aptos" w:hAnsi="Aptos"/>
          <w:color w:val="243342"/>
          <w:sz w:val="18"/>
        </w:rPr>
        <w:t>Raw provider bodies are never returned in MVP.</w:t>
      </w:r>
    </w:p>
    <w:p>
      <w:pPr>
        <w:pStyle w:val="ListBullet"/>
        <w:spacing w:after="40"/>
      </w:pPr>
      <w:r>
        <w:rPr>
          <w:rFonts w:ascii="Aptos" w:hAnsi="Aptos"/>
          <w:color w:val="243342"/>
          <w:sz w:val="18"/>
        </w:rPr>
        <w:t>Raw credentials never enter analytics, session replay, logs, error trackers, exports or snippets.</w:t>
      </w:r>
    </w:p>
    <w:p>
      <w:pPr>
        <w:pStyle w:val="ListBullet"/>
        <w:spacing w:after="40"/>
      </w:pPr>
      <w:r>
        <w:rPr>
          <w:rFonts w:ascii="Aptos" w:hAnsi="Aptos"/>
          <w:color w:val="243342"/>
          <w:sz w:val="18"/>
        </w:rPr>
        <w:t>Cache-Control: no-store is mandatory on credential-bearing responses.</w:t>
      </w:r>
    </w:p>
    <w:p>
      <w:pPr>
        <w:pStyle w:val="Heading2"/>
        <w:spacing w:before="180" w:after="80"/>
      </w:pPr>
      <w:r>
        <w:rPr>
          <w:rFonts w:ascii="Aptos" w:hAnsi="Aptos"/>
          <w:color w:val="0F766E"/>
        </w:rPr>
        <w:t>13.2 Fail closed</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Failure rule  </w:t>
            </w:r>
            <w:r>
              <w:rPr>
                <w:color w:val="243342"/>
                <w:sz w:val="18"/>
              </w:rPr>
              <w:t>If redaction initialization or output-safety verification fails, do not emit provider response content. Return a generic safe error and terminate the diagnostic.</w:t>
            </w:r>
          </w:p>
        </w:tc>
      </w:tr>
    </w:tbl>
    <w:p>
      <w:pPr>
        <w:spacing w:after="20"/>
      </w:pPr>
    </w:p>
    <w:p>
      <w:pPr>
        <w:pStyle w:val="Heading1"/>
        <w:spacing w:before="240" w:after="120"/>
      </w:pPr>
      <w:r>
        <w:rPr>
          <w:rFonts w:ascii="Aptos Display" w:hAnsi="Aptos Display"/>
          <w:color w:val="17324D"/>
        </w:rPr>
        <w:t>14. Hosted Abuse Controls &amp; Cloudflare Architecture</w:t>
      </w:r>
    </w:p>
    <w:p>
      <w:pPr>
        <w:pStyle w:val="Heading2"/>
        <w:spacing w:before="180" w:after="80"/>
      </w:pPr>
      <w:r>
        <w:rPr>
          <w:rFonts w:ascii="Aptos" w:hAnsi="Aptos"/>
          <w:color w:val="0F766E"/>
        </w:rPr>
        <w:t>14.1 Initial limits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Control</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Initial value</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Behavior</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Per-source credential tests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3 per 15 minutes per provider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HTTP 429 before provider call; Retry-After header.</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Per-source error diagnosis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10 per 10 minutes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HTTP 429; no credential involved.</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admission budget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100 accepted credential tests per 15 minutes per provider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Further hosted tests return 429/provider-budget reason; local CLI remains available.</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Maximum credential test steps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4</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Hard policy limit.</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Maximum provider requests/test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4</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Hard policy limit.</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Automatic retries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0</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Never retry provider calls.</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 batch size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 credential / request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Batch payload rejected.</w:t>
            </w:r>
          </w:p>
        </w:tc>
      </w:tr>
    </w:tbl>
    <w:p>
      <w:pPr>
        <w:spacing w:after="100" w:line="252" w:lineRule="auto"/>
      </w:pPr>
      <w:r>
        <w:rPr>
          <w:rFonts w:ascii="Aptos" w:hAnsi="Aptos"/>
          <w:color w:val="243342"/>
          <w:sz w:val="18"/>
        </w:rPr>
        <w:t>The source limit is intentionally per provider. A developer may test different providers without one provider's abuse policy consuming all other providers' allowance. The provider budget protects API HealthLab's shared upstream egress reputation.</w:t>
      </w:r>
    </w:p>
    <w:p>
      <w:pPr>
        <w:pStyle w:val="Heading2"/>
        <w:spacing w:before="180" w:after="80"/>
      </w:pPr>
      <w:r>
        <w:rPr>
          <w:rFonts w:ascii="Aptos" w:hAnsi="Aptos"/>
          <w:color w:val="0F766E"/>
        </w:rPr>
        <w:t>14.2 Durable Object strategy</w:t>
      </w:r>
    </w:p>
    <w:p>
      <w:pPr>
        <w:spacing w:after="100" w:line="252" w:lineRule="auto"/>
      </w:pPr>
      <w:r>
        <w:rPr>
          <w:rFonts w:ascii="Aptos" w:hAnsi="Aptos"/>
          <w:color w:val="243342"/>
          <w:sz w:val="18"/>
        </w:rPr>
        <w:t>MVP uses a provider-scoped Durable Object for admission control. One admission request updates short-lived counters and returns a lease/decision. To avoid a second mandatory storage write per test, the provider budget is based on admitted test attempts rather than only failed-auth outcomes. This keeps the hot path to one authoritative DO decision plus the provider request.</w:t>
      </w:r>
    </w:p>
    <w:p>
      <w:pPr>
        <w:spacing w:after="100" w:line="252" w:lineRule="auto"/>
      </w:pPr>
      <w:r>
        <w:rPr>
          <w:rFonts w:ascii="Aptos" w:hAnsi="Aptos"/>
          <w:color w:val="243342"/>
          <w:sz w:val="18"/>
        </w:rPr>
        <w:t>If traffic grows beyond the free-tier design, source admission can be sharded by a pseudonymous HMAC token while the provider safety budget remains separately coordinated. The sharding change requires an ADR.</w:t>
      </w:r>
    </w:p>
    <w:p>
      <w:pPr>
        <w:pStyle w:val="Heading2"/>
        <w:spacing w:before="180" w:after="80"/>
      </w:pPr>
      <w:r>
        <w:rPr>
          <w:rFonts w:ascii="Aptos" w:hAnsi="Aptos"/>
          <w:color w:val="0F766E"/>
        </w:rPr>
        <w:t>14.3 Cloudflare free-tier design facts</w:t>
      </w:r>
    </w:p>
    <w:p>
      <w:pPr>
        <w:spacing w:after="100" w:line="252" w:lineRule="auto"/>
      </w:pPr>
      <w:r>
        <w:rPr>
          <w:rFonts w:ascii="Aptos" w:hAnsi="Aptos"/>
          <w:color w:val="243342"/>
          <w:sz w:val="18"/>
        </w:rPr>
        <w:t>As checked for this specification, Cloudflare Workers Free documents 100,000 requests/day, 10 ms CPU time per invocation, 50 subrequests/request and 6 simultaneous outgoing connections. SQLite-backed Durable Objects are available on Workers Free; Cloudflare documents a 100,000/day free Durable Object request allocation. Workers Cache is preferred for public provider-status responses, while the Cache API is not globally replicated outside its originating data center. These are release-time sizing facts, not permanent guarantees. Sources are listed in Appendix G.</w:t>
      </w:r>
    </w:p>
    <w:p>
      <w:pPr>
        <w:pStyle w:val="Heading2"/>
        <w:spacing w:before="180" w:after="80"/>
      </w:pPr>
      <w:r>
        <w:rPr>
          <w:rFonts w:ascii="Aptos" w:hAnsi="Aptos"/>
          <w:color w:val="0F766E"/>
        </w:rPr>
        <w:t>14.4 Turnstile</w:t>
      </w:r>
    </w:p>
    <w:p>
      <w:pPr>
        <w:pStyle w:val="ListBullet"/>
        <w:spacing w:after="40"/>
      </w:pPr>
      <w:r>
        <w:rPr>
          <w:rFonts w:ascii="Aptos" w:hAnsi="Aptos"/>
          <w:color w:val="243342"/>
          <w:sz w:val="18"/>
        </w:rPr>
        <w:t>Server-side Siteverify is mandatory.</w:t>
      </w:r>
    </w:p>
    <w:p>
      <w:pPr>
        <w:pStyle w:val="ListBullet"/>
        <w:spacing w:after="40"/>
      </w:pPr>
      <w:r>
        <w:rPr>
          <w:rFonts w:ascii="Aptos" w:hAnsi="Aptos"/>
          <w:color w:val="243342"/>
          <w:sz w:val="18"/>
        </w:rPr>
        <w:t>Validate `success`, expected `hostname`, expected `action`, and relevant error codes.</w:t>
      </w:r>
    </w:p>
    <w:p>
      <w:pPr>
        <w:pStyle w:val="ListBullet"/>
        <w:spacing w:after="40"/>
      </w:pPr>
      <w:r>
        <w:rPr>
          <w:rFonts w:ascii="Aptos" w:hAnsi="Aptos"/>
          <w:color w:val="243342"/>
          <w:sz w:val="18"/>
        </w:rPr>
        <w:t>Turnstile token is single-use and valid for five minutes according to Cloudflare's current documentation.</w:t>
      </w:r>
    </w:p>
    <w:p>
      <w:pPr>
        <w:pStyle w:val="ListBullet"/>
        <w:spacing w:after="40"/>
      </w:pPr>
      <w:r>
        <w:rPr>
          <w:rFonts w:ascii="Aptos" w:hAnsi="Aptos"/>
          <w:color w:val="243342"/>
          <w:sz w:val="18"/>
        </w:rPr>
        <w:t>Turnstile failure is a preflight HTTP 403 refusal and does not start a provider test stream.</w:t>
      </w:r>
    </w:p>
    <w:p>
      <w:pPr>
        <w:pStyle w:val="Heading2"/>
        <w:spacing w:before="180" w:after="80"/>
      </w:pPr>
      <w:r>
        <w:rPr>
          <w:rFonts w:ascii="Aptos" w:hAnsi="Aptos"/>
          <w:color w:val="0F766E"/>
        </w:rPr>
        <w:t>14.5 Graceful degradation</w:t>
      </w:r>
    </w:p>
    <w:p>
      <w:pPr>
        <w:spacing w:after="100" w:line="252" w:lineRule="auto"/>
      </w:pPr>
      <w:r>
        <w:rPr>
          <w:rFonts w:ascii="Aptos" w:hAnsi="Aptos"/>
          <w:color w:val="243342"/>
          <w:sz w:val="18"/>
        </w:rPr>
        <w:t>When hosted limits, provider admission budgets, or control-plane capacity are exhausted, the service should fail closed for credential tests and surface a clear “Hosted testing temporarily unavailable — use the local CLI” banner. The 99.5% availability target is an engineering objective, not a free-tier SLA.</w:t>
      </w:r>
    </w:p>
    <w:p>
      <w:pPr>
        <w:pStyle w:val="Heading1"/>
        <w:spacing w:before="240" w:after="120"/>
      </w:pPr>
      <w:r>
        <w:rPr>
          <w:rFonts w:ascii="Aptos Display" w:hAnsi="Aptos Display"/>
          <w:color w:val="17324D"/>
        </w:rPr>
        <w:t>15. NDJSON Transport &amp; HTTP API Contract</w:t>
      </w:r>
    </w:p>
    <w:p>
      <w:pPr>
        <w:pStyle w:val="Heading2"/>
        <w:spacing w:before="180" w:after="80"/>
      </w:pPr>
      <w:r>
        <w:rPr>
          <w:rFonts w:ascii="Aptos" w:hAnsi="Aptos"/>
          <w:color w:val="0F766E"/>
        </w:rPr>
        <w:t>15.1 Preflight vs in-stream outcomes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Condition</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Transport behavior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Malformed JSON / schema invalid</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HTTP 400, no stream.</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Unsupported content type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HTTP 415, no stream.</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Request too large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HTTP 413, no stream.</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Origin/CORS policy failure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HTTP 403, no stream.</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Turnstile failure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HTTP 403, no stream.</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Source/provider admission limit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HTTP 429, no stream; Retry-After.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Accepted test but policy/intent blocks after admission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NDJSON stream with terminal `final`, overall SKIPPED, runState BLOCKED.</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result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NDJSON step events + terminal final event.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Client abort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fetch aborted where possible; terminal ABORTED/INCONCLUSIVE only if a terminal event can be emitted before disconnect.</w:t>
            </w:r>
          </w:p>
        </w:tc>
      </w:tr>
    </w:tbl>
    <w:p>
      <w:pPr>
        <w:pStyle w:val="Heading2"/>
        <w:spacing w:before="180" w:after="80"/>
      </w:pPr>
      <w:r>
        <w:rPr>
          <w:rFonts w:ascii="Aptos" w:hAnsi="Aptos"/>
          <w:color w:val="0F766E"/>
        </w:rPr>
        <w:t>15.2 Event schema</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4"/>
              </w:rPr>
              <w:t>{</w:t>
            </w:r>
            <w:r>
              <w:br/>
            </w:r>
            <w:r>
              <w:rPr>
                <w:rFonts w:ascii="Consolas" w:hAnsi="Consolas"/>
                <w:color w:val="334155"/>
                <w:sz w:val="14"/>
              </w:rPr>
              <w:t xml:space="preserve">  "resultSchemaVersion": "1.0",</w:t>
            </w:r>
            <w:r>
              <w:br/>
            </w:r>
            <w:r>
              <w:rPr>
                <w:rFonts w:ascii="Consolas" w:hAnsi="Consolas"/>
                <w:color w:val="334155"/>
                <w:sz w:val="14"/>
              </w:rPr>
              <w:t xml:space="preserve">  "seq": 2,</w:t>
            </w:r>
            <w:r>
              <w:br/>
            </w:r>
            <w:r>
              <w:rPr>
                <w:rFonts w:ascii="Consolas" w:hAnsi="Consolas"/>
                <w:color w:val="334155"/>
                <w:sz w:val="14"/>
              </w:rPr>
              <w:t xml:space="preserve">  "type": "step_started",</w:t>
            </w:r>
            <w:r>
              <w:br/>
            </w:r>
            <w:r>
              <w:rPr>
                <w:rFonts w:ascii="Consolas" w:hAnsi="Consolas"/>
                <w:color w:val="334155"/>
                <w:sz w:val="14"/>
              </w:rPr>
              <w:t xml:space="preserve">  "stepId": "authentication"</w:t>
            </w:r>
            <w:r>
              <w:br/>
            </w:r>
            <w:r>
              <w:rPr>
                <w:rFonts w:ascii="Consolas" w:hAnsi="Consolas"/>
                <w:color w:val="334155"/>
                <w:sz w:val="14"/>
              </w:rPr>
              <w:t>}</w:t>
            </w:r>
            <w:r>
              <w:br/>
            </w:r>
            <w:r>
              <w:rPr>
                <w:rFonts w:ascii="Consolas" w:hAnsi="Consolas"/>
                <w:color w:val="334155"/>
                <w:sz w:val="14"/>
              </w:rPr>
            </w:r>
            <w:r>
              <w:br/>
            </w:r>
            <w:r>
              <w:rPr>
                <w:rFonts w:ascii="Consolas" w:hAnsi="Consolas"/>
                <w:color w:val="334155"/>
                <w:sz w:val="14"/>
              </w:rPr>
              <w:t>{</w:t>
            </w:r>
            <w:r>
              <w:br/>
            </w:r>
            <w:r>
              <w:rPr>
                <w:rFonts w:ascii="Consolas" w:hAnsi="Consolas"/>
                <w:color w:val="334155"/>
                <w:sz w:val="14"/>
              </w:rPr>
              <w:t xml:space="preserve">  "resultSchemaVersion": "1.0",</w:t>
            </w:r>
            <w:r>
              <w:br/>
            </w:r>
            <w:r>
              <w:rPr>
                <w:rFonts w:ascii="Consolas" w:hAnsi="Consolas"/>
                <w:color w:val="334155"/>
                <w:sz w:val="14"/>
              </w:rPr>
              <w:t xml:space="preserve">  "seq": 3,</w:t>
            </w:r>
            <w:r>
              <w:br/>
            </w:r>
            <w:r>
              <w:rPr>
                <w:rFonts w:ascii="Consolas" w:hAnsi="Consolas"/>
                <w:color w:val="334155"/>
                <w:sz w:val="14"/>
              </w:rPr>
              <w:t xml:space="preserve">  "type": "step_completed",</w:t>
            </w:r>
            <w:r>
              <w:br/>
            </w:r>
            <w:r>
              <w:rPr>
                <w:rFonts w:ascii="Consolas" w:hAnsi="Consolas"/>
                <w:color w:val="334155"/>
                <w:sz w:val="14"/>
              </w:rPr>
              <w:t xml:space="preserve">  "stepId": "authentication",</w:t>
            </w:r>
            <w:r>
              <w:br/>
            </w:r>
            <w:r>
              <w:rPr>
                <w:rFonts w:ascii="Consolas" w:hAnsi="Consolas"/>
                <w:color w:val="334155"/>
                <w:sz w:val="14"/>
              </w:rPr>
              <w:t xml:space="preserve">  "state": "PASS",</w:t>
            </w:r>
            <w:r>
              <w:br/>
            </w:r>
            <w:r>
              <w:rPr>
                <w:rFonts w:ascii="Consolas" w:hAnsi="Consolas"/>
                <w:color w:val="334155"/>
                <w:sz w:val="14"/>
              </w:rPr>
              <w:t xml:space="preserve">  "status": "HEALTHY",</w:t>
            </w:r>
            <w:r>
              <w:br/>
            </w:r>
            <w:r>
              <w:rPr>
                <w:rFonts w:ascii="Consolas" w:hAnsi="Consolas"/>
                <w:color w:val="334155"/>
                <w:sz w:val="14"/>
              </w:rPr>
              <w:t xml:space="preserve">  "evidence": [</w:t>
            </w:r>
            <w:r>
              <w:br/>
            </w:r>
            <w:r>
              <w:rPr>
                <w:rFonts w:ascii="Consolas" w:hAnsi="Consolas"/>
                <w:color w:val="334155"/>
                <w:sz w:val="14"/>
              </w:rPr>
              <w:t xml:space="preserve">    {</w:t>
            </w:r>
            <w:r>
              <w:br/>
            </w:r>
            <w:r>
              <w:rPr>
                <w:rFonts w:ascii="Consolas" w:hAnsi="Consolas"/>
                <w:color w:val="334155"/>
                <w:sz w:val="14"/>
              </w:rPr>
              <w:t xml:space="preserve">      "type": "HTTP_STATUS",</w:t>
            </w:r>
            <w:r>
              <w:br/>
            </w:r>
            <w:r>
              <w:rPr>
                <w:rFonts w:ascii="Consolas" w:hAnsi="Consolas"/>
                <w:color w:val="334155"/>
                <w:sz w:val="14"/>
              </w:rPr>
              <w:t xml:space="preserve">      "sourceType": "TRANSPORT",</w:t>
            </w:r>
            <w:r>
              <w:br/>
            </w:r>
            <w:r>
              <w:rPr>
                <w:rFonts w:ascii="Consolas" w:hAnsi="Consolas"/>
                <w:color w:val="334155"/>
                <w:sz w:val="14"/>
              </w:rPr>
              <w:t xml:space="preserve">      "observedValue": 200,</w:t>
            </w:r>
            <w:r>
              <w:br/>
            </w:r>
            <w:r>
              <w:rPr>
                <w:rFonts w:ascii="Consolas" w:hAnsi="Consolas"/>
                <w:color w:val="334155"/>
                <w:sz w:val="14"/>
              </w:rPr>
              <w:t xml:space="preserve">      "evidenceStrength": "HIGH"</w:t>
            </w:r>
            <w:r>
              <w:br/>
            </w:r>
            <w:r>
              <w:rPr>
                <w:rFonts w:ascii="Consolas" w:hAnsi="Consolas"/>
                <w:color w:val="334155"/>
                <w:sz w:val="14"/>
              </w:rPr>
              <w:t xml:space="preserve">    }</w:t>
            </w:r>
            <w:r>
              <w:br/>
            </w:r>
            <w:r>
              <w:rPr>
                <w:rFonts w:ascii="Consolas" w:hAnsi="Consolas"/>
                <w:color w:val="334155"/>
                <w:sz w:val="14"/>
              </w:rPr>
              <w:t xml:space="preserve">  ]</w:t>
            </w:r>
            <w:r>
              <w:br/>
            </w:r>
            <w:r>
              <w:rPr>
                <w:rFonts w:ascii="Consolas" w:hAnsi="Consolas"/>
                <w:color w:val="334155"/>
                <w:sz w:val="14"/>
              </w:rPr>
              <w:t>}</w:t>
            </w:r>
            <w:r>
              <w:br/>
            </w:r>
            <w:r>
              <w:rPr>
                <w:rFonts w:ascii="Consolas" w:hAnsi="Consolas"/>
                <w:color w:val="334155"/>
                <w:sz w:val="14"/>
              </w:rPr>
            </w:r>
            <w:r>
              <w:br/>
            </w:r>
            <w:r>
              <w:rPr>
                <w:rFonts w:ascii="Consolas" w:hAnsi="Consolas"/>
                <w:color w:val="334155"/>
                <w:sz w:val="14"/>
              </w:rPr>
              <w:t>{</w:t>
            </w:r>
            <w:r>
              <w:br/>
            </w:r>
            <w:r>
              <w:rPr>
                <w:rFonts w:ascii="Consolas" w:hAnsi="Consolas"/>
                <w:color w:val="334155"/>
                <w:sz w:val="14"/>
              </w:rPr>
              <w:t xml:space="preserve">  "resultSchemaVersion": "1.0",</w:t>
            </w:r>
            <w:r>
              <w:br/>
            </w:r>
            <w:r>
              <w:rPr>
                <w:rFonts w:ascii="Consolas" w:hAnsi="Consolas"/>
                <w:color w:val="334155"/>
                <w:sz w:val="14"/>
              </w:rPr>
              <w:t xml:space="preserve">  "seq": 4,</w:t>
            </w:r>
            <w:r>
              <w:br/>
            </w:r>
            <w:r>
              <w:rPr>
                <w:rFonts w:ascii="Consolas" w:hAnsi="Consolas"/>
                <w:color w:val="334155"/>
                <w:sz w:val="14"/>
              </w:rPr>
              <w:t xml:space="preserve">  "type": "final",</w:t>
            </w:r>
            <w:r>
              <w:br/>
            </w:r>
            <w:r>
              <w:rPr>
                <w:rFonts w:ascii="Consolas" w:hAnsi="Consolas"/>
                <w:color w:val="334155"/>
                <w:sz w:val="14"/>
              </w:rPr>
              <w:t xml:space="preserve">  "overall": "HEALTHY",</w:t>
            </w:r>
            <w:r>
              <w:br/>
            </w:r>
            <w:r>
              <w:rPr>
                <w:rFonts w:ascii="Consolas" w:hAnsi="Consolas"/>
                <w:color w:val="334155"/>
                <w:sz w:val="14"/>
              </w:rPr>
              <w:t xml:space="preserve">  "runState": "COMPLETED",</w:t>
            </w:r>
            <w:r>
              <w:br/>
            </w:r>
            <w:r>
              <w:rPr>
                <w:rFonts w:ascii="Consolas" w:hAnsi="Consolas"/>
                <w:color w:val="334155"/>
                <w:sz w:val="14"/>
              </w:rPr>
              <w:t xml:space="preserve">  "primaryStatus": "HEALTHY",</w:t>
            </w:r>
            <w:r>
              <w:br/>
            </w:r>
            <w:r>
              <w:rPr>
                <w:rFonts w:ascii="Consolas" w:hAnsi="Consolas"/>
                <w:color w:val="334155"/>
                <w:sz w:val="14"/>
              </w:rPr>
              <w:t xml:space="preserve">  "aggregationPolicyVersion": "1.0",</w:t>
            </w:r>
            <w:r>
              <w:br/>
            </w:r>
            <w:r>
              <w:rPr>
                <w:rFonts w:ascii="Consolas" w:hAnsi="Consolas"/>
                <w:color w:val="334155"/>
                <w:sz w:val="14"/>
              </w:rPr>
              <w:t xml:space="preserve">  "engineVersion": "0.1.0",</w:t>
            </w:r>
            <w:r>
              <w:br/>
            </w:r>
            <w:r>
              <w:rPr>
                <w:rFonts w:ascii="Consolas" w:hAnsi="Consolas"/>
                <w:color w:val="334155"/>
                <w:sz w:val="14"/>
              </w:rPr>
              <w:t xml:space="preserve">  "providerManifestVersion": "2026-10-01"</w:t>
            </w:r>
            <w:r>
              <w:br/>
            </w:r>
            <w:r>
              <w:rPr>
                <w:rFonts w:ascii="Consolas" w:hAnsi="Consolas"/>
                <w:color w:val="334155"/>
                <w:sz w:val="14"/>
              </w:rPr>
              <w:t>}</w:t>
            </w:r>
          </w:p>
        </w:tc>
      </w:tr>
    </w:tbl>
    <w:p>
      <w:pPr>
        <w:spacing w:after="20"/>
      </w:pPr>
    </w:p>
    <w:p>
      <w:pPr>
        <w:pStyle w:val="Heading2"/>
        <w:spacing w:before="180" w:after="80"/>
      </w:pPr>
      <w:r>
        <w:rPr>
          <w:rFonts w:ascii="Aptos" w:hAnsi="Aptos"/>
          <w:color w:val="0F766E"/>
        </w:rPr>
        <w:t>15.3 HTTP API</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Endpoint</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Method</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Purpose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MVP</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/api/test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POST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One bounded credential test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P0</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/api/diagnose</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POST</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Rule-based error diagnosis without credentials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P0</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/api/providers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GET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Safe provider metadata</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P0</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/api/providers/:id</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GET</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Capabilities, auth, risk, execution modes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P0</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/api/health</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GET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 HealthLab service health</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P0</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/api/status/:provider</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GET</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health signal</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P1</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/api/models/:provider</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GET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Model metadata</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P1</w:t>
            </w:r>
          </w:p>
        </w:tc>
      </w:tr>
    </w:tbl>
    <w:p>
      <w:pPr>
        <w:pStyle w:val="Heading 2"/>
      </w:pPr>
      <w:r>
        <w:rPr>
          <w:rFonts w:ascii="Aptos" w:hAnsi="Aptos"/>
          <w:sz w:val="24"/>
          <w:color w:val="0F766E"/>
        </w:rPr>
        <w:t>15.4 Idempotency</w:t>
      </w:r>
    </w:p>
    <w:p>
      <w:pPr>
        <w:pStyle w:val="Normal"/>
      </w:pPr>
      <w:r>
        <w:rPr>
          <w:rFonts w:ascii="Aptos" w:hAnsi="Aptos"/>
          <w:sz w:val="17"/>
          <w:color w:val="243342"/>
        </w:rPr>
        <w:t>Hosted credential tests accept an Idempotency-Key UUID. The admission layer may retain a short-lived request hash/result state only long enough to prevent accidental duplicate execution. This is operational request-deduplication state, not persisted run history or credential storage.</w:t>
      </w:r>
    </w:p>
    <w:p>
      <w:pPr>
        <w:pStyle w:val="Heading1"/>
        <w:spacing w:before="240" w:after="120"/>
      </w:pPr>
      <w:r>
        <w:rPr>
          <w:rFonts w:ascii="Aptos Display" w:hAnsi="Aptos Display"/>
          <w:color w:val="17324D"/>
        </w:rPr>
        <w:t>16. CLI Architecture &amp; Workspace Scanner</w:t>
      </w:r>
    </w:p>
    <w:p>
      <w:pPr>
        <w:pStyle w:val="Heading2"/>
        <w:spacing w:before="180" w:after="80"/>
      </w:pPr>
      <w:r>
        <w:rPr>
          <w:rFonts w:ascii="Aptos" w:hAnsi="Aptos"/>
          <w:color w:val="0F766E"/>
        </w:rPr>
        <w:t>16.1 Commands</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6"/>
              </w:rPr>
              <w:t>api-healthlab test openai --intent CHAT_MINIMAL --model gpt-4o-mini --env OPENAI_API_KEY</w:t>
            </w:r>
            <w:r>
              <w:br/>
            </w:r>
            <w:r>
              <w:rPr>
                <w:rFonts w:ascii="Consolas" w:hAnsi="Consolas"/>
                <w:color w:val="334155"/>
                <w:sz w:val="16"/>
              </w:rPr>
              <w:t>api-healthlab test gemini --intent LIST_MODELS --env GEMINI_API_KEY</w:t>
            </w:r>
            <w:r>
              <w:br/>
            </w:r>
            <w:r>
              <w:rPr>
                <w:rFonts w:ascii="Consolas" w:hAnsi="Consolas"/>
                <w:color w:val="334155"/>
                <w:sz w:val="16"/>
              </w:rPr>
              <w:t>api-healthlab env-check .env --dry-run</w:t>
            </w:r>
            <w:r>
              <w:br/>
            </w:r>
            <w:r>
              <w:rPr>
                <w:rFonts w:ascii="Consolas" w:hAnsi="Consolas"/>
                <w:color w:val="334155"/>
                <w:sz w:val="16"/>
              </w:rPr>
              <w:t>api-healthlab env-check .env --map MY_AI_KEY=openai</w:t>
            </w:r>
            <w:r>
              <w:br/>
            </w:r>
            <w:r>
              <w:rPr>
                <w:rFonts w:ascii="Consolas" w:hAnsi="Consolas"/>
                <w:color w:val="334155"/>
                <w:sz w:val="16"/>
              </w:rPr>
              <w:t>api-healthlab diagnose --file error.txt</w:t>
            </w:r>
            <w:r>
              <w:br/>
            </w:r>
            <w:r>
              <w:rPr>
                <w:rFonts w:ascii="Consolas" w:hAnsi="Consolas"/>
                <w:color w:val="334155"/>
                <w:sz w:val="16"/>
              </w:rPr>
              <w:t>api-healthlab providers openai --details</w:t>
            </w:r>
          </w:p>
        </w:tc>
      </w:tr>
    </w:tbl>
    <w:p>
      <w:pPr>
        <w:spacing w:after="20"/>
      </w:pPr>
    </w:p>
    <w:p>
      <w:pPr>
        <w:pStyle w:val="Heading2"/>
        <w:spacing w:before="180" w:after="80"/>
      </w:pPr>
      <w:r>
        <w:rPr>
          <w:rFonts w:ascii="Aptos" w:hAnsi="Aptos"/>
          <w:color w:val="0F766E"/>
        </w:rPr>
        <w:t>16.2 Secret input policy</w:t>
      </w:r>
    </w:p>
    <w:p>
      <w:pPr>
        <w:pStyle w:val="ListBullet"/>
        <w:spacing w:after="40"/>
      </w:pPr>
      <w:r>
        <w:rPr>
          <w:rFonts w:ascii="Aptos" w:hAnsi="Aptos"/>
          <w:color w:val="243342"/>
          <w:sz w:val="18"/>
        </w:rPr>
        <w:t>Never accept a raw secret as a positional command argument.</w:t>
      </w:r>
    </w:p>
    <w:p>
      <w:pPr>
        <w:pStyle w:val="ListBullet"/>
        <w:spacing w:after="40"/>
      </w:pPr>
      <w:r>
        <w:rPr>
          <w:rFonts w:ascii="Aptos" w:hAnsi="Aptos"/>
          <w:color w:val="243342"/>
          <w:sz w:val="18"/>
        </w:rPr>
        <w:t>Supported secret channels: environment variable, stdin, hidden prompt, or explicit local file reference.</w:t>
      </w:r>
    </w:p>
    <w:p>
      <w:pPr>
        <w:pStyle w:val="ListBullet"/>
        <w:spacing w:after="40"/>
      </w:pPr>
      <w:r>
        <w:rPr>
          <w:rFonts w:ascii="Aptos" w:hAnsi="Aptos"/>
          <w:color w:val="243342"/>
          <w:sz w:val="18"/>
        </w:rPr>
        <w:t>Never print secret values or include them in process arguments.</w:t>
      </w:r>
    </w:p>
    <w:p>
      <w:pPr>
        <w:pStyle w:val="ListBullet"/>
        <w:spacing w:after="40"/>
      </w:pPr>
      <w:r>
        <w:rPr>
          <w:rFonts w:ascii="Aptos" w:hAnsi="Aptos"/>
          <w:color w:val="243342"/>
          <w:sz w:val="18"/>
        </w:rPr>
        <w:t>Telemetry and update checks are OFF by default.</w:t>
      </w:r>
    </w:p>
    <w:p>
      <w:pPr>
        <w:pStyle w:val="ListBullet"/>
        <w:spacing w:after="40"/>
      </w:pPr>
      <w:r>
        <w:rPr>
          <w:rFonts w:ascii="Aptos" w:hAnsi="Aptos"/>
          <w:color w:val="243342"/>
          <w:sz w:val="18"/>
        </w:rPr>
        <w:t>No API HealthLab data-plane request is made by the CLI unless the user explicitly asks for a hosted status lookup.</w:t>
      </w:r>
    </w:p>
    <w:p>
      <w:pPr>
        <w:pStyle w:val="ListBullet"/>
        <w:spacing w:after="40"/>
      </w:pPr>
      <w:r>
        <w:rPr>
          <w:rFonts w:ascii="Aptos" w:hAnsi="Aptos"/>
          <w:color w:val="243342"/>
          <w:sz w:val="18"/>
        </w:rPr>
        <w:t>Default CLI loads only bundled manifests; custom manifests require `--dangerous-custom-manifest`.</w:t>
      </w:r>
    </w:p>
    <w:p>
      <w:pPr>
        <w:pStyle w:val="Heading2"/>
        <w:spacing w:before="180" w:after="80"/>
      </w:pPr>
      <w:r>
        <w:rPr>
          <w:rFonts w:ascii="Aptos" w:hAnsi="Aptos"/>
          <w:color w:val="0F766E"/>
        </w:rPr>
        <w:t>16.3 `.env` safety</w:t>
      </w:r>
    </w:p>
    <w:p>
      <w:pPr>
        <w:pStyle w:val="ListBullet"/>
        <w:spacing w:after="40"/>
      </w:pPr>
      <w:r>
        <w:rPr>
          <w:rFonts w:ascii="Aptos" w:hAnsi="Aptos"/>
          <w:color w:val="243342"/>
          <w:sz w:val="18"/>
        </w:rPr>
        <w:t>Read only regular files unless an explicit local dangerous flag is used.</w:t>
      </w:r>
    </w:p>
    <w:p>
      <w:pPr>
        <w:pStyle w:val="ListBullet"/>
        <w:spacing w:after="40"/>
      </w:pPr>
      <w:r>
        <w:rPr>
          <w:rFonts w:ascii="Aptos" w:hAnsi="Aptos"/>
          <w:color w:val="243342"/>
          <w:sz w:val="18"/>
        </w:rPr>
        <w:t>Default maximum file size = 256 KiB.</w:t>
      </w:r>
    </w:p>
    <w:p>
      <w:pPr>
        <w:pStyle w:val="ListBullet"/>
        <w:spacing w:after="40"/>
      </w:pPr>
      <w:r>
        <w:rPr>
          <w:rFonts w:ascii="Aptos" w:hAnsi="Aptos"/>
          <w:color w:val="243342"/>
          <w:sz w:val="18"/>
        </w:rPr>
        <w:t>Do not execute variable expansion or shell expressions.</w:t>
      </w:r>
    </w:p>
    <w:p>
      <w:pPr>
        <w:pStyle w:val="ListBullet"/>
        <w:spacing w:after="40"/>
      </w:pPr>
      <w:r>
        <w:rPr>
          <w:rFonts w:ascii="Aptos" w:hAnsi="Aptos"/>
          <w:color w:val="243342"/>
          <w:sz w:val="18"/>
        </w:rPr>
        <w:t>Support common `KEY=value` and `export KEY=value` syntax without evaluation.</w:t>
      </w:r>
    </w:p>
    <w:p>
      <w:pPr>
        <w:pStyle w:val="ListBullet"/>
        <w:spacing w:after="40"/>
      </w:pPr>
      <w:r>
        <w:rPr>
          <w:rFonts w:ascii="Aptos" w:hAnsi="Aptos"/>
          <w:color w:val="243342"/>
          <w:sz w:val="18"/>
        </w:rPr>
        <w:t>Handle UTF-8, LF and CRLF; reject binary-like content.</w:t>
      </w:r>
    </w:p>
    <w:p>
      <w:pPr>
        <w:pStyle w:val="ListBullet"/>
        <w:spacing w:after="40"/>
      </w:pPr>
      <w:r>
        <w:rPr>
          <w:rFonts w:ascii="Aptos" w:hAnsi="Aptos"/>
          <w:color w:val="243342"/>
          <w:sz w:val="18"/>
        </w:rPr>
        <w:t>Do not follow symlinks by default.</w:t>
      </w:r>
    </w:p>
    <w:p>
      <w:pPr>
        <w:pStyle w:val="ListBullet"/>
        <w:spacing w:after="40"/>
      </w:pPr>
      <w:r>
        <w:rPr>
          <w:rFonts w:ascii="Aptos" w:hAnsi="Aptos"/>
          <w:color w:val="243342"/>
          <w:sz w:val="18"/>
        </w:rPr>
        <w:t>Duplicate variables: last assignment is reported with a duplicate warning; never print either value.</w:t>
      </w:r>
    </w:p>
    <w:p>
      <w:pPr>
        <w:pStyle w:val="ListBullet"/>
        <w:spacing w:after="40"/>
      </w:pPr>
      <w:r>
        <w:rPr>
          <w:rFonts w:ascii="Aptos" w:hAnsi="Aptos"/>
          <w:color w:val="243342"/>
          <w:sz w:val="18"/>
        </w:rPr>
        <w:t>Warn if the target `.env` file is not ignored by the repository's gitignore rules when discoverable.</w:t>
      </w:r>
    </w:p>
    <w:p>
      <w:pPr>
        <w:pStyle w:val="ListBullet"/>
        <w:spacing w:after="40"/>
      </w:pPr>
      <w:r>
        <w:rPr>
          <w:rFonts w:ascii="Aptos" w:hAnsi="Aptos"/>
          <w:color w:val="243342"/>
          <w:sz w:val="18"/>
        </w:rPr>
        <w:t>`DETECTED` means only that a value was found; it is never a test PASS.</w:t>
      </w:r>
    </w:p>
    <w:p>
      <w:pPr>
        <w:pStyle w:val="Heading2"/>
        <w:spacing w:before="180" w:after="80"/>
      </w:pPr>
      <w:r>
        <w:rPr>
          <w:rFonts w:ascii="Aptos" w:hAnsi="Aptos"/>
          <w:color w:val="0F766E"/>
        </w:rPr>
        <w:t>16.4 CLI exit codes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Code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Meaning</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0</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HEALTHY</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DIAGNOSTIC_FAILURE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2</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INCONCLUSIVE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3</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SKIPPED_OR_POLICY_BLOCKED</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4</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INVALID_INPUT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5</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USAGE_ERROR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6</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ENGINE_ERROR</w:t>
            </w:r>
          </w:p>
        </w:tc>
      </w:tr>
    </w:tbl>
    <w:p>
      <w:pPr>
        <w:pStyle w:val="Normal"/>
      </w:pPr>
      <w:r>
        <w:rPr>
          <w:rFonts w:ascii="Aptos" w:hAnsi="Aptos"/>
          <w:sz w:val="17"/>
          <w:color w:val="243342"/>
        </w:rPr>
        <w:t>The result view should optionally expose a safe timeline: input validated → policy admitted → provider request started → transport evidence → structured provider evidence → provider health signal → final aggregation. Timestamps are relative/elapsed by default; raw URLs, headers and bodies are never displayed.</w:t>
      </w:r>
    </w:p>
    <w:p>
      <w:pPr>
        <w:pStyle w:val="Heading1"/>
        <w:spacing w:before="240" w:after="120"/>
      </w:pPr>
      <w:r>
        <w:rPr>
          <w:rFonts w:ascii="Aptos Display" w:hAnsi="Aptos Display"/>
          <w:color w:val="17324D"/>
        </w:rPr>
        <w:t>17. UX / UI Information Architecture</w:t>
      </w:r>
    </w:p>
    <w:p>
      <w:pPr>
        <w:pStyle w:val="Heading2"/>
        <w:spacing w:before="180" w:after="80"/>
      </w:pPr>
      <w:r>
        <w:rPr>
          <w:rFonts w:ascii="Aptos" w:hAnsi="Aptos"/>
          <w:color w:val="0F766E"/>
        </w:rPr>
        <w:t>17.1 Core screens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Screen</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Purpose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Home / Diagnose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Trust-free error diagnosis first; provider hint and status access.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Intent selection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Define the exact action to prove.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selection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Choose provider/product and show supported capabilities.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Target context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Model, deployment, region, project, resource.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Execution policy</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Hosted/local, risk, cost, side effect, origin disclosure.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Consent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Separate authorization acknowledgement and billable acknowledgement when required.</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Credential input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Typed, masked fields; entered last.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Live test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NDJSON-backed stepper with RUNNING events distinct from StepState.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Result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Overall, steps, evidence, health signal, Fix next, Reproduce, “Does not prove” section.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Local handoff</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Copy CLI command / install instructions; no fake local toggle.</w:t>
            </w:r>
          </w:p>
        </w:tc>
      </w:tr>
    </w:tbl>
    <w:p>
      <w:pPr>
        <w:pStyle w:val="Heading2"/>
        <w:spacing w:before="180" w:after="80"/>
      </w:pPr>
      <w:r>
        <w:rPr>
          <w:rFonts w:ascii="Aptos" w:hAnsi="Aptos"/>
          <w:color w:val="0F766E"/>
        </w:rPr>
        <w:t>17.2 Result communication</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Every result must answer three questions  </w:t>
            </w:r>
            <w:r>
              <w:rPr>
                <w:color w:val="243342"/>
                <w:sz w:val="18"/>
              </w:rPr>
              <w:t>What happened? What evidence supports it? What should the developer do next?</w:t>
            </w:r>
          </w:p>
        </w:tc>
      </w:tr>
    </w:tbl>
    <w:p>
      <w:pPr>
        <w:spacing w:after="20"/>
      </w:pP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5"/>
              </w:rPr>
              <w:t>AUTHENTICATION: PASS</w:t>
            </w:r>
            <w:r>
              <w:br/>
            </w:r>
            <w:r>
              <w:rPr>
                <w:rFonts w:ascii="Consolas" w:hAnsi="Consolas"/>
                <w:color w:val="334155"/>
                <w:sz w:val="15"/>
              </w:rPr>
              <w:t>Evidence: provider returned accepted response.</w:t>
            </w:r>
            <w:r>
              <w:br/>
            </w:r>
            <w:r>
              <w:rPr>
                <w:rFonts w:ascii="Consolas" w:hAnsi="Consolas"/>
                <w:color w:val="334155"/>
                <w:sz w:val="15"/>
              </w:rPr>
            </w:r>
            <w:r>
              <w:br/>
            </w:r>
            <w:r>
              <w:rPr>
                <w:rFonts w:ascii="Consolas" w:hAnsi="Consolas"/>
                <w:color w:val="334155"/>
                <w:sz w:val="15"/>
              </w:rPr>
              <w:t>INTENT: FAIL</w:t>
            </w:r>
            <w:r>
              <w:br/>
            </w:r>
            <w:r>
              <w:rPr>
                <w:rFonts w:ascii="Consolas" w:hAnsi="Consolas"/>
                <w:color w:val="334155"/>
                <w:sz w:val="15"/>
              </w:rPr>
              <w:t>Status: PERMISSION_DENIED</w:t>
            </w:r>
            <w:r>
              <w:br/>
            </w:r>
            <w:r>
              <w:rPr>
                <w:rFonts w:ascii="Consolas" w:hAnsi="Consolas"/>
                <w:color w:val="334155"/>
                <w:sz w:val="15"/>
              </w:rPr>
              <w:t>Evidence: provider code = permission_denied</w:t>
            </w:r>
            <w:r>
              <w:br/>
            </w:r>
            <w:r>
              <w:rPr>
                <w:rFonts w:ascii="Consolas" w:hAnsi="Consolas"/>
                <w:color w:val="334155"/>
                <w:sz w:val="15"/>
              </w:rPr>
              <w:t>Provider status: OPERATIONAL</w:t>
            </w:r>
            <w:r>
              <w:br/>
            </w:r>
            <w:r>
              <w:rPr>
                <w:rFonts w:ascii="Consolas" w:hAnsi="Consolas"/>
                <w:color w:val="334155"/>
                <w:sz w:val="15"/>
              </w:rPr>
            </w:r>
            <w:r>
              <w:br/>
            </w:r>
            <w:r>
              <w:rPr>
                <w:rFonts w:ascii="Consolas" w:hAnsi="Consolas"/>
                <w:color w:val="334155"/>
                <w:sz w:val="15"/>
              </w:rPr>
              <w:t>This proves:</w:t>
            </w:r>
            <w:r>
              <w:br/>
            </w:r>
            <w:r>
              <w:rPr>
                <w:rFonts w:ascii="Consolas" w:hAnsi="Consolas"/>
                <w:color w:val="334155"/>
                <w:sz w:val="15"/>
              </w:rPr>
              <w:t>✓ Credential was accepted for the authentication probe.</w:t>
            </w:r>
            <w:r>
              <w:br/>
            </w:r>
            <w:r>
              <w:rPr>
                <w:rFonts w:ascii="Consolas" w:hAnsi="Consolas"/>
                <w:color w:val="334155"/>
                <w:sz w:val="15"/>
              </w:rPr>
              <w:t>✓ The selected operation was rejected for permission reasons.</w:t>
            </w:r>
            <w:r>
              <w:br/>
            </w:r>
            <w:r>
              <w:rPr>
                <w:rFonts w:ascii="Consolas" w:hAnsi="Consolas"/>
                <w:color w:val="334155"/>
                <w:sz w:val="15"/>
              </w:rPr>
            </w:r>
            <w:r>
              <w:br/>
            </w:r>
            <w:r>
              <w:rPr>
                <w:rFonts w:ascii="Consolas" w:hAnsi="Consolas"/>
                <w:color w:val="334155"/>
                <w:sz w:val="15"/>
              </w:rPr>
              <w:t>This does not prove:</w:t>
            </w:r>
            <w:r>
              <w:br/>
            </w:r>
            <w:r>
              <w:rPr>
                <w:rFonts w:ascii="Consolas" w:hAnsi="Consolas"/>
                <w:color w:val="334155"/>
                <w:sz w:val="15"/>
              </w:rPr>
              <w:t>× The credential is globally invalid.</w:t>
            </w:r>
            <w:r>
              <w:br/>
            </w:r>
            <w:r>
              <w:rPr>
                <w:rFonts w:ascii="Consolas" w:hAnsi="Consolas"/>
                <w:color w:val="334155"/>
                <w:sz w:val="15"/>
              </w:rPr>
              <w:t>× All models/resources are inaccessible.</w:t>
            </w:r>
            <w:r>
              <w:br/>
            </w:r>
            <w:r>
              <w:rPr>
                <w:rFonts w:ascii="Consolas" w:hAnsi="Consolas"/>
                <w:color w:val="334155"/>
                <w:sz w:val="15"/>
              </w:rPr>
              <w:t>× Your production origin will behave identically.</w:t>
            </w:r>
          </w:p>
        </w:tc>
      </w:tr>
    </w:tbl>
    <w:p>
      <w:pPr>
        <w:spacing w:after="20"/>
      </w:pPr>
    </w:p>
    <w:p>
      <w:pPr>
        <w:pStyle w:val="Heading2"/>
      </w:pPr>
      <w:r>
        <w:rPr>
          <w:rFonts w:ascii="Aptos" w:hAnsi="Aptos"/>
          <w:sz w:val="24"/>
          <w:color w:val="0F766E"/>
        </w:rPr>
        <w:t>17.3 Diagnostic evidence timeline</w:t>
      </w:r>
    </w:p>
    <w:p>
      <w:pPr>
        <w:pStyle w:val="Normal"/>
      </w:pPr>
      <w:r>
        <w:rPr>
          <w:rFonts w:ascii="Aptos" w:hAnsi="Aptos"/>
          <w:sz w:val="17"/>
          <w:color w:val="243342"/>
        </w:rPr>
        <w:t>The result view may expose a safe timeline: input validated → policy admitted → request started → transport evidence → provider evidence → provider health signal → aggregation. Show elapsed time by default; never display raw URLs, headers, bodies or credential-derived values.</w:t>
      </w:r>
    </w:p>
    <w:p>
      <w:pPr>
        <w:pStyle w:val="Heading2"/>
      </w:pPr>
      <w:r>
        <w:rPr>
          <w:rFonts w:ascii="Aptos" w:hAnsi="Aptos"/>
          <w:sz w:val="24"/>
          <w:color w:val="0F766E"/>
        </w:rPr>
        <w:t>17.4 Safe Mode</w:t>
      </w:r>
    </w:p>
    <w:p>
      <w:pPr>
        <w:pStyle w:val="Normal"/>
      </w:pPr>
      <w:r>
        <w:rPr>
          <w:rFonts w:ascii="Aptos" w:hAnsi="Aptos"/>
          <w:sz w:val="17"/>
          <w:color w:val="243342"/>
        </w:rPr>
        <w:t>Safe Mode is the default execution profile: no real-world mutations, no message sends, no payment actions, no storage writes, no high-risk providers, minimal text/embedding probes only, and no custom hosted hosts.</w:t>
      </w:r>
    </w:p>
    <w:tbl>
      <w:tblPr>
        <w:tblW w:w="9000" w:type="dxa"/>
      </w:tblPr>
      <w:tr>
        <w:tc>
          <w:tcPr>
            <w:shd w:fill="F5F7F9"/>
          </w:tcPr>
          <w:p>
            <w:r>
              <w:rPr>
                <w:rFonts w:ascii="Consolas" w:hAnsi="Consolas"/>
                <w:sz w:val="12"/>
              </w:rPr>
              <w:t>SAFE MODE</w:t>
            </w:r>
            <w:r>
              <w:br/>
            </w:r>
            <w:r>
              <w:rPr>
                <w:rFonts w:ascii="Consolas" w:hAnsi="Consolas"/>
                <w:sz w:val="12"/>
              </w:rPr>
              <w:t>NONE / READ_ONLY only</w:t>
            </w:r>
            <w:r>
              <w:br/>
            </w:r>
            <w:r>
              <w:rPr>
                <w:rFonts w:ascii="Consolas" w:hAnsi="Consolas"/>
                <w:sz w:val="12"/>
              </w:rPr>
              <w:t>FREE / LOW preferred</w:t>
            </w:r>
            <w:r>
              <w:br/>
            </w:r>
            <w:r>
              <w:rPr>
                <w:rFonts w:ascii="Consolas" w:hAnsi="Consolas"/>
                <w:sz w:val="12"/>
              </w:rPr>
              <w:t>No real-world mutations</w:t>
            </w:r>
            <w:r>
              <w:br/>
            </w:r>
            <w:r>
              <w:rPr>
                <w:rFonts w:ascii="Consolas" w:hAnsi="Consolas"/>
                <w:sz w:val="12"/>
              </w:rPr>
              <w:t>No high-risk hosted credentials</w:t>
            </w:r>
            <w:r>
              <w:br/>
            </w:r>
            <w:r>
              <w:rPr>
                <w:rFonts w:ascii="Consolas" w:hAnsi="Consolas"/>
                <w:sz w:val="12"/>
              </w:rPr>
              <w:t>No custom hosted host</w:t>
            </w:r>
          </w:p>
        </w:tc>
      </w:tr>
    </w:tbl>
    <w:p>
      <w:pPr>
        <w:pStyle w:val="Heading1"/>
        <w:spacing w:before="240" w:after="120"/>
      </w:pPr>
      <w:r>
        <w:rPr>
          <w:rFonts w:ascii="Aptos Display" w:hAnsi="Aptos Display"/>
          <w:color w:val="17324D"/>
        </w:rPr>
        <w:t>18. Error Diagnosis &amp; Reproduction</w:t>
      </w:r>
    </w:p>
    <w:p>
      <w:pPr>
        <w:spacing w:after="100" w:line="252" w:lineRule="auto"/>
      </w:pPr>
      <w:r>
        <w:rPr>
          <w:rFonts w:ascii="Aptos" w:hAnsi="Aptos"/>
          <w:color w:val="243342"/>
          <w:sz w:val="18"/>
        </w:rPr>
        <w:t>The error-first workflow is a core product surface because it creates value without asking users to submit secrets. MVP diagnosis is deterministic and rule-based, using the same provider rule data as credential testing but through a separate input-sanitization boundary.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Control</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Value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Input cap</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16 KiB</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Secret pre-scan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Auth headers, bearer tokens, API-key-like strings, cookies, JWTs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Raw input storage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Never</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LLM processing</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Not used in MVP</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 abuse gate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Turnstile required for anonymous hosted diagnosis if deployed publicly; otherwise IP/source rate limit alone is insufficient.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Output</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Structured diagnosis + optionally a short redacted excerpt</w:t>
            </w:r>
          </w:p>
        </w:tc>
      </w:tr>
    </w:tbl>
    <w:p>
      <w:pPr>
        <w:pStyle w:val="Heading2"/>
        <w:spacing w:before="180" w:after="80"/>
      </w:pPr>
      <w:r>
        <w:rPr>
          <w:rFonts w:ascii="Aptos" w:hAnsi="Aptos"/>
          <w:color w:val="0F766E"/>
        </w:rPr>
        <w:t>18.1 Generated reproduction</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4"/>
              </w:rPr>
              <w:t>curl https://api.example.com/v1/resource   -H "Authorization: Bearer $API_KEY"   -H "Content-Type: application/json"   -d '{"model":"&lt;selected-model&gt;","input":"OK"}'</w:t>
            </w:r>
            <w:r>
              <w:br/>
            </w:r>
            <w:r>
              <w:rPr>
                <w:rFonts w:ascii="Consolas" w:hAnsi="Consolas"/>
                <w:color w:val="334155"/>
                <w:sz w:val="14"/>
              </w:rPr>
            </w:r>
            <w:r>
              <w:br/>
            </w:r>
            <w:r>
              <w:rPr>
                <w:rFonts w:ascii="Consolas" w:hAnsi="Consolas"/>
                <w:color w:val="334155"/>
                <w:sz w:val="14"/>
              </w:rPr>
              <w:t># TypeScript</w:t>
            </w:r>
            <w:r>
              <w:br/>
            </w:r>
            <w:r>
              <w:rPr>
                <w:rFonts w:ascii="Consolas" w:hAnsi="Consolas"/>
                <w:color w:val="334155"/>
                <w:sz w:val="14"/>
              </w:rPr>
              <w:t>const response = await fetch(url, {</w:t>
            </w:r>
            <w:r>
              <w:br/>
            </w:r>
            <w:r>
              <w:rPr>
                <w:rFonts w:ascii="Consolas" w:hAnsi="Consolas"/>
                <w:color w:val="334155"/>
                <w:sz w:val="14"/>
              </w:rPr>
              <w:t xml:space="preserve">  headers: { Authorization: `Bearer ${process.env.API_KEY}` }</w:t>
            </w:r>
            <w:r>
              <w:br/>
            </w:r>
            <w:r>
              <w:rPr>
                <w:rFonts w:ascii="Consolas" w:hAnsi="Consolas"/>
                <w:color w:val="334155"/>
                <w:sz w:val="14"/>
              </w:rPr>
              <w:t>});</w:t>
            </w:r>
            <w:r>
              <w:br/>
            </w:r>
            <w:r>
              <w:rPr>
                <w:rFonts w:ascii="Consolas" w:hAnsi="Consolas"/>
                <w:color w:val="334155"/>
                <w:sz w:val="14"/>
              </w:rPr>
            </w:r>
            <w:r>
              <w:br/>
            </w:r>
            <w:r>
              <w:rPr>
                <w:rFonts w:ascii="Consolas" w:hAnsi="Consolas"/>
                <w:color w:val="334155"/>
                <w:sz w:val="14"/>
              </w:rPr>
              <w:t># Python</w:t>
            </w:r>
            <w:r>
              <w:br/>
            </w:r>
            <w:r>
              <w:rPr>
                <w:rFonts w:ascii="Consolas" w:hAnsi="Consolas"/>
                <w:color w:val="334155"/>
                <w:sz w:val="14"/>
              </w:rPr>
              <w:t>import os, requests</w:t>
            </w:r>
            <w:r>
              <w:br/>
            </w:r>
            <w:r>
              <w:rPr>
                <w:rFonts w:ascii="Consolas" w:hAnsi="Consolas"/>
                <w:color w:val="334155"/>
                <w:sz w:val="14"/>
              </w:rPr>
              <w:t>requests.get(url, headers={"Authorization": f"Bearer {os.environ["API_KEY"]}"})</w:t>
            </w:r>
          </w:p>
        </w:tc>
      </w:tr>
    </w:tbl>
    <w:p>
      <w:pPr>
        <w:spacing w:after="20"/>
      </w:pPr>
    </w:p>
    <w:p>
      <w:pPr>
        <w:spacing w:after="100" w:line="252" w:lineRule="auto"/>
      </w:pPr>
      <w:r>
        <w:rPr>
          <w:rFonts w:ascii="Aptos" w:hAnsi="Aptos"/>
          <w:color w:val="243342"/>
          <w:sz w:val="18"/>
        </w:rPr>
        <w:t>The snippet generator consumes a resolved request model and applies language-specific escaping. Snapshot tests must prove that the submitted secret and all registered derived secrets are absent from the output.</w:t>
      </w:r>
    </w:p>
    <w:p>
      <w:pPr>
        <w:pStyle w:val="Heading1"/>
        <w:spacing w:before="240" w:after="120"/>
      </w:pPr>
      <w:r>
        <w:rPr>
          <w:rFonts w:ascii="Aptos Display" w:hAnsi="Aptos Display"/>
          <w:color w:val="17324D"/>
        </w:rPr>
        <w:t>19. Provider &amp; Model Intelligence</w:t>
      </w:r>
    </w:p>
    <w:p>
      <w:pPr>
        <w:pStyle w:val="Heading2"/>
        <w:spacing w:before="180" w:after="80"/>
      </w:pPr>
      <w:r>
        <w:rPr>
          <w:rFonts w:ascii="Aptos" w:hAnsi="Aptos"/>
          <w:color w:val="0F766E"/>
        </w:rPr>
        <w:t>19.1 Model intelligence</w:t>
      </w:r>
    </w:p>
    <w:p>
      <w:pPr>
        <w:pStyle w:val="ListBullet"/>
        <w:spacing w:after="40"/>
      </w:pPr>
      <w:r>
        <w:rPr>
          <w:rFonts w:ascii="Aptos" w:hAnsi="Aptos"/>
          <w:color w:val="243342"/>
          <w:sz w:val="18"/>
        </w:rPr>
        <w:t>Live provider model endpoints are the source of truth where available.</w:t>
      </w:r>
    </w:p>
    <w:p>
      <w:pPr>
        <w:pStyle w:val="ListBullet"/>
        <w:spacing w:after="40"/>
      </w:pPr>
      <w:r>
        <w:rPr>
          <w:rFonts w:ascii="Aptos" w:hAnsi="Aptos"/>
          <w:color w:val="243342"/>
          <w:sz w:val="18"/>
        </w:rPr>
        <w:t>Curated deprecation metadata is limited to a small number of providers and is always dated.</w:t>
      </w:r>
    </w:p>
    <w:p>
      <w:pPr>
        <w:pStyle w:val="ListBullet"/>
        <w:spacing w:after="40"/>
      </w:pPr>
      <w:r>
        <w:rPr>
          <w:rFonts w:ascii="Aptos" w:hAnsi="Aptos"/>
          <w:color w:val="243342"/>
          <w:sz w:val="18"/>
        </w:rPr>
        <w:t>A model appearing in a catalog does not prove that the current credential can invoke it.</w:t>
      </w:r>
    </w:p>
    <w:p>
      <w:pPr>
        <w:pStyle w:val="ListBullet"/>
        <w:spacing w:after="40"/>
      </w:pPr>
      <w:r>
        <w:rPr>
          <w:rFonts w:ascii="Aptos" w:hAnsi="Aptos"/>
          <w:color w:val="243342"/>
          <w:sz w:val="18"/>
        </w:rPr>
        <w:t>A target-model assertion is performed during `CHAT_MINIMAL` or `EMBED_MINIMAL` when the provider exposes a usable model list.</w:t>
      </w:r>
    </w:p>
    <w:p>
      <w:pPr>
        <w:pStyle w:val="ListBullet"/>
        <w:spacing w:after="40"/>
      </w:pPr>
      <w:r>
        <w:rPr>
          <w:rFonts w:ascii="Aptos" w:hAnsi="Aptos"/>
          <w:color w:val="243342"/>
          <w:sz w:val="18"/>
        </w:rPr>
        <w:t>Catalog entries contain `verifiedOn`, `sourceUrl`, `deprecatedOn` where known and capability metadata.</w:t>
      </w:r>
    </w:p>
    <w:p>
      <w:pPr>
        <w:pStyle w:val="Heading2"/>
        <w:spacing w:before="180" w:after="80"/>
      </w:pPr>
      <w:r>
        <w:rPr>
          <w:rFonts w:ascii="Aptos" w:hAnsi="Aptos"/>
          <w:color w:val="0F766E"/>
        </w:rPr>
        <w:t>19.2 Provider status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Signal</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Meaning</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OPERATIONAL</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 independent provider incident detected by configured status source.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DEGRADED</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indicates partial degradation.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INCIDENT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Official source reports an incident relevant to the tested product.</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UNKNOWN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 trustworthy source or insufficient information.</w:t>
            </w:r>
          </w:p>
        </w:tc>
      </w:tr>
    </w:tbl>
    <w:p>
      <w:pPr>
        <w:spacing w:after="100" w:line="252" w:lineRule="auto"/>
      </w:pPr>
      <w:r>
        <w:rPr>
          <w:rFonts w:ascii="Aptos" w:hAnsi="Aptos"/>
          <w:color w:val="243342"/>
          <w:sz w:val="18"/>
        </w:rPr>
        <w:t>Status is independent evidence. It never directly changes an authentication diagnosis without considering the selected intent result.</w:t>
      </w:r>
    </w:p>
    <w:p>
      <w:pPr>
        <w:pStyle w:val="Heading1"/>
        <w:spacing w:before="240" w:after="120"/>
      </w:pPr>
      <w:r>
        <w:rPr>
          <w:rFonts w:ascii="Aptos Display" w:hAnsi="Aptos Display"/>
          <w:color w:val="17324D"/>
        </w:rPr>
        <w:t>20. Provider Catalog &amp; Roadmap</w:t>
      </w:r>
    </w:p>
    <w:p>
      <w:pPr>
        <w:spacing w:after="100" w:line="252" w:lineRule="auto"/>
      </w:pPr>
      <w:r>
        <w:rPr>
          <w:rFonts w:ascii="Aptos" w:hAnsi="Aptos"/>
          <w:color w:val="243342"/>
          <w:sz w:val="18"/>
        </w:rPr>
        <w:t>The catalog may list a broad ecosystem, but catalog presence is not implementation. Every provider record carries lifecycle, authentication methods, risk, host policy, capabilities, terms/docs URLs and verification date.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Category</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Representative roadmap providers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LLM / frontier</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OpenAI, Gemini, Anthropic, Mistral, xAI, DeepSeek, Cohere, Perplexity, AI21, Zhipu, Moonshot, MiniMax, Qwen/Alibaba.</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Inference / gateways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Groq, Together AI, Fireworks, Cerebras, SambaNova, Hugging Face Inference Providers, Replicate, Fal, Baseten, Nebius, Modal, Cloudflare Workers AI, OpenRouter.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Image / video / audio</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Stability AI, Black Forest Labs, Ideogram, Runway, Luma, Pika, ElevenLabs, Deepgram, AssemblyAI, Cartesia, HeyGen, Synthesia.</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Cloud / edge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AWS, Azure, Google Cloud, Cloudflare, Oracle, IBM, Alibaba Cloud, DigitalOcean, Akamai/Linode, Vultr, OVHcloud, Scaleway, Vercel, Netlify, Railway, Render, Fly.io.</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Developer / collaboration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GitHub, GitLab, Bitbucket, Slack, Discord, Notion, Linear, Atlassian, Microsoft Graph, Google APIs, Dropbox, Box, OneDrive.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Data / vector</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Supabase, Neon, MongoDB Atlas, Firebase, DynamoDB, Cosmos DB, CockroachDB, Pinecone, Weaviate, Qdrant, Zilliz/Milvus, Chroma, Redis/Upstash, Elasticsearch, OpenSearch, Typesense, Meilisearch.</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Payments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Stripe, Razorpay, PayPal, Adyen, Square, Cashfree, Paddle, Braintree.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Identity / observability</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Auth0, Okta, Clerk, Cognito, Entra ID, WorkOS, Stytch, Sentry, Datadog, New Relic, Grafana Cloud, Better Stack, GitGuardian.</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Catalog hygiene  </w:t>
            </w:r>
            <w:r>
              <w:rPr>
                <w:color w:val="243342"/>
                <w:sz w:val="18"/>
              </w:rPr>
              <w:t>Provider, product and model are separate entities. Free-tier and model availability facts are dated metadata and must be reverified before each public release.</w:t>
            </w:r>
          </w:p>
        </w:tc>
      </w:tr>
    </w:tbl>
    <w:p>
      <w:pPr>
        <w:spacing w:after="20"/>
      </w:pPr>
    </w:p>
    <w:p>
      <w:pPr>
        <w:pStyle w:val="Heading1"/>
        <w:spacing w:before="240" w:after="120"/>
      </w:pPr>
      <w:r>
        <w:rPr>
          <w:rFonts w:ascii="Aptos Display" w:hAnsi="Aptos Display"/>
          <w:color w:val="17324D"/>
        </w:rPr>
        <w:t>21. Testing, Fixtures &amp; Provider Drift</w:t>
      </w:r>
    </w:p>
    <w:p>
      <w:pPr>
        <w:pStyle w:val="Heading2"/>
        <w:spacing w:before="180" w:after="80"/>
      </w:pPr>
      <w:r>
        <w:rPr>
          <w:rFonts w:ascii="Aptos" w:hAnsi="Aptos"/>
          <w:color w:val="0F766E"/>
        </w:rPr>
        <w:t>21.1 Test pyramid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Layer</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Required coverage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Unit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Schemas, policy function, URL/header validation, matcher logic, aggregation, evidence builder, redaction.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Property/fuzz</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Manifest parser, inheritance, redaction invariants, Unicode/punycode, CR/LF, URL resolution, matchers, JSON limits.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Adapter contract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Each manifest/plugin cannot bypass controlled fetch and satisfies capability/fixture schema.</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Fixtures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Invalid credential, permission denied, rate limit, quota exhausted, model unavailable, endpoint error, WAF/HTML block, provider status.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Runtime parity</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Node and Worker-compatible core runtime.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E2E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Hosted diagnose, Turnstile failure, credential test, CSP, CORS, no-secret telemetry, CLI local run.</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Canary</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Deliberately invalid credential only where adapter declares `canaryAllowed=true` and provider terms/policy allow it.</w:t>
            </w:r>
          </w:p>
        </w:tc>
      </w:tr>
    </w:tbl>
    <w:p>
      <w:pPr>
        <w:pStyle w:val="Heading2"/>
        <w:spacing w:before="180" w:after="80"/>
      </w:pPr>
      <w:r>
        <w:rPr>
          <w:rFonts w:ascii="Aptos" w:hAnsi="Aptos"/>
          <w:color w:val="0F766E"/>
        </w:rPr>
        <w:t>21.2 Red-team test cases</w:t>
      </w:r>
    </w:p>
    <w:p>
      <w:pPr>
        <w:pStyle w:val="ListBullet"/>
        <w:spacing w:after="40"/>
      </w:pPr>
      <w:r>
        <w:rPr>
          <w:rFonts w:ascii="Aptos" w:hAnsi="Aptos"/>
          <w:color w:val="243342"/>
          <w:sz w:val="18"/>
        </w:rPr>
        <w:t>Manifest attempts to widen host policy through inheritance.</w:t>
      </w:r>
    </w:p>
    <w:p>
      <w:pPr>
        <w:pStyle w:val="ListBullet"/>
        <w:spacing w:after="40"/>
      </w:pPr>
      <w:r>
        <w:rPr>
          <w:rFonts w:ascii="Aptos" w:hAnsi="Aptos"/>
          <w:color w:val="243342"/>
          <w:sz w:val="18"/>
        </w:rPr>
        <w:t>Secret in query string/path/body.</w:t>
      </w:r>
    </w:p>
    <w:p>
      <w:pPr>
        <w:pStyle w:val="ListBullet"/>
        <w:spacing w:after="40"/>
      </w:pPr>
      <w:r>
        <w:rPr>
          <w:rFonts w:ascii="Aptos" w:hAnsi="Aptos"/>
          <w:color w:val="243342"/>
          <w:sz w:val="18"/>
        </w:rPr>
        <w:t>Redirect to an unapproved host.</w:t>
      </w:r>
    </w:p>
    <w:p>
      <w:pPr>
        <w:pStyle w:val="ListBullet"/>
        <w:spacing w:after="40"/>
      </w:pPr>
      <w:r>
        <w:rPr>
          <w:rFonts w:ascii="Aptos" w:hAnsi="Aptos"/>
          <w:color w:val="243342"/>
          <w:sz w:val="18"/>
        </w:rPr>
        <w:t>Header injection using CR/LF and Unicode separators.</w:t>
      </w:r>
    </w:p>
    <w:p>
      <w:pPr>
        <w:pStyle w:val="ListBullet"/>
        <w:spacing w:after="40"/>
      </w:pPr>
      <w:r>
        <w:rPr>
          <w:rFonts w:ascii="Aptos" w:hAnsi="Aptos"/>
          <w:color w:val="243342"/>
          <w:sz w:val="18"/>
        </w:rPr>
        <w:t>Punycode/confusable host names.</w:t>
      </w:r>
    </w:p>
    <w:p>
      <w:pPr>
        <w:pStyle w:val="ListBullet"/>
        <w:spacing w:after="40"/>
      </w:pPr>
      <w:r>
        <w:rPr>
          <w:rFonts w:ascii="Aptos" w:hAnsi="Aptos"/>
          <w:color w:val="243342"/>
          <w:sz w:val="18"/>
        </w:rPr>
        <w:t>Oversized compressed response that expands beyond decoded-byte cap.</w:t>
      </w:r>
    </w:p>
    <w:p>
      <w:pPr>
        <w:pStyle w:val="ListBullet"/>
        <w:spacing w:after="40"/>
      </w:pPr>
      <w:r>
        <w:rPr>
          <w:rFonts w:ascii="Aptos" w:hAnsi="Aptos"/>
          <w:color w:val="243342"/>
          <w:sz w:val="18"/>
        </w:rPr>
        <w:t>Deep JSON nesting and huge arrays.</w:t>
      </w:r>
    </w:p>
    <w:p>
      <w:pPr>
        <w:pStyle w:val="ListBullet"/>
        <w:spacing w:after="40"/>
      </w:pPr>
      <w:r>
        <w:rPr>
          <w:rFonts w:ascii="Aptos" w:hAnsi="Aptos"/>
          <w:color w:val="243342"/>
          <w:sz w:val="18"/>
        </w:rPr>
        <w:t>Matcher conflicts at equal priority.</w:t>
      </w:r>
    </w:p>
    <w:p>
      <w:pPr>
        <w:pStyle w:val="ListBullet"/>
        <w:spacing w:after="40"/>
      </w:pPr>
      <w:r>
        <w:rPr>
          <w:rFonts w:ascii="Aptos" w:hAnsi="Aptos"/>
          <w:color w:val="243342"/>
          <w:sz w:val="18"/>
        </w:rPr>
        <w:t>Manifest inheritance cycles.</w:t>
      </w:r>
    </w:p>
    <w:p>
      <w:pPr>
        <w:pStyle w:val="ListBullet"/>
        <w:spacing w:after="40"/>
      </w:pPr>
      <w:r>
        <w:rPr>
          <w:rFonts w:ascii="Aptos" w:hAnsi="Aptos"/>
          <w:color w:val="243342"/>
          <w:sz w:val="18"/>
        </w:rPr>
        <w:t>Provider returns HTML instead of JSON.</w:t>
      </w:r>
    </w:p>
    <w:p>
      <w:pPr>
        <w:pStyle w:val="ListBullet"/>
        <w:spacing w:after="40"/>
      </w:pPr>
      <w:r>
        <w:rPr>
          <w:rFonts w:ascii="Aptos" w:hAnsi="Aptos"/>
          <w:color w:val="243342"/>
          <w:sz w:val="18"/>
        </w:rPr>
        <w:t>Provider returns 403 for a valid but scoped key.</w:t>
      </w:r>
    </w:p>
    <w:p>
      <w:pPr>
        <w:pStyle w:val="ListBullet"/>
        <w:spacing w:after="40"/>
      </w:pPr>
      <w:r>
        <w:rPr>
          <w:rFonts w:ascii="Aptos" w:hAnsi="Aptos"/>
          <w:color w:val="243342"/>
          <w:sz w:val="18"/>
        </w:rPr>
        <w:t>Provider returns 400 for invalid authentication.</w:t>
      </w:r>
    </w:p>
    <w:p>
      <w:pPr>
        <w:pStyle w:val="ListBullet"/>
        <w:spacing w:after="40"/>
      </w:pPr>
      <w:r>
        <w:rPr>
          <w:rFonts w:ascii="Aptos" w:hAnsi="Aptos"/>
          <w:color w:val="243342"/>
          <w:sz w:val="18"/>
        </w:rPr>
        <w:t>Provider returns 429 with quota exhaustion semantics.</w:t>
      </w:r>
    </w:p>
    <w:p>
      <w:pPr>
        <w:pStyle w:val="ListBullet"/>
        <w:spacing w:after="40"/>
      </w:pPr>
      <w:r>
        <w:rPr>
          <w:rFonts w:ascii="Aptos" w:hAnsi="Aptos"/>
          <w:color w:val="243342"/>
          <w:sz w:val="18"/>
        </w:rPr>
        <w:t>Generated snippets attempting to contain the submitted or derived secret.</w:t>
      </w:r>
    </w:p>
    <w:p>
      <w:pPr>
        <w:pStyle w:val="ListBullet"/>
        <w:spacing w:after="40"/>
      </w:pPr>
      <w:r>
        <w:rPr>
          <w:rFonts w:ascii="Aptos" w:hAnsi="Aptos"/>
          <w:color w:val="243342"/>
          <w:sz w:val="18"/>
        </w:rPr>
        <w:t>CLI environment variables accidentally leaked to subprocess arguments/logs.</w:t>
      </w:r>
    </w:p>
    <w:p>
      <w:pPr>
        <w:pStyle w:val="Heading2"/>
        <w:spacing w:before="180" w:after="80"/>
      </w:pPr>
      <w:r>
        <w:rPr>
          <w:rFonts w:ascii="Aptos" w:hAnsi="Aptos"/>
          <w:color w:val="0F766E"/>
        </w:rPr>
        <w:t>21.3 Live credential policy</w:t>
      </w:r>
    </w:p>
    <w:p>
      <w:pPr>
        <w:spacing w:after="100" w:line="252" w:lineRule="auto"/>
      </w:pPr>
      <w:r>
        <w:rPr>
          <w:rFonts w:ascii="Aptos" w:hAnsi="Aptos"/>
          <w:color w:val="243342"/>
          <w:sz w:val="18"/>
        </w:rPr>
        <w:t>Live credentials never run on pull requests or forks. Protected manual/scheduled compatibility jobs may use maintainer credentials only when approved, with suppressed outputs and no uploaded live-response artifacts.</w:t>
      </w:r>
    </w:p>
    <w:p>
      <w:pPr>
        <w:pStyle w:val="Heading1"/>
        <w:spacing w:before="240" w:after="120"/>
      </w:pPr>
      <w:r>
        <w:rPr>
          <w:rFonts w:ascii="Aptos Display" w:hAnsi="Aptos Display"/>
          <w:color w:val="17324D"/>
        </w:rPr>
        <w:t>22. CI/CD, Supply Chain &amp; Release Engineering</w:t>
      </w:r>
    </w:p>
    <w:p>
      <w:pPr>
        <w:pStyle w:val="Heading2"/>
        <w:spacing w:before="180" w:after="80"/>
      </w:pPr>
      <w:r>
        <w:rPr>
          <w:rFonts w:ascii="Aptos" w:hAnsi="Aptos"/>
          <w:color w:val="0F766E"/>
        </w:rPr>
        <w:t>22.1 PR pipeline</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6"/>
              </w:rPr>
              <w:t>PR</w:t>
            </w:r>
            <w:r>
              <w:br/>
            </w:r>
            <w:r>
              <w:rPr>
                <w:rFonts w:ascii="Consolas" w:hAnsi="Consolas"/>
                <w:color w:val="334155"/>
                <w:sz w:val="16"/>
              </w:rPr>
              <w:t xml:space="preserve"> → format/typecheck/lint</w:t>
            </w:r>
            <w:r>
              <w:br/>
            </w:r>
            <w:r>
              <w:rPr>
                <w:rFonts w:ascii="Consolas" w:hAnsi="Consolas"/>
                <w:color w:val="334155"/>
                <w:sz w:val="16"/>
              </w:rPr>
              <w:t xml:space="preserve"> → unit tests</w:t>
            </w:r>
            <w:r>
              <w:br/>
            </w:r>
            <w:r>
              <w:rPr>
                <w:rFonts w:ascii="Consolas" w:hAnsi="Consolas"/>
                <w:color w:val="334155"/>
                <w:sz w:val="16"/>
              </w:rPr>
              <w:t xml:space="preserve"> → property/fuzz</w:t>
            </w:r>
            <w:r>
              <w:br/>
            </w:r>
            <w:r>
              <w:rPr>
                <w:rFonts w:ascii="Consolas" w:hAnsi="Consolas"/>
                <w:color w:val="334155"/>
                <w:sz w:val="16"/>
              </w:rPr>
              <w:t xml:space="preserve"> → security/redaction tests</w:t>
            </w:r>
            <w:r>
              <w:br/>
            </w:r>
            <w:r>
              <w:rPr>
                <w:rFonts w:ascii="Consolas" w:hAnsi="Consolas"/>
                <w:color w:val="334155"/>
                <w:sz w:val="16"/>
              </w:rPr>
              <w:t xml:space="preserve"> → manifest validation</w:t>
            </w:r>
            <w:r>
              <w:br/>
            </w:r>
            <w:r>
              <w:rPr>
                <w:rFonts w:ascii="Consolas" w:hAnsi="Consolas"/>
                <w:color w:val="334155"/>
                <w:sz w:val="16"/>
              </w:rPr>
              <w:t xml:space="preserve"> → provider fixtures</w:t>
            </w:r>
            <w:r>
              <w:br/>
            </w:r>
            <w:r>
              <w:rPr>
                <w:rFonts w:ascii="Consolas" w:hAnsi="Consolas"/>
                <w:color w:val="334155"/>
                <w:sz w:val="16"/>
              </w:rPr>
              <w:t xml:space="preserve"> → a11y smoke</w:t>
            </w:r>
            <w:r>
              <w:br/>
            </w:r>
            <w:r>
              <w:rPr>
                <w:rFonts w:ascii="Consolas" w:hAnsi="Consolas"/>
                <w:color w:val="334155"/>
                <w:sz w:val="16"/>
              </w:rPr>
              <w:t xml:space="preserve"> → Node/Worker parity</w:t>
            </w:r>
            <w:r>
              <w:br/>
            </w:r>
            <w:r>
              <w:rPr>
                <w:rFonts w:ascii="Consolas" w:hAnsi="Consolas"/>
                <w:color w:val="334155"/>
                <w:sz w:val="16"/>
              </w:rPr>
              <w:t xml:space="preserve"> → build web/worker/cli</w:t>
            </w:r>
            <w:r>
              <w:br/>
            </w:r>
            <w:r>
              <w:rPr>
                <w:rFonts w:ascii="Consolas" w:hAnsi="Consolas"/>
                <w:color w:val="334155"/>
                <w:sz w:val="16"/>
              </w:rPr>
              <w:t xml:space="preserve"> → SCA/license/secret scan</w:t>
            </w:r>
            <w:r>
              <w:br/>
            </w:r>
            <w:r>
              <w:rPr>
                <w:rFonts w:ascii="Consolas" w:hAnsi="Consolas"/>
                <w:color w:val="334155"/>
                <w:sz w:val="16"/>
              </w:rPr>
              <w:t xml:space="preserve"> → preview deployment with no live credentials</w:t>
            </w:r>
          </w:p>
        </w:tc>
      </w:tr>
    </w:tbl>
    <w:p>
      <w:pPr>
        <w:spacing w:after="20"/>
      </w:pPr>
    </w:p>
    <w:p>
      <w:pPr>
        <w:pStyle w:val="Heading2"/>
        <w:spacing w:before="180" w:after="80"/>
      </w:pPr>
      <w:r>
        <w:rPr>
          <w:rFonts w:ascii="Aptos" w:hAnsi="Aptos"/>
          <w:color w:val="0F766E"/>
        </w:rPr>
        <w:t>22.2 Release pipeline</w:t>
      </w:r>
    </w:p>
    <w:p>
      <w:pPr>
        <w:pStyle w:val="ListBullet"/>
        <w:spacing w:after="40"/>
      </w:pPr>
      <w:r>
        <w:rPr>
          <w:rFonts w:ascii="Aptos" w:hAnsi="Aptos"/>
          <w:color w:val="243342"/>
          <w:sz w:val="18"/>
        </w:rPr>
        <w:t>npm trusted publishing using OIDC.</w:t>
      </w:r>
    </w:p>
    <w:p>
      <w:pPr>
        <w:pStyle w:val="ListBullet"/>
        <w:spacing w:after="40"/>
      </w:pPr>
      <w:r>
        <w:rPr>
          <w:rFonts w:ascii="Aptos" w:hAnsi="Aptos"/>
          <w:color w:val="243342"/>
          <w:sz w:val="18"/>
        </w:rPr>
        <w:t>Provenance attestations for published packages where supported.</w:t>
      </w:r>
    </w:p>
    <w:p>
      <w:pPr>
        <w:pStyle w:val="ListBullet"/>
        <w:spacing w:after="40"/>
      </w:pPr>
      <w:r>
        <w:rPr>
          <w:rFonts w:ascii="Aptos" w:hAnsi="Aptos"/>
          <w:color w:val="243342"/>
          <w:sz w:val="18"/>
        </w:rPr>
        <w:t>SHA-256 checksums for binaries/artifacts.</w:t>
      </w:r>
    </w:p>
    <w:p>
      <w:pPr>
        <w:pStyle w:val="ListBullet"/>
        <w:spacing w:after="40"/>
      </w:pPr>
      <w:r>
        <w:rPr>
          <w:rFonts w:ascii="Aptos" w:hAnsi="Aptos"/>
          <w:color w:val="243342"/>
          <w:sz w:val="18"/>
        </w:rPr>
        <w:t>Sigstore/Cosign or equivalent signing for release metadata/binaries.</w:t>
      </w:r>
    </w:p>
    <w:p>
      <w:pPr>
        <w:pStyle w:val="ListBullet"/>
        <w:spacing w:after="40"/>
      </w:pPr>
      <w:r>
        <w:rPr>
          <w:rFonts w:ascii="Aptos" w:hAnsi="Aptos"/>
          <w:color w:val="243342"/>
          <w:sz w:val="18"/>
        </w:rPr>
        <w:t>SBOM generation.</w:t>
      </w:r>
    </w:p>
    <w:p>
      <w:pPr>
        <w:pStyle w:val="ListBullet"/>
        <w:spacing w:after="40"/>
      </w:pPr>
      <w:r>
        <w:rPr>
          <w:rFonts w:ascii="Aptos" w:hAnsi="Aptos"/>
          <w:color w:val="243342"/>
          <w:sz w:val="18"/>
        </w:rPr>
        <w:t>GitHub Actions pinned to commit SHAs.</w:t>
      </w:r>
    </w:p>
    <w:p>
      <w:pPr>
        <w:pStyle w:val="ListBullet"/>
        <w:spacing w:after="40"/>
      </w:pPr>
      <w:r>
        <w:rPr>
          <w:rFonts w:ascii="Aptos" w:hAnsi="Aptos"/>
          <w:color w:val="243342"/>
          <w:sz w:val="18"/>
        </w:rPr>
        <w:t>Least-privilege CI permissions.</w:t>
      </w:r>
    </w:p>
    <w:p>
      <w:pPr>
        <w:pStyle w:val="ListBullet"/>
        <w:spacing w:after="40"/>
      </w:pPr>
      <w:r>
        <w:rPr>
          <w:rFonts w:ascii="Aptos" w:hAnsi="Aptos"/>
          <w:color w:val="243342"/>
          <w:sz w:val="18"/>
        </w:rPr>
        <w:t>Protected production environment with required reviewer for security-sensitive changes.</w:t>
      </w:r>
    </w:p>
    <w:p>
      <w:pPr>
        <w:pStyle w:val="ListBullet"/>
        <w:spacing w:after="40"/>
      </w:pPr>
      <w:r>
        <w:rPr>
          <w:rFonts w:ascii="Aptos" w:hAnsi="Aptos"/>
          <w:color w:val="243342"/>
          <w:sz w:val="18"/>
        </w:rPr>
        <w:t>Manifest schema compatibility tests and provider `verifiedOn` freshness gate.</w:t>
      </w:r>
    </w:p>
    <w:p>
      <w:pPr>
        <w:pStyle w:val="Heading2"/>
        <w:spacing w:before="180" w:after="80"/>
      </w:pPr>
      <w:r>
        <w:rPr>
          <w:rFonts w:ascii="Aptos" w:hAnsi="Aptos"/>
          <w:color w:val="0F766E"/>
        </w:rPr>
        <w:t>22.3 Release rollback</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6"/>
              </w:rPr>
              <w:t>Build → Security gate → Deploy staging → Smoke tests → Promote</w:t>
            </w:r>
            <w:r>
              <w:br/>
            </w:r>
            <w:r>
              <w:rPr>
                <w:rFonts w:ascii="Consolas" w:hAnsi="Consolas"/>
                <w:color w:val="334155"/>
                <w:sz w:val="16"/>
              </w:rPr>
              <w:t xml:space="preserve">                                      ↘ failure → rollback last-known-good</w:t>
            </w:r>
            <w:r>
              <w:br/>
            </w:r>
            <w:r>
              <w:rPr>
                <w:rFonts w:ascii="Consolas" w:hAnsi="Consolas"/>
                <w:color w:val="334155"/>
                <w:sz w:val="16"/>
              </w:rPr>
              <w:t>Provider drift detected → disable adapter → publish incident note → patch manifest/code → re-enable</w:t>
            </w:r>
          </w:p>
        </w:tc>
      </w:tr>
    </w:tbl>
    <w:p>
      <w:pPr>
        <w:spacing w:after="20"/>
      </w:pPr>
    </w:p>
    <w:p>
      <w:pPr>
        <w:pStyle w:val="Heading1"/>
        <w:spacing w:before="240" w:after="120"/>
      </w:pPr>
      <w:r>
        <w:rPr>
          <w:rFonts w:ascii="Aptos Display" w:hAnsi="Aptos Display"/>
          <w:color w:val="17324D"/>
        </w:rPr>
        <w:t>23. Privacy, Legal &amp; Responsible Use</w:t>
      </w:r>
    </w:p>
    <w:p>
      <w:pPr>
        <w:pStyle w:val="Heading2"/>
        <w:spacing w:before="180" w:after="80"/>
      </w:pPr>
      <w:r>
        <w:rPr>
          <w:rFonts w:ascii="Aptos" w:hAnsi="Aptos"/>
          <w:color w:val="0F766E"/>
        </w:rPr>
        <w:t>23.1 Required public pages</w:t>
      </w:r>
    </w:p>
    <w:p>
      <w:pPr>
        <w:pStyle w:val="ListBullet"/>
        <w:spacing w:after="40"/>
      </w:pPr>
      <w:r>
        <w:rPr>
          <w:rFonts w:ascii="Aptos" w:hAnsi="Aptos"/>
          <w:color w:val="243342"/>
          <w:sz w:val="18"/>
        </w:rPr>
        <w:t>Terms of Use</w:t>
      </w:r>
    </w:p>
    <w:p>
      <w:pPr>
        <w:pStyle w:val="ListBullet"/>
        <w:spacing w:after="40"/>
      </w:pPr>
      <w:r>
        <w:rPr>
          <w:rFonts w:ascii="Aptos" w:hAnsi="Aptos"/>
          <w:color w:val="243342"/>
          <w:sz w:val="18"/>
        </w:rPr>
        <w:t>Privacy Policy</w:t>
      </w:r>
    </w:p>
    <w:p>
      <w:pPr>
        <w:pStyle w:val="ListBullet"/>
        <w:spacing w:after="40"/>
      </w:pPr>
      <w:r>
        <w:rPr>
          <w:rFonts w:ascii="Aptos" w:hAnsi="Aptos"/>
          <w:color w:val="243342"/>
          <w:sz w:val="18"/>
        </w:rPr>
        <w:t>Responsible Use Policy</w:t>
      </w:r>
    </w:p>
    <w:p>
      <w:pPr>
        <w:pStyle w:val="ListBullet"/>
        <w:spacing w:after="40"/>
      </w:pPr>
      <w:r>
        <w:rPr>
          <w:rFonts w:ascii="Aptos" w:hAnsi="Aptos"/>
          <w:color w:val="243342"/>
          <w:sz w:val="18"/>
        </w:rPr>
        <w:t>Responsible Disclosure / Security Contact</w:t>
      </w:r>
    </w:p>
    <w:p>
      <w:pPr>
        <w:pStyle w:val="ListBullet"/>
        <w:spacing w:after="40"/>
      </w:pPr>
      <w:r>
        <w:rPr>
          <w:rFonts w:ascii="Aptos" w:hAnsi="Aptos"/>
          <w:color w:val="243342"/>
          <w:sz w:val="18"/>
        </w:rPr>
        <w:t>Provider Adapter Contribution Policy</w:t>
      </w:r>
    </w:p>
    <w:p>
      <w:pPr>
        <w:pStyle w:val="ListBullet"/>
        <w:spacing w:after="40"/>
      </w:pPr>
      <w:r>
        <w:rPr>
          <w:rFonts w:ascii="Aptos" w:hAnsi="Aptos"/>
          <w:color w:val="243342"/>
          <w:sz w:val="18"/>
        </w:rPr>
        <w:t>Security Architecture Summary</w:t>
      </w:r>
    </w:p>
    <w:p>
      <w:pPr>
        <w:pStyle w:val="ListBullet"/>
        <w:spacing w:after="40"/>
      </w:pPr>
      <w:r>
        <w:rPr>
          <w:rFonts w:ascii="Aptos" w:hAnsi="Aptos"/>
          <w:color w:val="243342"/>
          <w:sz w:val="18"/>
        </w:rPr>
        <w:t>Changelog / Release Notes</w:t>
      </w:r>
    </w:p>
    <w:p>
      <w:pPr>
        <w:pStyle w:val="Heading2"/>
        <w:spacing w:before="180" w:after="80"/>
      </w:pPr>
      <w:r>
        <w:rPr>
          <w:rFonts w:ascii="Aptos" w:hAnsi="Aptos"/>
          <w:color w:val="0F766E"/>
        </w:rPr>
        <w:t>23.2 Privacy rules</w:t>
      </w:r>
    </w:p>
    <w:p>
      <w:pPr>
        <w:pStyle w:val="ListBullet"/>
        <w:spacing w:after="40"/>
      </w:pPr>
      <w:r>
        <w:rPr>
          <w:rFonts w:ascii="Aptos" w:hAnsi="Aptos"/>
          <w:color w:val="243342"/>
          <w:sz w:val="18"/>
        </w:rPr>
        <w:t>No credential persistence in MVP.</w:t>
      </w:r>
    </w:p>
    <w:p>
      <w:pPr>
        <w:pStyle w:val="ListBullet"/>
        <w:spacing w:after="40"/>
      </w:pPr>
      <w:r>
        <w:rPr>
          <w:rFonts w:ascii="Aptos" w:hAnsi="Aptos"/>
          <w:color w:val="243342"/>
          <w:sz w:val="18"/>
        </w:rPr>
        <w:t>No raw IP storage; source-rate-limit identifiers use a rotating server-side HMAC-derived pseudonym.</w:t>
      </w:r>
    </w:p>
    <w:p>
      <w:pPr>
        <w:pStyle w:val="ListBullet"/>
        <w:spacing w:after="40"/>
      </w:pPr>
      <w:r>
        <w:rPr>
          <w:rFonts w:ascii="Aptos" w:hAnsi="Aptos"/>
          <w:color w:val="243342"/>
          <w:sz w:val="18"/>
        </w:rPr>
        <w:t>Explicit retention targets: source-rate-limit state 24h, provider admission budget 15–60m as configured, abuse aggregate 7d, raw IP never stored, provider raw response never stored, user credential never stored.</w:t>
      </w:r>
    </w:p>
    <w:p>
      <w:pPr>
        <w:pStyle w:val="ListBullet"/>
        <w:spacing w:after="40"/>
      </w:pPr>
      <w:r>
        <w:rPr>
          <w:rFonts w:ascii="Aptos" w:hAnsi="Aptos"/>
          <w:color w:val="243342"/>
          <w:sz w:val="18"/>
        </w:rPr>
        <w:t>No credential-field analytics/session replay.</w:t>
      </w:r>
    </w:p>
    <w:p>
      <w:pPr>
        <w:pStyle w:val="ListBullet"/>
        <w:spacing w:after="40"/>
      </w:pPr>
      <w:r>
        <w:rPr>
          <w:rFonts w:ascii="Aptos" w:hAnsi="Aptos"/>
          <w:color w:val="243342"/>
          <w:sz w:val="18"/>
        </w:rPr>
        <w:t>Credential-bearing responses use `Cache-Control: no-store`.</w:t>
      </w:r>
    </w:p>
    <w:p>
      <w:pPr>
        <w:pStyle w:val="ListBullet"/>
        <w:spacing w:after="40"/>
      </w:pPr>
      <w:r>
        <w:rPr>
          <w:rFonts w:ascii="Aptos" w:hAnsi="Aptos"/>
          <w:color w:val="243342"/>
          <w:sz w:val="18"/>
        </w:rPr>
        <w:t>The privacy notice explains transient hosted processing and abuse-control metadata.</w:t>
      </w:r>
    </w:p>
    <w:p>
      <w:pPr>
        <w:pStyle w:val="Heading2"/>
        <w:spacing w:before="180" w:after="80"/>
      </w:pPr>
      <w:r>
        <w:rPr>
          <w:rFonts w:ascii="Aptos" w:hAnsi="Aptos"/>
          <w:color w:val="0F766E"/>
        </w:rPr>
        <w:t>23.3 Responsible-use boundary</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Authorized debugging only  </w:t>
            </w:r>
            <w:r>
              <w:rPr>
                <w:color w:val="243342"/>
                <w:sz w:val="18"/>
              </w:rPr>
              <w:t>The product is designed to test credentials the user is authorized to use. It must not be positioned as a tool for validating someone else's leaked key, credential dumps or third-party secrets. Bulk secret discovery/verification is explicitly out of scope.</w:t>
            </w:r>
          </w:p>
        </w:tc>
      </w:tr>
    </w:tbl>
    <w:p>
      <w:pPr>
        <w:spacing w:after="20"/>
      </w:pPr>
    </w:p>
    <w:p>
      <w:pPr>
        <w:pStyle w:val="Heading1"/>
        <w:spacing w:before="240" w:after="120"/>
      </w:pPr>
      <w:r>
        <w:rPr>
          <w:rFonts w:ascii="Aptos" w:hAnsi="Aptos"/>
          <w:color w:val="17324D"/>
        </w:rPr>
        <w:t>24. Threat Model, Operations &amp; Incident Response</w:t>
      </w:r>
    </w:p>
    <w:p>
      <w:pPr>
        <w:pStyle w:val="Normal"/>
      </w:pPr>
      <w:r>
        <w:rPr>
          <w:rFonts w:ascii="Aptos" w:hAnsi="Aptos"/>
          <w:sz w:val="17"/>
          <w:color w:val="243342"/>
        </w:rPr>
        <w:t>Security review gate: SAST, dependency/license analysis, secret scanning, DAST, property/fuzz testing, manifest-abuse tests, redaction tests, URL/redirect tests, manual security review and an independent penetration test before general-public hosted launch where feasible.</w:t>
      </w:r>
    </w:p>
    <w:p>
      <w:pPr>
        <w:pStyle w:val="Normal"/>
      </w:pPr>
      <w:r>
        <w:rPr>
          <w:rFonts w:ascii="Aptos" w:hAnsi="Aptos"/>
          <w:sz w:val="17"/>
          <w:color w:val="243342"/>
        </w:rPr>
        <w:t>Threat classes: credential exfiltration; manifest exfiltration; SSRF; redirect leakage; header/request injection; provider abuse/liveness oracle; denial of service; telemetry leakage; supply-chain compromise; malicious provider response; local `.env` disclosure.</w:t>
      </w:r>
    </w:p>
    <w:p>
      <w:pPr>
        <w:pStyle w:val="Normal"/>
      </w:pPr>
      <w:r>
        <w:rPr>
          <w:rFonts w:ascii="Aptos" w:hAnsi="Aptos"/>
          <w:sz w:val="17"/>
          <w:color w:val="243342"/>
        </w:rPr>
        <w:t>Assets: user credentials, derived tokens/signatures, provider responses, API HealthLab control secrets, manifest integrity, admission state and release artifacts. Trust boundaries: browser ↔ Worker, Worker ↔ Durable Object, engine ↔ provider, maintainer ↔ manifests/releases, CLI ↔ local filesystem, CI ↔ npm/GitHub.</w:t>
      </w:r>
    </w:p>
    <w:p>
      <w:pPr>
        <w:pStyle w:val="Heading 2"/>
      </w:pPr>
      <w:r>
        <w:rPr>
          <w:rFonts w:ascii="Aptos" w:hAnsi="Aptos"/>
          <w:sz w:val="24"/>
          <w:color w:val="0F766E"/>
        </w:rPr>
        <w:t>24.1 Threat model summary</w:t>
      </w:r>
    </w:p>
    <w:p>
      <w:pPr>
        <w:pStyle w:val="Heading2"/>
      </w:pPr>
      <w:r>
        <w:rPr>
          <w:rFonts w:ascii="Aptos" w:hAnsi="Aptos"/>
          <w:sz w:val="24"/>
          <w:color w:val="0F766E"/>
        </w:rPr>
        <w:t>24.1 Threat model summary</w:t>
      </w:r>
    </w:p>
    <w:p>
      <w:pPr>
        <w:pStyle w:val="Normal"/>
      </w:pPr>
      <w:r>
        <w:rPr>
          <w:rFonts w:ascii="Aptos" w:hAnsi="Aptos"/>
          <w:sz w:val="17"/>
          <w:color w:val="243342"/>
        </w:rPr>
        <w:t>Assets: user credentials, derived tokens/signatures, provider responses, API HealthLab control secrets, manifest integrity, admission state and release artifacts. Trust boundaries: browser↔Worker, Worker↔Durable Object, core↔provider, maintainer↔release, CLI↔filesystem, CI↔npm/GitHub.</w:t>
      </w:r>
    </w:p>
    <w:p>
      <w:pPr>
        <w:pStyle w:val="Normal"/>
      </w:pPr>
      <w:r>
        <w:rPr>
          <w:rFonts w:ascii="Aptos" w:hAnsi="Aptos"/>
          <w:sz w:val="17"/>
          <w:color w:val="243342"/>
        </w:rPr>
        <w:t>Threat classes: credential exfiltration, manifest exfiltration, SSRF, redirect leakage, header/path injection, credential liveness oracle, denial of service, provider abuse, telemetry leakage, malicious provider response, supply-chain compromise and `.env` disclosure.</w:t>
      </w:r>
    </w:p>
    <w:p>
      <w:pPr>
        <w:pStyle w:val="Normal"/>
      </w:pPr>
      <w:r>
        <w:rPr>
          <w:rFonts w:ascii="Aptos" w:hAnsi="Aptos"/>
          <w:sz w:val="17"/>
          <w:color w:val="243342"/>
        </w:rPr>
        <w:t>Pre-public hosted gate: SAST, SCA/license scan, secret scan, DAST, property/fuzz tests, manifest-abuse tests, redaction tests, URL/redirect tests, manual security review and independent penetration testing where feasible.</w:t>
      </w:r>
    </w:p>
    <w:p>
      <w:pPr>
        <w:pStyle w:val="Heading2"/>
        <w:spacing w:before="180" w:after="80"/>
      </w:pPr>
      <w:r>
        <w:rPr>
          <w:rFonts w:ascii="Aptos" w:hAnsi="Aptos"/>
          <w:color w:val="0F766E"/>
        </w:rPr>
        <w:t>24.2 Environments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Environment</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Rules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Development</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Separate Turnstile keys, DO namespace, HMAC secret and provider fixtures.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Staging</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Production-like configuration; no production credentials; security smoke and release canary.</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Production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Separate secrets, DO namespace, release approvals and adapter kill switch.</w:t>
            </w:r>
          </w:p>
        </w:tc>
      </w:tr>
    </w:tbl>
    <w:p>
      <w:pPr>
        <w:pStyle w:val="Heading2"/>
        <w:spacing w:before="180" w:after="80"/>
      </w:pPr>
      <w:r>
        <w:rPr>
          <w:rFonts w:ascii="Aptos" w:hAnsi="Aptos"/>
          <w:color w:val="0F766E"/>
        </w:rPr>
        <w:t>24.3 API HealthLab-owned secrets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Secret</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Storage</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Rotation</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TURNSTILE_SECRET_KEY</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Cloudflare secret binding</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Manual or scheduled rotation.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Rate-limit HMAC secret</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Cloudflare secret binding</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Controlled rotation with overlap window.</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Release-signing identity</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Offline/protected release environment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Controlled rotation.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npm publisher identity</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OIDC trusted publishing</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 long-lived token.</w:t>
            </w:r>
          </w:p>
        </w:tc>
      </w:tr>
    </w:tbl>
    <w:p>
      <w:pPr>
        <w:pStyle w:val="Heading2"/>
        <w:spacing w:before="180" w:after="80"/>
      </w:pPr>
      <w:r>
        <w:rPr>
          <w:rFonts w:ascii="Aptos" w:hAnsi="Aptos"/>
          <w:color w:val="0F766E"/>
        </w:rPr>
        <w:t>24.4 Incident response</w:t>
      </w:r>
    </w:p>
    <w:p>
      <w:pPr>
        <w:pStyle w:val="ListNumber"/>
        <w:spacing w:after="40"/>
      </w:pPr>
      <w:r>
        <w:rPr>
          <w:rFonts w:ascii="Aptos" w:hAnsi="Aptos"/>
          <w:sz w:val="18"/>
        </w:rPr>
        <w:t>Disable affected hosted functionality or provider adapter before further credential processing.</w:t>
      </w:r>
    </w:p>
    <w:p>
      <w:pPr>
        <w:pStyle w:val="ListNumber"/>
        <w:spacing w:after="40"/>
      </w:pPr>
      <w:r>
        <w:rPr>
          <w:rFonts w:ascii="Aptos" w:hAnsi="Aptos"/>
          <w:sz w:val="18"/>
        </w:rPr>
        <w:t>Identify deployment, adapter version and exposure window.</w:t>
      </w:r>
    </w:p>
    <w:p>
      <w:pPr>
        <w:pStyle w:val="ListNumber"/>
        <w:spacing w:after="40"/>
      </w:pPr>
      <w:r>
        <w:rPr>
          <w:rFonts w:ascii="Aptos" w:hAnsi="Aptos"/>
          <w:sz w:val="18"/>
        </w:rPr>
        <w:t>Preserve only security-safe metadata required for investigation.</w:t>
      </w:r>
    </w:p>
    <w:p>
      <w:pPr>
        <w:pStyle w:val="ListNumber"/>
        <w:spacing w:after="40"/>
      </w:pPr>
      <w:r>
        <w:rPr>
          <w:rFonts w:ascii="Aptos" w:hAnsi="Aptos"/>
          <w:sz w:val="18"/>
        </w:rPr>
        <w:t>Assess whether credentials could have entered logs, telemetry, caches or provider requests incorrectly.</w:t>
      </w:r>
    </w:p>
    <w:p>
      <w:pPr>
        <w:pStyle w:val="ListNumber"/>
        <w:spacing w:after="40"/>
      </w:pPr>
      <w:r>
        <w:rPr>
          <w:rFonts w:ascii="Aptos" w:hAnsi="Aptos"/>
          <w:sz w:val="18"/>
        </w:rPr>
        <w:t>Rotate API HealthLab-owned secrets when relevant.</w:t>
      </w:r>
    </w:p>
    <w:p>
      <w:pPr>
        <w:pStyle w:val="ListNumber"/>
        <w:spacing w:after="40"/>
      </w:pPr>
      <w:r>
        <w:rPr>
          <w:rFonts w:ascii="Aptos" w:hAnsi="Aptos"/>
          <w:sz w:val="18"/>
        </w:rPr>
        <w:t>Notify users/providers when exposure is reasonably established and notification is appropriate.</w:t>
      </w:r>
    </w:p>
    <w:p>
      <w:pPr>
        <w:pStyle w:val="ListNumber"/>
        <w:spacing w:after="40"/>
      </w:pPr>
      <w:r>
        <w:rPr>
          <w:rFonts w:ascii="Aptos" w:hAnsi="Aptos"/>
          <w:sz w:val="18"/>
        </w:rPr>
        <w:t>Patch, test, redeploy, verify and document the incident.</w:t>
      </w:r>
    </w:p>
    <w:p>
      <w:pPr>
        <w:pStyle w:val="ListNumber"/>
        <w:spacing w:after="40"/>
      </w:pPr>
      <w:r>
        <w:rPr>
          <w:rFonts w:ascii="Aptos" w:hAnsi="Aptos"/>
          <w:sz w:val="18"/>
        </w:rPr>
        <w:t>Run a post-incident review and add a regression test/ADR if architecture changed.</w:t>
      </w:r>
    </w:p>
    <w:p>
      <w:pPr>
        <w:pStyle w:val="Heading1"/>
      </w:pPr>
      <w:r>
        <w:rPr>
          <w:rFonts w:ascii="Aptos" w:hAnsi="Aptos"/>
          <w:sz w:val="32"/>
          <w:color w:val="17324D"/>
        </w:rPr>
        <w:t>25. Functional Requirements</w:t>
      </w:r>
    </w:p>
    <w:p>
      <w:pPr>
        <w:pStyle w:val="Normal"/>
      </w:pPr>
      <w:r>
        <w:rPr>
          <w:rFonts w:ascii="Aptos" w:hAnsi="Aptos"/>
          <w:sz w:val="17"/>
          <w:color w:val="243342"/>
        </w:rPr>
        <w:t>These requirements are implementation-testable and form the MVP functional contract.</w:t>
      </w:r>
    </w:p>
    <w:tbl>
      <w:tblPr>
        <w:tblW w:w="9000" w:type="dxa"/>
      </w:tblPr>
      <w:tblGrid>
        <w:gridCol w:w="4500"/>
        <w:gridCol w:w="4500"/>
      </w:tblGrid>
      <w:tr>
        <w:tc>
          <w:tcPr>
            <w:shd w:fill="17324D"/>
          </w:tcPr>
          <w:p>
            <w:r>
              <w:rPr>
                <w:rFonts w:ascii="Aptos" w:hAnsi="Aptos"/>
                <w:sz w:val="14"/>
                <w:color w:val="FFFFFF"/>
                <w:b/>
              </w:rPr>
              <w:t>ID</w:t>
            </w:r>
          </w:p>
        </w:tc>
        <w:tc>
          <w:tcPr>
            <w:shd w:fill="17324D"/>
          </w:tcPr>
          <w:p>
            <w:r>
              <w:rPr>
                <w:rFonts w:ascii="Aptos" w:hAnsi="Aptos"/>
                <w:sz w:val="14"/>
                <w:color w:val="FFFFFF"/>
                <w:b/>
              </w:rPr>
              <w:t>Requirement</w:t>
            </w:r>
          </w:p>
        </w:tc>
      </w:tr>
      <w:tr>
        <w:tc>
          <w:p>
            <w:r>
              <w:rPr>
                <w:rFonts w:ascii="Aptos" w:hAnsi="Aptos"/>
                <w:sz w:val="14"/>
              </w:rPr>
              <w:t>FR-01</w:t>
            </w:r>
          </w:p>
        </w:tc>
        <w:tc>
          <w:p>
            <w:r>
              <w:rPr>
                <w:rFonts w:ascii="Aptos" w:hAnsi="Aptos"/>
                <w:sz w:val="14"/>
              </w:rPr>
              <w:t>Provider and intent selection occur before credential entry.</w:t>
            </w:r>
          </w:p>
        </w:tc>
      </w:tr>
      <w:tr>
        <w:tc>
          <w:p>
            <w:r>
              <w:rPr>
                <w:rFonts w:ascii="Aptos" w:hAnsi="Aptos"/>
                <w:sz w:val="14"/>
              </w:rPr>
              <w:t>FR-02</w:t>
            </w:r>
          </w:p>
        </w:tc>
        <w:tc>
          <w:p>
            <w:r>
              <w:rPr>
                <w:rFonts w:ascii="Aptos" w:hAnsi="Aptos"/>
                <w:sz w:val="14"/>
              </w:rPr>
              <w:t>CredentialInput is a typed discriminated union; MVP live auth methods are API_KEY and BEARER_TOKEN.</w:t>
            </w:r>
          </w:p>
        </w:tc>
      </w:tr>
      <w:tr>
        <w:tc>
          <w:p>
            <w:r>
              <w:rPr>
                <w:rFonts w:ascii="Aptos" w:hAnsi="Aptos"/>
                <w:sz w:val="14"/>
              </w:rPr>
              <w:t>FR-03</w:t>
            </w:r>
          </w:p>
        </w:tc>
        <w:tc>
          <w:p>
            <w:r>
              <w:rPr>
                <w:rFonts w:ascii="Aptos" w:hAnsi="Aptos"/>
                <w:sz w:val="14"/>
              </w:rPr>
              <w:t>TargetContext is separate from authentication material.</w:t>
            </w:r>
          </w:p>
        </w:tc>
      </w:tr>
      <w:tr>
        <w:tc>
          <w:p>
            <w:r>
              <w:rPr>
                <w:rFonts w:ascii="Aptos" w:hAnsi="Aptos"/>
                <w:sz w:val="14"/>
              </w:rPr>
              <w:t>FR-04</w:t>
            </w:r>
          </w:p>
        </w:tc>
        <w:tc>
          <w:p>
            <w:r>
              <w:rPr>
                <w:rFonts w:ascii="Aptos" w:hAnsi="Aptos"/>
                <w:sz w:val="14"/>
              </w:rPr>
              <w:t>Intent parameters are validated against the resolved IntentSpec schema before secret materialization.</w:t>
            </w:r>
          </w:p>
        </w:tc>
      </w:tr>
      <w:tr>
        <w:tc>
          <w:p>
            <w:r>
              <w:rPr>
                <w:rFonts w:ascii="Aptos" w:hAnsi="Aptos"/>
                <w:sz w:val="14"/>
              </w:rPr>
              <w:t>FR-05</w:t>
            </w:r>
          </w:p>
        </w:tc>
        <w:tc>
          <w:p>
            <w:r>
              <w:rPr>
                <w:rFonts w:ascii="Aptos" w:hAnsi="Aptos"/>
                <w:sz w:val="14"/>
              </w:rPr>
              <w:t>Unsupported intent returns SKIPPED(UNSUPPORTED_INTENT) with no provider request.</w:t>
            </w:r>
          </w:p>
        </w:tc>
      </w:tr>
      <w:tr>
        <w:tc>
          <w:p>
            <w:r>
              <w:rPr>
                <w:rFonts w:ascii="Aptos" w:hAnsi="Aptos"/>
                <w:sz w:val="14"/>
              </w:rPr>
              <w:t>FR-06</w:t>
            </w:r>
          </w:p>
        </w:tc>
        <w:tc>
          <w:p>
            <w:r>
              <w:rPr>
                <w:rFonts w:ascii="Aptos" w:hAnsi="Aptos"/>
                <w:sz w:val="14"/>
              </w:rPr>
              <w:t>The four-axis policy function is default-deny and total.</w:t>
            </w:r>
          </w:p>
        </w:tc>
      </w:tr>
      <w:tr>
        <w:tc>
          <w:p>
            <w:r>
              <w:rPr>
                <w:rFonts w:ascii="Aptos" w:hAnsi="Aptos"/>
                <w:sz w:val="14"/>
              </w:rPr>
              <w:t>FR-07</w:t>
            </w:r>
          </w:p>
        </w:tc>
        <w:tc>
          <w:p>
            <w:r>
              <w:rPr>
                <w:rFonts w:ascii="Aptos" w:hAnsi="Aptos"/>
                <w:sz w:val="14"/>
              </w:rPr>
              <w:t>Automated tests cover all 128 risk/side-effect/cost/mode combinations.</w:t>
            </w:r>
          </w:p>
        </w:tc>
      </w:tr>
      <w:tr>
        <w:tc>
          <w:p>
            <w:r>
              <w:rPr>
                <w:rFonts w:ascii="Aptos" w:hAnsi="Aptos"/>
                <w:sz w:val="14"/>
              </w:rPr>
              <w:t>FR-08</w:t>
            </w:r>
          </w:p>
        </w:tc>
        <w:tc>
          <w:p>
            <w:r>
              <w:rPr>
                <w:rFonts w:ascii="Aptos" w:hAnsi="Aptos"/>
                <w:sz w:val="14"/>
              </w:rPr>
              <w:t>All provider HTTP requests use Controlled Fetch; adapters cannot bypass it.</w:t>
            </w:r>
          </w:p>
        </w:tc>
      </w:tr>
      <w:tr>
        <w:tc>
          <w:p>
            <w:r>
              <w:rPr>
                <w:rFonts w:ascii="Aptos" w:hAnsi="Aptos"/>
                <w:sz w:val="14"/>
              </w:rPr>
              <w:t>FR-09</w:t>
            </w:r>
          </w:p>
        </w:tc>
        <w:tc>
          <w:p>
            <w:r>
              <w:rPr>
                <w:rFonts w:ascii="Aptos" w:hAnsi="Aptos"/>
                <w:sz w:val="14"/>
              </w:rPr>
              <w:t>Hosted secrets cannot appear in query strings, paths or request bodies.</w:t>
            </w:r>
          </w:p>
        </w:tc>
      </w:tr>
      <w:tr>
        <w:tc>
          <w:p>
            <w:r>
              <w:rPr>
                <w:rFonts w:ascii="Aptos" w:hAnsi="Aptos"/>
                <w:sz w:val="14"/>
              </w:rPr>
              <w:t>FR-10</w:t>
            </w:r>
          </w:p>
        </w:tc>
        <w:tc>
          <w:p>
            <w:r>
              <w:rPr>
                <w:rFonts w:ascii="Aptos" w:hAnsi="Aptos"/>
                <w:sz w:val="14"/>
              </w:rPr>
              <w:t>Manifest v1 permits GET/POST only and sends a truthful User-Agent.</w:t>
            </w:r>
          </w:p>
        </w:tc>
      </w:tr>
      <w:tr>
        <w:tc>
          <w:p>
            <w:r>
              <w:rPr>
                <w:rFonts w:ascii="Aptos" w:hAnsi="Aptos"/>
                <w:sz w:val="14"/>
              </w:rPr>
              <w:t>FR-11</w:t>
            </w:r>
          </w:p>
        </w:tc>
        <w:tc>
          <w:p>
            <w:r>
              <w:rPr>
                <w:rFonts w:ascii="Aptos" w:hAnsi="Aptos"/>
                <w:sz w:val="14"/>
              </w:rPr>
              <w:t>Every redirect is manual; unapproved destinations produce REDIRECT_BLOCKED.</w:t>
            </w:r>
          </w:p>
        </w:tc>
      </w:tr>
      <w:tr>
        <w:tc>
          <w:p>
            <w:r>
              <w:rPr>
                <w:rFonts w:ascii="Aptos" w:hAnsi="Aptos"/>
                <w:sz w:val="14"/>
              </w:rPr>
              <w:t>FR-12</w:t>
            </w:r>
          </w:p>
        </w:tc>
        <w:tc>
          <w:p>
            <w:r>
              <w:rPr>
                <w:rFonts w:ascii="Aptos" w:hAnsi="Aptos"/>
                <w:sz w:val="14"/>
              </w:rPr>
              <w:t>Provider-specific structured matchers run before generic HTTP fallback.</w:t>
            </w:r>
          </w:p>
        </w:tc>
      </w:tr>
      <w:tr>
        <w:tc>
          <w:p>
            <w:r>
              <w:rPr>
                <w:rFonts w:ascii="Aptos" w:hAnsi="Aptos"/>
                <w:sz w:val="14"/>
              </w:rPr>
              <w:t>FR-13</w:t>
            </w:r>
          </w:p>
        </w:tc>
        <w:tc>
          <w:p>
            <w:r>
              <w:rPr>
                <w:rFonts w:ascii="Aptos" w:hAnsi="Aptos"/>
                <w:sz w:val="14"/>
              </w:rPr>
              <w:t>Classifier conflicts at equal authority produce INCONCLUSIVE.</w:t>
            </w:r>
          </w:p>
        </w:tc>
      </w:tr>
      <w:tr>
        <w:tc>
          <w:p>
            <w:r>
              <w:rPr>
                <w:rFonts w:ascii="Aptos" w:hAnsi="Aptos"/>
                <w:sz w:val="14"/>
              </w:rPr>
              <w:t>FR-14</w:t>
            </w:r>
          </w:p>
        </w:tc>
        <w:tc>
          <w:p>
            <w:r>
              <w:rPr>
                <w:rFonts w:ascii="Aptos" w:hAnsi="Aptos"/>
                <w:sz w:val="14"/>
              </w:rPr>
              <w:t>Each completed step has PASS/FAIL/SKIPPED/INCONCLUSIVE plus approved evidence.</w:t>
            </w:r>
          </w:p>
        </w:tc>
      </w:tr>
      <w:tr>
        <w:tc>
          <w:p>
            <w:r>
              <w:rPr>
                <w:rFonts w:ascii="Aptos" w:hAnsi="Aptos"/>
                <w:sz w:val="14"/>
              </w:rPr>
              <w:t>FR-15</w:t>
            </w:r>
          </w:p>
        </w:tc>
        <w:tc>
          <w:p>
            <w:r>
              <w:rPr>
                <w:rFonts w:ascii="Aptos" w:hAnsi="Aptos"/>
                <w:sz w:val="14"/>
              </w:rPr>
              <w:t>Every DiagnosticStatus has a deterministic default overall mapping.</w:t>
            </w:r>
          </w:p>
        </w:tc>
      </w:tr>
      <w:tr>
        <w:tc>
          <w:p>
            <w:r>
              <w:rPr>
                <w:rFonts w:ascii="Aptos" w:hAnsi="Aptos"/>
                <w:sz w:val="14"/>
              </w:rPr>
              <w:t>FR-16</w:t>
            </w:r>
          </w:p>
        </w:tc>
        <w:tc>
          <w:p>
            <w:r>
              <w:rPr>
                <w:rFonts w:ascii="Aptos" w:hAnsi="Aptos"/>
                <w:sz w:val="14"/>
              </w:rPr>
              <w:t>ABORTED runs have overall INCONCLUSIVE and CLIENT_ABORTED reason.</w:t>
            </w:r>
          </w:p>
        </w:tc>
      </w:tr>
      <w:tr>
        <w:tc>
          <w:p>
            <w:r>
              <w:rPr>
                <w:rFonts w:ascii="Aptos" w:hAnsi="Aptos"/>
                <w:sz w:val="14"/>
              </w:rPr>
              <w:t>FR-17</w:t>
            </w:r>
          </w:p>
        </w:tc>
        <w:tc>
          <w:p>
            <w:r>
              <w:rPr>
                <w:rFonts w:ascii="Aptos" w:hAnsi="Aptos"/>
                <w:sz w:val="14"/>
              </w:rPr>
              <w:t>The final NDJSON event includes aggregationPolicyVersion.</w:t>
            </w:r>
          </w:p>
        </w:tc>
      </w:tr>
      <w:tr>
        <w:tc>
          <w:p>
            <w:r>
              <w:rPr>
                <w:rFonts w:ascii="Aptos" w:hAnsi="Aptos"/>
                <w:sz w:val="14"/>
              </w:rPr>
              <w:t>FR-18</w:t>
            </w:r>
          </w:p>
        </w:tc>
        <w:tc>
          <w:p>
            <w:r>
              <w:rPr>
                <w:rFonts w:ascii="Aptos" w:hAnsi="Aptos"/>
                <w:sz w:val="14"/>
              </w:rPr>
              <w:t>Malformed/schema/size/content-type/origin/Tunstile/pre-admission failures have defined preflight behavior.</w:t>
            </w:r>
          </w:p>
        </w:tc>
      </w:tr>
      <w:tr>
        <w:tc>
          <w:p>
            <w:r>
              <w:rPr>
                <w:rFonts w:ascii="Aptos" w:hAnsi="Aptos"/>
                <w:sz w:val="14"/>
              </w:rPr>
              <w:t>FR-19</w:t>
            </w:r>
          </w:p>
        </w:tc>
        <w:tc>
          <w:p>
            <w:r>
              <w:rPr>
                <w:rFonts w:ascii="Aptos" w:hAnsi="Aptos"/>
                <w:sz w:val="14"/>
              </w:rPr>
              <w:t>Accepted policy blocks return terminal in-stream final with overall SKIPPED and runState BLOCKED.</w:t>
            </w:r>
          </w:p>
        </w:tc>
      </w:tr>
      <w:tr>
        <w:tc>
          <w:p>
            <w:r>
              <w:rPr>
                <w:rFonts w:ascii="Aptos" w:hAnsi="Aptos"/>
                <w:sz w:val="14"/>
              </w:rPr>
              <w:t>FR-20</w:t>
            </w:r>
          </w:p>
        </w:tc>
        <w:tc>
          <w:p>
            <w:r>
              <w:rPr>
                <w:rFonts w:ascii="Aptos" w:hAnsi="Aptos"/>
                <w:sz w:val="14"/>
              </w:rPr>
              <w:t>Hosted credential tests require server-side Turnstile Siteverify validating success, hostname and action.</w:t>
            </w:r>
          </w:p>
        </w:tc>
      </w:tr>
      <w:tr>
        <w:tc>
          <w:p>
            <w:r>
              <w:rPr>
                <w:rFonts w:ascii="Aptos" w:hAnsi="Aptos"/>
                <w:sz w:val="14"/>
              </w:rPr>
              <w:t>FR-21</w:t>
            </w:r>
          </w:p>
        </w:tc>
        <w:tc>
          <w:p>
            <w:r>
              <w:rPr>
                <w:rFonts w:ascii="Aptos" w:hAnsi="Aptos"/>
                <w:sz w:val="14"/>
              </w:rPr>
              <w:t>Credential-test CORS is deny-by-default and Origin is validated before secret materialization.</w:t>
            </w:r>
          </w:p>
        </w:tc>
      </w:tr>
      <w:tr>
        <w:tc>
          <w:p>
            <w:r>
              <w:rPr>
                <w:rFonts w:ascii="Aptos" w:hAnsi="Aptos"/>
                <w:sz w:val="14"/>
              </w:rPr>
              <w:t>FR-22</w:t>
            </w:r>
          </w:p>
        </w:tc>
        <w:tc>
          <w:p>
            <w:r>
              <w:rPr>
                <w:rFonts w:ascii="Aptos" w:hAnsi="Aptos"/>
                <w:sz w:val="14"/>
              </w:rPr>
              <w:t>Security headers and no-store behavior are verified in E2E.</w:t>
            </w:r>
          </w:p>
        </w:tc>
      </w:tr>
      <w:tr>
        <w:tc>
          <w:p>
            <w:r>
              <w:rPr>
                <w:rFonts w:ascii="Aptos" w:hAnsi="Aptos"/>
                <w:sz w:val="14"/>
              </w:rPr>
              <w:t>FR-23</w:t>
            </w:r>
          </w:p>
        </w:tc>
        <w:tc>
          <w:p>
            <w:r>
              <w:rPr>
                <w:rFonts w:ascii="Aptos" w:hAnsi="Aptos"/>
                <w:sz w:val="14"/>
              </w:rPr>
              <w:t>No raw or derived credential appears in logs, telemetry, exports or generated snippets.</w:t>
            </w:r>
          </w:p>
        </w:tc>
      </w:tr>
      <w:tr>
        <w:tc>
          <w:p>
            <w:r>
              <w:rPr>
                <w:rFonts w:ascii="Aptos" w:hAnsi="Aptos"/>
                <w:sz w:val="14"/>
              </w:rPr>
              <w:t>FR-24</w:t>
            </w:r>
          </w:p>
        </w:tc>
        <w:tc>
          <w:p>
            <w:r>
              <w:rPr>
                <w:rFonts w:ascii="Aptos" w:hAnsi="Aptos"/>
                <w:sz w:val="14"/>
              </w:rPr>
              <w:t>Derived runtime secrets are registered in RedactionContext immediately at creation.</w:t>
            </w:r>
          </w:p>
        </w:tc>
      </w:tr>
      <w:tr>
        <w:tc>
          <w:p>
            <w:r>
              <w:rPr>
                <w:rFonts w:ascii="Aptos" w:hAnsi="Aptos"/>
                <w:sz w:val="14"/>
              </w:rPr>
              <w:t>FR-25</w:t>
            </w:r>
          </w:p>
        </w:tc>
        <w:tc>
          <w:p>
            <w:r>
              <w:rPr>
                <w:rFonts w:ascii="Aptos" w:hAnsi="Aptos"/>
                <w:sz w:val="14"/>
              </w:rPr>
              <w:t>CLI secrets are accepted only from environment variables, stdin, hidden prompt or explicit local file reference; never argv.</w:t>
            </w:r>
          </w:p>
        </w:tc>
      </w:tr>
      <w:tr>
        <w:tc>
          <w:p>
            <w:r>
              <w:rPr>
                <w:rFonts w:ascii="Aptos" w:hAnsi="Aptos"/>
                <w:sz w:val="14"/>
              </w:rPr>
              <w:t>FR-26</w:t>
            </w:r>
          </w:p>
        </w:tc>
        <w:tc>
          <w:p>
            <w:r>
              <w:rPr>
                <w:rFonts w:ascii="Aptos" w:hAnsi="Aptos"/>
                <w:sz w:val="14"/>
              </w:rPr>
              <w:t>CLI exit codes are stable: 0 healthy, 1 failed, 2 inconclusive, 3 skipped/blocked, 4 invalid input, 5 usage error, 6 engine error.</w:t>
            </w:r>
          </w:p>
        </w:tc>
      </w:tr>
      <w:tr>
        <w:tc>
          <w:p>
            <w:r>
              <w:rPr>
                <w:rFonts w:ascii="Aptos" w:hAnsi="Aptos"/>
                <w:sz w:val="14"/>
              </w:rPr>
              <w:t>FR-27</w:t>
            </w:r>
          </w:p>
        </w:tc>
        <w:tc>
          <w:p>
            <w:r>
              <w:rPr>
                <w:rFonts w:ascii="Aptos" w:hAnsi="Aptos"/>
                <w:sz w:val="14"/>
              </w:rPr>
              <w:t>`.env` parsing performs no expansion/execution and supports --map overrides.</w:t>
            </w:r>
          </w:p>
        </w:tc>
      </w:tr>
      <w:tr>
        <w:tc>
          <w:p>
            <w:r>
              <w:rPr>
                <w:rFonts w:ascii="Aptos" w:hAnsi="Aptos"/>
                <w:sz w:val="14"/>
              </w:rPr>
              <w:t>FR-28</w:t>
            </w:r>
          </w:p>
        </w:tc>
        <w:tc>
          <w:p>
            <w:r>
              <w:rPr>
                <w:rFonts w:ascii="Aptos" w:hAnsi="Aptos"/>
                <w:sz w:val="14"/>
              </w:rPr>
              <w:t>Generated snippets derive from resolved requests and pass secret-free snapshot tests.</w:t>
            </w:r>
          </w:p>
        </w:tc>
      </w:tr>
      <w:tr>
        <w:tc>
          <w:p>
            <w:r>
              <w:rPr>
                <w:rFonts w:ascii="Aptos" w:hAnsi="Aptos"/>
                <w:sz w:val="14"/>
              </w:rPr>
              <w:t>FR-29</w:t>
            </w:r>
          </w:p>
        </w:tc>
        <w:tc>
          <w:p>
            <w:r>
              <w:rPr>
                <w:rFonts w:ascii="Aptos" w:hAnsi="Aptos"/>
                <w:sz w:val="14"/>
              </w:rPr>
              <w:t>Disabled/removed provider lifecycle blocks before credential materialization.</w:t>
            </w:r>
          </w:p>
        </w:tc>
      </w:tr>
      <w:tr>
        <w:tc>
          <w:p>
            <w:r>
              <w:rPr>
                <w:rFonts w:ascii="Aptos" w:hAnsi="Aptos"/>
                <w:sz w:val="14"/>
              </w:rPr>
              <w:t>FR-30</w:t>
            </w:r>
          </w:p>
        </w:tc>
        <w:tc>
          <w:p>
            <w:r>
              <w:rPr>
                <w:rFonts w:ascii="Aptos" w:hAnsi="Aptos"/>
                <w:sz w:val="14"/>
              </w:rPr>
              <w:t>Provider capability matrix is generated from manifests.</w:t>
            </w:r>
          </w:p>
        </w:tc>
      </w:tr>
      <w:tr>
        <w:tc>
          <w:p>
            <w:r>
              <w:rPr>
                <w:rFonts w:ascii="Aptos" w:hAnsi="Aptos"/>
                <w:sz w:val="14"/>
              </w:rPr>
              <w:t>FR-31</w:t>
            </w:r>
          </w:p>
        </w:tc>
        <w:tc>
          <w:p>
            <w:r>
              <w:rPr>
                <w:rFonts w:ascii="Aptos" w:hAnsi="Aptos"/>
                <w:sz w:val="14"/>
              </w:rPr>
              <w:t>Manifest inheritance is bounded, cycle-free and non-widening.</w:t>
            </w:r>
          </w:p>
        </w:tc>
      </w:tr>
      <w:tr>
        <w:tc>
          <w:p>
            <w:r>
              <w:rPr>
                <w:rFonts w:ascii="Aptos" w:hAnsi="Aptos"/>
                <w:sz w:val="14"/>
              </w:rPr>
              <w:t>FR-32</w:t>
            </w:r>
          </w:p>
        </w:tc>
        <w:tc>
          <w:p>
            <w:r>
              <w:rPr>
                <w:rFonts w:ascii="Aptos" w:hAnsi="Aptos"/>
                <w:sz w:val="14"/>
              </w:rPr>
              <w:t>Provider fixtures include invalid auth, permission, quota, rate-limit, model, endpoint and HTML/WAF cases.</w:t>
            </w:r>
          </w:p>
        </w:tc>
      </w:tr>
      <w:tr>
        <w:tc>
          <w:p>
            <w:r>
              <w:rPr>
                <w:rFonts w:ascii="Aptos" w:hAnsi="Aptos"/>
                <w:sz w:val="14"/>
              </w:rPr>
              <w:t>FR-33</w:t>
            </w:r>
          </w:p>
        </w:tc>
        <w:tc>
          <w:p>
            <w:r>
              <w:rPr>
                <w:rFonts w:ascii="Aptos" w:hAnsi="Aptos"/>
                <w:sz w:val="14"/>
              </w:rPr>
              <w:t>Live credentials never run in pull requests or forks.</w:t>
            </w:r>
          </w:p>
        </w:tc>
      </w:tr>
      <w:tr>
        <w:tc>
          <w:p>
            <w:r>
              <w:rPr>
                <w:rFonts w:ascii="Aptos" w:hAnsi="Aptos"/>
                <w:sz w:val="14"/>
              </w:rPr>
              <w:t>FR-34</w:t>
            </w:r>
          </w:p>
        </w:tc>
        <w:tc>
          <w:p>
            <w:r>
              <w:rPr>
                <w:rFonts w:ascii="Aptos" w:hAnsi="Aptos"/>
                <w:sz w:val="14"/>
              </w:rPr>
              <w:t>Hosted capacity exhaustion degrades to CLI-only guidance.</w:t>
            </w:r>
          </w:p>
        </w:tc>
      </w:tr>
      <w:tr>
        <w:tc>
          <w:p>
            <w:r>
              <w:rPr>
                <w:rFonts w:ascii="Aptos" w:hAnsi="Aptos"/>
                <w:sz w:val="14"/>
              </w:rPr>
              <w:t>FR-35</w:t>
            </w:r>
          </w:p>
        </w:tc>
        <w:tc>
          <w:p>
            <w:r>
              <w:rPr>
                <w:rFonts w:ascii="Aptos" w:hAnsi="Aptos"/>
                <w:sz w:val="14"/>
              </w:rPr>
              <w:t>Provider terms/review metadata are complete before hosted enablement.</w:t>
            </w:r>
          </w:p>
        </w:tc>
      </w:tr>
      <w:tr>
        <w:tc>
          <w:tcPr>
            <w:tcW w:type="dxa" w:w="4500"/>
            <w:tcMar>
              <w:top w:w="85" w:type="dxa"/>
              <w:start w:w="95" w:type="dxa"/>
              <w:bottom w:w="85" w:type="dxa"/>
              <w:end w:w="95" w:type="dxa"/>
            </w:tcMar>
          </w:tcPr>
          <w:p>
            <w:pPr>
              <w:spacing w:after="0"/>
            </w:pPr>
            <w:r>
              <w:rPr>
                <w:sz w:val="17"/>
              </w:rPr>
              <w:t>FR-36</w:t>
            </w:r>
          </w:p>
        </w:tc>
        <w:tc>
          <w:tcPr>
            <w:tcW w:type="dxa" w:w="4500"/>
            <w:tcMar>
              <w:top w:w="85" w:type="dxa"/>
              <w:start w:w="95" w:type="dxa"/>
              <w:bottom w:w="85" w:type="dxa"/>
              <w:end w:w="95" w:type="dxa"/>
            </w:tcMar>
          </w:tcPr>
          <w:p>
            <w:pPr>
              <w:spacing w:after="0"/>
            </w:pPr>
            <w:r>
              <w:rPr>
                <w:sz w:val="17"/>
              </w:rPr>
              <w:t>MVP has no end-user sign-in, user accounts, email verification or password-reset flow.</w:t>
            </w:r>
          </w:p>
        </w:tc>
      </w:tr>
      <w:tr>
        <w:tc>
          <w:tcPr>
            <w:tcW w:type="dxa" w:w="4500"/>
            <w:tcMar>
              <w:top w:w="85" w:type="dxa"/>
              <w:start w:w="95" w:type="dxa"/>
              <w:bottom w:w="85" w:type="dxa"/>
              <w:end w:w="95" w:type="dxa"/>
            </w:tcMar>
            <w:shd w:fill="F5F8FB"/>
          </w:tcPr>
          <w:p>
            <w:pPr>
              <w:spacing w:after="0"/>
            </w:pPr>
            <w:r>
              <w:rPr>
                <w:sz w:val="17"/>
              </w:rPr>
              <w:t>FR-37</w:t>
            </w:r>
          </w:p>
        </w:tc>
        <w:tc>
          <w:tcPr>
            <w:tcW w:type="dxa" w:w="4500"/>
            <w:tcMar>
              <w:top w:w="85" w:type="dxa"/>
              <w:start w:w="95" w:type="dxa"/>
              <w:bottom w:w="85" w:type="dxa"/>
              <w:end w:w="95" w:type="dxa"/>
            </w:tcMar>
            <w:shd w:fill="F5F8FB"/>
          </w:tcPr>
          <w:p>
            <w:pPr>
              <w:spacing w:after="0"/>
            </w:pPr>
            <w:r>
              <w:rPr>
                <w:sz w:val="17"/>
              </w:rPr>
              <w:t>No credential, TestRun, StepResult or Evidence is stored as durable application history; hosted SQLite stores only short-lived admission/idempotency state.</w:t>
            </w:r>
          </w:p>
        </w:tc>
      </w:tr>
      <w:tr>
        <w:tc>
          <w:tcPr>
            <w:tcW w:type="dxa" w:w="4500"/>
            <w:tcMar>
              <w:top w:w="85" w:type="dxa"/>
              <w:start w:w="95" w:type="dxa"/>
              <w:bottom w:w="85" w:type="dxa"/>
              <w:end w:w="95" w:type="dxa"/>
            </w:tcMar>
          </w:tcPr>
          <w:p>
            <w:pPr>
              <w:spacing w:after="0"/>
            </w:pPr>
            <w:r>
              <w:rPr>
                <w:sz w:val="17"/>
              </w:rPr>
              <w:t>FR-38</w:t>
            </w:r>
          </w:p>
        </w:tc>
        <w:tc>
          <w:tcPr>
            <w:tcW w:type="dxa" w:w="4500"/>
            <w:tcMar>
              <w:top w:w="85" w:type="dxa"/>
              <w:start w:w="95" w:type="dxa"/>
              <w:bottom w:w="85" w:type="dxa"/>
              <w:end w:w="95" w:type="dxa"/>
            </w:tcMar>
          </w:tcPr>
          <w:p>
            <w:pPr>
              <w:spacing w:after="0"/>
            </w:pPr>
            <w:r>
              <w:rPr>
                <w:sz w:val="17"/>
              </w:rPr>
              <w:t>MVP does not upload/store user files in hosted object storage; .env and error-file scans stay local to the CLI.</w:t>
            </w:r>
          </w:p>
        </w:tc>
      </w:tr>
      <w:tr>
        <w:tc>
          <w:tcPr>
            <w:tcW w:type="dxa" w:w="4500"/>
            <w:tcMar>
              <w:top w:w="85" w:type="dxa"/>
              <w:start w:w="95" w:type="dxa"/>
              <w:bottom w:w="85" w:type="dxa"/>
              <w:end w:w="95" w:type="dxa"/>
            </w:tcMar>
            <w:shd w:fill="F5F8FB"/>
          </w:tcPr>
          <w:p>
            <w:pPr>
              <w:spacing w:after="0"/>
            </w:pPr>
            <w:r>
              <w:rPr>
                <w:sz w:val="17"/>
              </w:rPr>
              <w:t>FR-39</w:t>
            </w:r>
          </w:p>
        </w:tc>
        <w:tc>
          <w:tcPr>
            <w:tcW w:type="dxa" w:w="4500"/>
            <w:tcMar>
              <w:top w:w="85" w:type="dxa"/>
              <w:start w:w="95" w:type="dxa"/>
              <w:bottom w:w="85" w:type="dxa"/>
              <w:end w:w="95" w:type="dxa"/>
            </w:tcMar>
            <w:shd w:fill="F5F8FB"/>
          </w:tcPr>
          <w:p>
            <w:pPr>
              <w:spacing w:after="0"/>
            </w:pPr>
            <w:r>
              <w:rPr>
                <w:sz w:val="17"/>
              </w:rPr>
              <w:t>API HealthLab does not call a third-party LLM to generate error diagnoses; diagnosis is rules-based.</w:t>
            </w:r>
          </w:p>
        </w:tc>
      </w:tr>
      <w:tr>
        <w:tc>
          <w:tcPr>
            <w:tcW w:type="dxa" w:w="4500"/>
            <w:tcMar>
              <w:top w:w="85" w:type="dxa"/>
              <w:start w:w="95" w:type="dxa"/>
              <w:bottom w:w="85" w:type="dxa"/>
              <w:end w:w="95" w:type="dxa"/>
            </w:tcMar>
          </w:tcPr>
          <w:p>
            <w:pPr>
              <w:spacing w:after="0"/>
            </w:pPr>
            <w:r>
              <w:rPr>
                <w:sz w:val="17"/>
              </w:rPr>
              <w:t>FR-40</w:t>
            </w:r>
          </w:p>
        </w:tc>
        <w:tc>
          <w:tcPr>
            <w:tcW w:type="dxa" w:w="4500"/>
            <w:tcMar>
              <w:top w:w="85" w:type="dxa"/>
              <w:start w:w="95" w:type="dxa"/>
              <w:bottom w:w="85" w:type="dxa"/>
              <w:end w:w="95" w:type="dxa"/>
            </w:tcMar>
          </w:tcPr>
          <w:p>
            <w:pPr>
              <w:spacing w:after="0"/>
            </w:pPr>
            <w:r>
              <w:rPr>
                <w:sz w:val="17"/>
              </w:rPr>
              <w:t>Provider adapters cannot call network APIs outside the ControlledFetch gateway.</w:t>
            </w:r>
          </w:p>
        </w:tc>
      </w:tr>
      <w:tr>
        <w:tc>
          <w:tcPr>
            <w:tcW w:type="dxa" w:w="4500"/>
            <w:tcMar>
              <w:top w:w="85" w:type="dxa"/>
              <w:start w:w="95" w:type="dxa"/>
              <w:bottom w:w="85" w:type="dxa"/>
              <w:end w:w="95" w:type="dxa"/>
            </w:tcMar>
            <w:shd w:fill="F5F8FB"/>
          </w:tcPr>
          <w:p>
            <w:pPr>
              <w:spacing w:after="0"/>
            </w:pPr>
            <w:r>
              <w:rPr>
                <w:sz w:val="17"/>
              </w:rPr>
              <w:t>FR-41</w:t>
            </w:r>
          </w:p>
        </w:tc>
        <w:tc>
          <w:tcPr>
            <w:tcW w:type="dxa" w:w="4500"/>
            <w:tcMar>
              <w:top w:w="85" w:type="dxa"/>
              <w:start w:w="95" w:type="dxa"/>
              <w:bottom w:w="85" w:type="dxa"/>
              <w:end w:w="95" w:type="dxa"/>
            </w:tcMar>
            <w:shd w:fill="F5F8FB"/>
          </w:tcPr>
          <w:p>
            <w:pPr>
              <w:spacing w:after="0"/>
            </w:pPr>
            <w:r>
              <w:rPr>
                <w:sz w:val="17"/>
              </w:rPr>
              <w:t>Repository Zod/runtime schemas are canonical; TypeScript contracts are inferred/generated and all untrusted boundaries are runtime-validated.</w:t>
            </w:r>
          </w:p>
        </w:tc>
      </w:tr>
      <w:tr>
        <w:tc>
          <w:tcPr>
            <w:tcW w:type="dxa" w:w="4500"/>
            <w:tcMar>
              <w:top w:w="85" w:type="dxa"/>
              <w:start w:w="95" w:type="dxa"/>
              <w:bottom w:w="85" w:type="dxa"/>
              <w:end w:w="95" w:type="dxa"/>
            </w:tcMar>
          </w:tcPr>
          <w:p>
            <w:pPr>
              <w:spacing w:after="0"/>
            </w:pPr>
            <w:r>
              <w:rPr>
                <w:sz w:val="17"/>
              </w:rPr>
              <w:t>FR-42</w:t>
            </w:r>
          </w:p>
        </w:tc>
        <w:tc>
          <w:tcPr>
            <w:tcW w:type="dxa" w:w="4500"/>
            <w:tcMar>
              <w:top w:w="85" w:type="dxa"/>
              <w:start w:w="95" w:type="dxa"/>
              <w:bottom w:w="85" w:type="dxa"/>
              <w:end w:w="95" w:type="dxa"/>
            </w:tcMar>
          </w:tcPr>
          <w:p>
            <w:pPr>
              <w:spacing w:after="0"/>
            </w:pPr>
            <w:r>
              <w:rPr>
                <w:sz w:val="17"/>
              </w:rPr>
              <w:t>Integration additions require an ADR defining purpose, data exchanged, credential owner, timeouts, failure behavior, retention and tests.</w:t>
            </w:r>
          </w:p>
        </w:tc>
      </w:tr>
    </w:tbl>
    <w:p>
      <w:pPr>
        <w:pStyle w:val="Heading1"/>
        <w:spacing w:before="240" w:after="120"/>
      </w:pPr>
      <w:r>
        <w:rPr>
          <w:rFonts w:ascii="Aptos Display" w:hAnsi="Aptos Display"/>
          <w:color w:val="17324D"/>
        </w:rPr>
        <w:t>26. Technology Stack &amp; Free-Tier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Layer</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Technology</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Role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Web</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React + Vite + TypeScript + Tailwind</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Static UI with strict CSP.</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Hosted API</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Cloudflare Workers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HTTP boundary, Turnstile verification, policy, NDJSON.</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Coordination</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SQLite-backed Durable Objects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Short-lived admission and provider budgets.</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Status cache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Workers Cache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Public provider-status responses; ephemeral and cache-based.</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Config</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Source-controlled manifests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Provider/test definitions; optional KV only for rare configuration.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CLI</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Node.js + Commander</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Local trusted execution.</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Validation</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Zod or equivalent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Runtime schema validation; CPU benchmark required.</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Testing</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Vitest + Playwright + property/fuzz tooling</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Core, E2E and security coverage.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Security tooling</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TypeScript strict, Semgrep, secret scanner, SBOM generator</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Static and supply-chain controls.</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Repository</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GitHub monorepo</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Open-source collaboration and protected CI.</w:t>
            </w:r>
          </w:p>
        </w:tc>
      </w:tr>
    </w:tbl>
    <w:p>
      <w:pPr>
        <w:pStyle w:val="Heading2"/>
        <w:spacing w:before="180" w:after="80"/>
      </w:pPr>
      <w:r>
        <w:rPr>
          <w:rFonts w:ascii="Aptos" w:hAnsi="Aptos"/>
          <w:sz w:val="24"/>
          <w:color w:val="0F766E"/>
        </w:rPr>
        <w:t>26.1 Current infrastructure facts</w:t>
      </w:r>
    </w:p>
    <w:p>
      <w:r>
        <w:rPr>
          <w:rFonts w:ascii="Aptos" w:hAnsi="Aptos"/>
          <w:sz w:val="18"/>
        </w:rPr>
        <w:t>Current Durable Objects Free documentation also lists a 13,000 GB-s/day duration allocation; capacity testing must monitor both request and duration budgets.</w:t>
      </w:r>
    </w:p>
    <w:p>
      <w:pPr>
        <w:spacing w:after="100" w:line="252" w:lineRule="auto"/>
      </w:pPr>
      <w:r>
        <w:rPr>
          <w:rFonts w:ascii="Aptos" w:hAnsi="Aptos"/>
          <w:color w:val="243342"/>
          <w:sz w:val="18"/>
        </w:rPr>
        <w:t>Cloudflare currently documents Workers Free at 100,000 requests/day and 10 ms CPU/invocation, with 50 subrequests/request and 6 simultaneous outgoing connections. SQLite-backed Durable Objects are available on Workers Free; the current pricing page documents a 100,000/day free Durable Object request allowance. Workers Cache can reduce Worker execution for cached status responses. Source URLs and access dates are recorded in Appendix G; all platform limits must be rechecked before release.</w:t>
      </w:r>
    </w:p>
    <w:p>
      <w:pPr>
        <w:pStyle w:val="Heading2"/>
        <w:spacing w:before="180" w:after="80"/>
      </w:pPr>
      <w:r>
        <w:rPr>
          <w:rFonts w:ascii="Aptos" w:hAnsi="Aptos"/>
          <w:color w:val="0F766E"/>
        </w:rPr>
        <w:t>26.2 Free-resource principle</w:t>
      </w:r>
    </w:p>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Free tier ≠ free provider usage  </w:t>
            </w:r>
            <w:r>
              <w:rPr>
                <w:color w:val="243342"/>
                <w:sz w:val="18"/>
              </w:rPr>
              <w:t>API HealthLab may be built and hosted on free development infrastructure, but user-owned provider credentials may still consume provider quota or trigger provider billing. CostClass and explicit consent exist to make that visible.</w:t>
            </w:r>
          </w:p>
        </w:tc>
      </w:tr>
    </w:tbl>
    <w:p>
      <w:pPr>
        <w:spacing w:after="20"/>
      </w:pPr>
    </w:p>
    <w:p>
      <w:pPr>
        <w:pStyle w:val="Heading1"/>
        <w:spacing w:before="240" w:after="120"/>
      </w:pPr>
      <w:r>
        <w:rPr>
          <w:rFonts w:ascii="Aptos Display" w:hAnsi="Aptos Display"/>
          <w:color w:val="17324D"/>
        </w:rPr>
        <w:t>27. Repository Structure &amp; Dependency Boundaries</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5"/>
              </w:rPr>
              <w:t>api-healthlab/</w:t>
            </w:r>
            <w:r>
              <w:br/>
            </w:r>
            <w:r>
              <w:rPr>
                <w:rFonts w:ascii="Consolas" w:hAnsi="Consolas"/>
                <w:color w:val="334155"/>
                <w:sz w:val="15"/>
              </w:rPr>
              <w:t>├── apps/</w:t>
            </w:r>
            <w:r>
              <w:br/>
            </w:r>
            <w:r>
              <w:rPr>
                <w:rFonts w:ascii="Consolas" w:hAnsi="Consolas"/>
                <w:color w:val="334155"/>
                <w:sz w:val="15"/>
              </w:rPr>
              <w:t>│   ├── web/                  # React/Vite</w:t>
            </w:r>
            <w:r>
              <w:br/>
            </w:r>
            <w:r>
              <w:rPr>
                <w:rFonts w:ascii="Consolas" w:hAnsi="Consolas"/>
                <w:color w:val="334155"/>
                <w:sz w:val="15"/>
              </w:rPr>
              <w:t>│   ├── worker/               # Cloudflare Worker boundary</w:t>
            </w:r>
            <w:r>
              <w:br/>
            </w:r>
            <w:r>
              <w:rPr>
                <w:rFonts w:ascii="Consolas" w:hAnsi="Consolas"/>
                <w:color w:val="334155"/>
                <w:sz w:val="15"/>
              </w:rPr>
              <w:t>│   └── cli/                  # Commander CLI</w:t>
            </w:r>
            <w:r>
              <w:br/>
            </w:r>
            <w:r>
              <w:rPr>
                <w:rFonts w:ascii="Consolas" w:hAnsi="Consolas"/>
                <w:color w:val="334155"/>
                <w:sz w:val="15"/>
              </w:rPr>
              <w:t>├── packages/</w:t>
            </w:r>
            <w:r>
              <w:br/>
            </w:r>
            <w:r>
              <w:rPr>
                <w:rFonts w:ascii="Consolas" w:hAnsi="Consolas"/>
                <w:color w:val="334155"/>
                <w:sz w:val="15"/>
              </w:rPr>
              <w:t>│   ├── core/                 # contracts, policy, planner, runner, classifier, evidence, redactor</w:t>
            </w:r>
            <w:r>
              <w:br/>
            </w:r>
            <w:r>
              <w:rPr>
                <w:rFonts w:ascii="Consolas" w:hAnsi="Consolas"/>
                <w:color w:val="334155"/>
                <w:sz w:val="15"/>
              </w:rPr>
              <w:t>│   ├── provider-kit/         # manifest schema, adapter contracts, validator</w:t>
            </w:r>
            <w:r>
              <w:br/>
            </w:r>
            <w:r>
              <w:rPr>
                <w:rFonts w:ascii="Consolas" w:hAnsi="Consolas"/>
                <w:color w:val="334155"/>
                <w:sz w:val="15"/>
              </w:rPr>
              <w:t>│   ├── providers/            # bundled manifests + reviewed exceptional code</w:t>
            </w:r>
            <w:r>
              <w:br/>
            </w:r>
            <w:r>
              <w:rPr>
                <w:rFonts w:ascii="Consolas" w:hAnsi="Consolas"/>
                <w:color w:val="334155"/>
                <w:sz w:val="15"/>
              </w:rPr>
              <w:t>│   ├── catalog/              # provider/product/model/status metadata</w:t>
            </w:r>
            <w:r>
              <w:br/>
            </w:r>
            <w:r>
              <w:rPr>
                <w:rFonts w:ascii="Consolas" w:hAnsi="Consolas"/>
                <w:color w:val="334155"/>
                <w:sz w:val="15"/>
              </w:rPr>
              <w:t>│   └── transport/            # NDJSON schemas/serializers</w:t>
            </w:r>
            <w:r>
              <w:br/>
            </w:r>
            <w:r>
              <w:rPr>
                <w:rFonts w:ascii="Consolas" w:hAnsi="Consolas"/>
                <w:color w:val="334155"/>
                <w:sz w:val="15"/>
              </w:rPr>
              <w:t>├── fixtures/</w:t>
            </w:r>
            <w:r>
              <w:br/>
            </w:r>
            <w:r>
              <w:rPr>
                <w:rFonts w:ascii="Consolas" w:hAnsi="Consolas"/>
                <w:color w:val="334155"/>
                <w:sz w:val="15"/>
              </w:rPr>
              <w:t>│   └── providers/</w:t>
            </w:r>
            <w:r>
              <w:br/>
            </w:r>
            <w:r>
              <w:rPr>
                <w:rFonts w:ascii="Consolas" w:hAnsi="Consolas"/>
                <w:color w:val="334155"/>
                <w:sz w:val="15"/>
              </w:rPr>
              <w:t>├── security/</w:t>
            </w:r>
            <w:r>
              <w:br/>
            </w:r>
            <w:r>
              <w:rPr>
                <w:rFonts w:ascii="Consolas" w:hAnsi="Consolas"/>
                <w:color w:val="334155"/>
                <w:sz w:val="15"/>
              </w:rPr>
              <w:t>│   ├── threat-model.md</w:t>
            </w:r>
            <w:r>
              <w:br/>
            </w:r>
            <w:r>
              <w:rPr>
                <w:rFonts w:ascii="Consolas" w:hAnsi="Consolas"/>
                <w:color w:val="334155"/>
                <w:sz w:val="15"/>
              </w:rPr>
              <w:t>│   ├── incident-response.md</w:t>
            </w:r>
            <w:r>
              <w:br/>
            </w:r>
            <w:r>
              <w:rPr>
                <w:rFonts w:ascii="Consolas" w:hAnsi="Consolas"/>
                <w:color w:val="334155"/>
                <w:sz w:val="15"/>
              </w:rPr>
              <w:t>│   └── disclosure.md</w:t>
            </w:r>
            <w:r>
              <w:br/>
            </w:r>
            <w:r>
              <w:rPr>
                <w:rFonts w:ascii="Consolas" w:hAnsi="Consolas"/>
                <w:color w:val="334155"/>
                <w:sz w:val="15"/>
              </w:rPr>
              <w:t>├── docs/</w:t>
            </w:r>
            <w:r>
              <w:br/>
            </w:r>
            <w:r>
              <w:rPr>
                <w:rFonts w:ascii="Consolas" w:hAnsi="Consolas"/>
                <w:color w:val="334155"/>
                <w:sz w:val="15"/>
              </w:rPr>
              <w:t>│   ├── providers/</w:t>
            </w:r>
            <w:r>
              <w:br/>
            </w:r>
            <w:r>
              <w:rPr>
                <w:rFonts w:ascii="Consolas" w:hAnsi="Consolas"/>
                <w:color w:val="334155"/>
                <w:sz w:val="15"/>
              </w:rPr>
              <w:t>│   └── architecture/</w:t>
            </w:r>
            <w:r>
              <w:br/>
            </w:r>
            <w:r>
              <w:rPr>
                <w:rFonts w:ascii="Consolas" w:hAnsi="Consolas"/>
                <w:color w:val="334155"/>
                <w:sz w:val="15"/>
              </w:rPr>
              <w:t>├── .github/workflows/</w:t>
            </w:r>
            <w:r>
              <w:br/>
            </w:r>
            <w:r>
              <w:rPr>
                <w:rFonts w:ascii="Consolas" w:hAnsi="Consolas"/>
                <w:color w:val="334155"/>
                <w:sz w:val="15"/>
              </w:rPr>
              <w:t>└── release/</w:t>
            </w:r>
            <w:r>
              <w:br/>
            </w:r>
            <w:r>
              <w:rPr>
                <w:rFonts w:ascii="Consolas" w:hAnsi="Consolas"/>
                <w:color w:val="334155"/>
                <w:sz w:val="15"/>
              </w:rPr>
              <w:t xml:space="preserve">    ├── sbom/</w:t>
            </w:r>
            <w:r>
              <w:br/>
            </w:r>
            <w:r>
              <w:rPr>
                <w:rFonts w:ascii="Consolas" w:hAnsi="Consolas"/>
                <w:color w:val="334155"/>
                <w:sz w:val="15"/>
              </w:rPr>
              <w:t xml:space="preserve">    └── checksums/</w:t>
            </w:r>
          </w:p>
        </w:tc>
      </w:tr>
    </w:tbl>
    <w:p>
      <w:pPr>
        <w:spacing w:after="20"/>
      </w:pPr>
    </w:p>
    <w:p>
      <w:pPr>
        <w:spacing w:after="100" w:line="252" w:lineRule="auto"/>
      </w:pPr>
      <w:r>
        <w:rPr>
          <w:rFonts w:ascii="Aptos" w:hAnsi="Aptos"/>
          <w:color w:val="243342"/>
          <w:sz w:val="18"/>
        </w:rPr>
        <w:t>Do not prematurely split the monorepo beyond these boundaries. The solo MVP should keep the dependency graph small: core, provider-kit/providers, catalog/transport only as needed, and the three application surfaces.</w:t>
      </w:r>
    </w:p>
    <w:p>
      <w:pPr>
        <w:pStyle w:val="Heading1"/>
        <w:keepNext/>
      </w:pPr>
      <w:r>
        <w:t>28. Detailed Implementation Playbook: Architecture, Database, Integrations, Security &amp; Coding Standards</w:t>
      </w:r>
    </w:p>
    <w:p>
      <w:pPr/>
      <w:r>
        <w:t>This section turns the existing v2.3 product and security decisions into a concrete build plan. It is subordinate to the canonical contracts, provider policies, hosted limits and MVP/non-goals already defined above. Where a feature is explicitly out of MVP scope, do not introduce a substitute implementation without a documented Architecture Decision Record (ADR).</w:t>
      </w:r>
    </w:p>
    <w:p>
      <w:pPr>
        <w:pStyle w:val="Heading2"/>
      </w:pPr>
      <w:r>
        <w:t>28.1 System Architecture: Modules, Services, APIs and Data Flow</w:t>
      </w:r>
    </w:p>
    <w:p>
      <w:pPr/>
      <w:r>
        <w:t>Architecture invariant: the shared TypeScript core is the semantic source of truth. Web and CLI are thin execution surfaces; the Worker is the hosted trust boundary. Only the controlled-fetch implementation may perform provider network calls. The browser must never call a provider directly, and provider adapters must never bypass the gateway.</w:t>
      </w:r>
    </w:p>
    <w:p>
      <w:pPr>
        <w:pStyle w:val="Heading3"/>
      </w:pPr>
      <w:r>
        <w:t>Component and module boundaries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43"/>
            <w:vAlign w:val="center"/>
            <w:tcMar>
              <w:top w:w="85" w:type="dxa"/>
              <w:start w:w="95" w:type="dxa"/>
              <w:bottom w:w="85" w:type="dxa"/>
              <w:end w:w="95" w:type="dxa"/>
            </w:tcMar>
            <w:shd w:fill="17324D"/>
          </w:tcPr>
          <w:p>
            <w:pPr>
              <w:spacing w:after="0"/>
            </w:pPr>
            <w:r>
              <w:rPr>
                <w:b/>
                <w:color w:val="FFFFFF"/>
                <w:sz w:val="17"/>
              </w:rPr>
              <w:t>Module / service</w:t>
            </w:r>
          </w:p>
        </w:tc>
        <w:tc>
          <w:tcPr>
            <w:tcW w:type="dxa" w:w="4248"/>
            <w:vAlign w:val="center"/>
            <w:tcMar>
              <w:top w:w="85" w:type="dxa"/>
              <w:start w:w="95" w:type="dxa"/>
              <w:bottom w:w="85" w:type="dxa"/>
              <w:end w:w="95" w:type="dxa"/>
            </w:tcMar>
            <w:shd w:fill="17324D"/>
          </w:tcPr>
          <w:p>
            <w:pPr>
              <w:spacing w:after="0"/>
            </w:pPr>
            <w:r>
              <w:rPr>
                <w:b/>
                <w:color w:val="FFFFFF"/>
                <w:sz w:val="17"/>
              </w:rPr>
              <w:t>Owns</w:t>
            </w:r>
          </w:p>
        </w:tc>
        <w:tc>
          <w:tcPr>
            <w:tcW w:type="dxa" w:w="3384"/>
            <w:vAlign w:val="center"/>
            <w:tcMar>
              <w:top w:w="85" w:type="dxa"/>
              <w:start w:w="95" w:type="dxa"/>
              <w:bottom w:w="85" w:type="dxa"/>
              <w:end w:w="95" w:type="dxa"/>
            </w:tcMar>
            <w:shd w:fill="17324D"/>
          </w:tcPr>
          <w:p>
            <w:pPr>
              <w:spacing w:after="0"/>
            </w:pPr>
            <w:r>
              <w:rPr>
                <w:b/>
                <w:color w:val="FFFFFF"/>
                <w:sz w:val="17"/>
              </w:rPr>
              <w:t>Must not do</w:t>
            </w:r>
          </w:p>
        </w:tc>
      </w:tr>
      <w:tr>
        <w:trPr>
          <w:cantSplit/>
        </w:trPr>
        <w:tc>
          <w:tcPr>
            <w:tcW w:type="dxa" w:w="1843"/>
            <w:vAlign w:val="center"/>
            <w:tcMar>
              <w:top w:w="85" w:type="dxa"/>
              <w:start w:w="95" w:type="dxa"/>
              <w:bottom w:w="85" w:type="dxa"/>
              <w:end w:w="95" w:type="dxa"/>
            </w:tcMar>
          </w:tcPr>
          <w:p>
            <w:pPr>
              <w:spacing w:after="0"/>
            </w:pPr>
            <w:r>
              <w:rPr>
                <w:color w:val="243447"/>
                <w:sz w:val="17"/>
              </w:rPr>
              <w:t>apps/web</w:t>
            </w:r>
          </w:p>
        </w:tc>
        <w:tc>
          <w:tcPr>
            <w:tcW w:type="dxa" w:w="4248"/>
            <w:vAlign w:val="center"/>
            <w:tcMar>
              <w:top w:w="85" w:type="dxa"/>
              <w:start w:w="95" w:type="dxa"/>
              <w:bottom w:w="85" w:type="dxa"/>
              <w:end w:w="95" w:type="dxa"/>
            </w:tcMar>
          </w:tcPr>
          <w:p>
            <w:pPr>
              <w:spacing w:after="0"/>
            </w:pPr>
            <w:r>
              <w:rPr>
                <w:color w:val="243447"/>
                <w:sz w:val="17"/>
              </w:rPr>
              <w:t>React, Vite, TypeScript and Tailwind; intent/provider/target selection, risk and cost disclosure, typed credential input, NDJSON rendering and safe remediation.</w:t>
            </w:r>
          </w:p>
        </w:tc>
        <w:tc>
          <w:tcPr>
            <w:tcW w:type="dxa" w:w="3384"/>
            <w:vAlign w:val="center"/>
            <w:tcMar>
              <w:top w:w="85" w:type="dxa"/>
              <w:start w:w="95" w:type="dxa"/>
              <w:bottom w:w="85" w:type="dxa"/>
              <w:end w:w="95" w:type="dxa"/>
            </w:tcMar>
          </w:tcPr>
          <w:p>
            <w:pPr>
              <w:spacing w:after="0"/>
            </w:pPr>
            <w:r>
              <w:rPr>
                <w:color w:val="243447"/>
                <w:sz w:val="17"/>
              </w:rPr>
              <w:t>No provider fetch, no credential in localStorage/sessionStorage, no raw provider response rendering.</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apps/worker</w:t>
            </w:r>
          </w:p>
        </w:tc>
        <w:tc>
          <w:tcPr>
            <w:tcW w:type="dxa" w:w="4248"/>
            <w:vAlign w:val="center"/>
            <w:tcMar>
              <w:top w:w="85" w:type="dxa"/>
              <w:start w:w="95" w:type="dxa"/>
              <w:bottom w:w="85" w:type="dxa"/>
              <w:end w:w="95" w:type="dxa"/>
            </w:tcMar>
            <w:shd w:fill="F5F8FB"/>
          </w:tcPr>
          <w:p>
            <w:pPr>
              <w:spacing w:after="0"/>
            </w:pPr>
            <w:r>
              <w:rPr>
                <w:color w:val="243447"/>
                <w:sz w:val="17"/>
              </w:rPr>
              <w:t>Same-origin HTTP routes; input and Origin validation, Turnstile Siteverify, admission decision, policy orchestration, shared-core invocation and NDJSON transport.</w:t>
            </w:r>
          </w:p>
        </w:tc>
        <w:tc>
          <w:tcPr>
            <w:tcW w:type="dxa" w:w="3384"/>
            <w:vAlign w:val="center"/>
            <w:tcMar>
              <w:top w:w="85" w:type="dxa"/>
              <w:start w:w="95" w:type="dxa"/>
              <w:bottom w:w="85" w:type="dxa"/>
              <w:end w:w="95" w:type="dxa"/>
            </w:tcMar>
            <w:shd w:fill="F5F8FB"/>
          </w:tcPr>
          <w:p>
            <w:pPr>
              <w:spacing w:after="0"/>
            </w:pPr>
            <w:r>
              <w:rPr>
                <w:color w:val="243447"/>
                <w:sz w:val="17"/>
              </w:rPr>
              <w:t>No intentional credential persistence, no arbitrary outbound URL, no provider-specific duplicated classifier.</w:t>
            </w:r>
          </w:p>
        </w:tc>
      </w:tr>
      <w:tr>
        <w:trPr>
          <w:cantSplit/>
        </w:trPr>
        <w:tc>
          <w:tcPr>
            <w:tcW w:type="dxa" w:w="1843"/>
            <w:vAlign w:val="center"/>
            <w:tcMar>
              <w:top w:w="85" w:type="dxa"/>
              <w:start w:w="95" w:type="dxa"/>
              <w:bottom w:w="85" w:type="dxa"/>
              <w:end w:w="95" w:type="dxa"/>
            </w:tcMar>
          </w:tcPr>
          <w:p>
            <w:pPr>
              <w:spacing w:after="0"/>
            </w:pPr>
            <w:r>
              <w:rPr>
                <w:color w:val="243447"/>
                <w:sz w:val="17"/>
              </w:rPr>
              <w:t>apps/cli</w:t>
            </w:r>
          </w:p>
        </w:tc>
        <w:tc>
          <w:tcPr>
            <w:tcW w:type="dxa" w:w="4248"/>
            <w:vAlign w:val="center"/>
            <w:tcMar>
              <w:top w:w="85" w:type="dxa"/>
              <w:start w:w="95" w:type="dxa"/>
              <w:bottom w:w="85" w:type="dxa"/>
              <w:end w:w="95" w:type="dxa"/>
            </w:tcMar>
          </w:tcPr>
          <w:p>
            <w:pPr>
              <w:spacing w:after="0"/>
            </w:pPr>
            <w:r>
              <w:rPr>
                <w:color w:val="243447"/>
                <w:sz w:val="17"/>
              </w:rPr>
              <w:t>Commander commands, local secret acquisition, .env scanning, local diagnostics, text/JSON output and stable exit codes.</w:t>
            </w:r>
          </w:p>
        </w:tc>
        <w:tc>
          <w:tcPr>
            <w:tcW w:type="dxa" w:w="3384"/>
            <w:vAlign w:val="center"/>
            <w:tcMar>
              <w:top w:w="85" w:type="dxa"/>
              <w:start w:w="95" w:type="dxa"/>
              <w:bottom w:w="85" w:type="dxa"/>
              <w:end w:w="95" w:type="dxa"/>
            </w:tcMar>
          </w:tcPr>
          <w:p>
            <w:pPr>
              <w:spacing w:after="0"/>
            </w:pPr>
            <w:r>
              <w:rPr>
                <w:color w:val="243447"/>
                <w:sz w:val="17"/>
              </w:rPr>
              <w:t>No API HealthLab data-plane request by default; no secret in argv, shell output or telemetry.</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packages/core</w:t>
            </w:r>
          </w:p>
        </w:tc>
        <w:tc>
          <w:tcPr>
            <w:tcW w:type="dxa" w:w="4248"/>
            <w:vAlign w:val="center"/>
            <w:tcMar>
              <w:top w:w="85" w:type="dxa"/>
              <w:start w:w="95" w:type="dxa"/>
              <w:bottom w:w="85" w:type="dxa"/>
              <w:end w:w="95" w:type="dxa"/>
            </w:tcMar>
            <w:shd w:fill="F5F8FB"/>
          </w:tcPr>
          <w:p>
            <w:pPr>
              <w:spacing w:after="0"/>
            </w:pPr>
            <w:r>
              <w:rPr>
                <w:color w:val="243447"/>
                <w:sz w:val="17"/>
              </w:rPr>
              <w:t>Canonical domain contracts, runtime schemas, intent/capability resolution, total policy function, ProbePlan runner, classifier, evidence builder, aggregation and redaction.</w:t>
            </w:r>
          </w:p>
        </w:tc>
        <w:tc>
          <w:tcPr>
            <w:tcW w:type="dxa" w:w="3384"/>
            <w:vAlign w:val="center"/>
            <w:tcMar>
              <w:top w:w="85" w:type="dxa"/>
              <w:start w:w="95" w:type="dxa"/>
              <w:bottom w:w="85" w:type="dxa"/>
              <w:end w:w="95" w:type="dxa"/>
            </w:tcMar>
            <w:shd w:fill="F5F8FB"/>
          </w:tcPr>
          <w:p>
            <w:pPr>
              <w:spacing w:after="0"/>
            </w:pPr>
            <w:r>
              <w:rPr>
                <w:color w:val="243447"/>
                <w:sz w:val="17"/>
              </w:rPr>
              <w:t>No UI framework dependency, no provider SDK dependency, no uncontrolled network call.</w:t>
            </w:r>
          </w:p>
        </w:tc>
      </w:tr>
      <w:tr>
        <w:trPr>
          <w:cantSplit/>
        </w:trPr>
        <w:tc>
          <w:tcPr>
            <w:tcW w:type="dxa" w:w="1843"/>
            <w:vAlign w:val="center"/>
            <w:tcMar>
              <w:top w:w="85" w:type="dxa"/>
              <w:start w:w="95" w:type="dxa"/>
              <w:bottom w:w="85" w:type="dxa"/>
              <w:end w:w="95" w:type="dxa"/>
            </w:tcMar>
          </w:tcPr>
          <w:p>
            <w:pPr>
              <w:spacing w:after="0"/>
            </w:pPr>
            <w:r>
              <w:rPr>
                <w:color w:val="243447"/>
                <w:sz w:val="17"/>
              </w:rPr>
              <w:t>packages/core/network</w:t>
            </w:r>
          </w:p>
        </w:tc>
        <w:tc>
          <w:tcPr>
            <w:tcW w:type="dxa" w:w="4248"/>
            <w:vAlign w:val="center"/>
            <w:tcMar>
              <w:top w:w="85" w:type="dxa"/>
              <w:start w:w="95" w:type="dxa"/>
              <w:bottom w:w="85" w:type="dxa"/>
              <w:end w:w="95" w:type="dxa"/>
            </w:tcMar>
          </w:tcPr>
          <w:p>
            <w:pPr>
              <w:spacing w:after="0"/>
            </w:pPr>
            <w:r>
              <w:rPr>
                <w:color w:val="243447"/>
                <w:sz w:val="17"/>
              </w:rPr>
              <w:t>Shared ControlledFetch interface and runtime-specific implementations; host/method/header checks, redirect handling, aborts, timeouts and bounded response reading.</w:t>
            </w:r>
          </w:p>
        </w:tc>
        <w:tc>
          <w:tcPr>
            <w:tcW w:type="dxa" w:w="3384"/>
            <w:vAlign w:val="center"/>
            <w:tcMar>
              <w:top w:w="85" w:type="dxa"/>
              <w:start w:w="95" w:type="dxa"/>
              <w:bottom w:w="85" w:type="dxa"/>
              <w:end w:w="95" w:type="dxa"/>
            </w:tcMar>
          </w:tcPr>
          <w:p>
            <w:pPr>
              <w:spacing w:after="0"/>
            </w:pPr>
            <w:r>
              <w:rPr>
                <w:color w:val="243447"/>
                <w:sz w:val="17"/>
              </w:rPr>
              <w:t>Every provider request passes through this boundary; validate the final URL and headers immediately before fetch.</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packages/provider-kit</w:t>
            </w:r>
          </w:p>
        </w:tc>
        <w:tc>
          <w:tcPr>
            <w:tcW w:type="dxa" w:w="4248"/>
            <w:vAlign w:val="center"/>
            <w:tcMar>
              <w:top w:w="85" w:type="dxa"/>
              <w:start w:w="95" w:type="dxa"/>
              <w:bottom w:w="85" w:type="dxa"/>
              <w:end w:w="95" w:type="dxa"/>
            </w:tcMar>
            <w:shd w:fill="F5F8FB"/>
          </w:tcPr>
          <w:p>
            <w:pPr>
              <w:spacing w:after="0"/>
            </w:pPr>
            <w:r>
              <w:rPr>
                <w:color w:val="243447"/>
                <w:sz w:val="17"/>
              </w:rPr>
              <w:t>Manifest schema/linter, adapter interface, deterministic matcher engine, safe extractors and contract-test helpers.</w:t>
            </w:r>
          </w:p>
        </w:tc>
        <w:tc>
          <w:tcPr>
            <w:tcW w:type="dxa" w:w="3384"/>
            <w:vAlign w:val="center"/>
            <w:tcMar>
              <w:top w:w="85" w:type="dxa"/>
              <w:start w:w="95" w:type="dxa"/>
              <w:bottom w:w="85" w:type="dxa"/>
              <w:end w:w="95" w:type="dxa"/>
            </w:tcMar>
            <w:shd w:fill="F5F8FB"/>
          </w:tcPr>
          <w:p>
            <w:pPr>
              <w:spacing w:after="0"/>
            </w:pPr>
            <w:r>
              <w:rPr>
                <w:color w:val="243447"/>
                <w:sz w:val="17"/>
              </w:rPr>
              <w:t>Manifest data is untrusted until validated; hosted custom manifests are disabled.</w:t>
            </w:r>
          </w:p>
        </w:tc>
      </w:tr>
      <w:tr>
        <w:trPr>
          <w:cantSplit/>
        </w:trPr>
        <w:tc>
          <w:tcPr>
            <w:tcW w:type="dxa" w:w="1843"/>
            <w:vAlign w:val="center"/>
            <w:tcMar>
              <w:top w:w="85" w:type="dxa"/>
              <w:start w:w="95" w:type="dxa"/>
              <w:bottom w:w="85" w:type="dxa"/>
              <w:end w:w="95" w:type="dxa"/>
            </w:tcMar>
          </w:tcPr>
          <w:p>
            <w:pPr>
              <w:spacing w:after="0"/>
            </w:pPr>
            <w:r>
              <w:rPr>
                <w:color w:val="243447"/>
                <w:sz w:val="17"/>
              </w:rPr>
              <w:t>packages/providers</w:t>
            </w:r>
          </w:p>
        </w:tc>
        <w:tc>
          <w:tcPr>
            <w:tcW w:type="dxa" w:w="4248"/>
            <w:vAlign w:val="center"/>
            <w:tcMar>
              <w:top w:w="85" w:type="dxa"/>
              <w:start w:w="95" w:type="dxa"/>
              <w:bottom w:w="85" w:type="dxa"/>
              <w:end w:w="95" w:type="dxa"/>
            </w:tcMar>
          </w:tcPr>
          <w:p>
            <w:pPr>
              <w:spacing w:after="0"/>
            </w:pPr>
            <w:r>
              <w:rPr>
                <w:color w:val="243447"/>
                <w:sz w:val="17"/>
              </w:rPr>
              <w:t>Reviewed provider manifests and small exceptional code adapters for behavior that cannot be represented safely in Manifest v1.</w:t>
            </w:r>
          </w:p>
        </w:tc>
        <w:tc>
          <w:tcPr>
            <w:tcW w:type="dxa" w:w="3384"/>
            <w:vAlign w:val="center"/>
            <w:tcMar>
              <w:top w:w="85" w:type="dxa"/>
              <w:start w:w="95" w:type="dxa"/>
              <w:bottom w:w="85" w:type="dxa"/>
              <w:end w:w="95" w:type="dxa"/>
            </w:tcMar>
          </w:tcPr>
          <w:p>
            <w:pPr>
              <w:spacing w:after="0"/>
            </w:pPr>
            <w:r>
              <w:rPr>
                <w:color w:val="243447"/>
                <w:sz w:val="17"/>
              </w:rPr>
              <w:t>Manifest v1 is single-step; do not add arbitrary scripts or widen inherited policy.</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packages/catalog</w:t>
            </w:r>
          </w:p>
        </w:tc>
        <w:tc>
          <w:tcPr>
            <w:tcW w:type="dxa" w:w="4248"/>
            <w:vAlign w:val="center"/>
            <w:tcMar>
              <w:top w:w="85" w:type="dxa"/>
              <w:start w:w="95" w:type="dxa"/>
              <w:bottom w:w="85" w:type="dxa"/>
              <w:end w:w="95" w:type="dxa"/>
            </w:tcMar>
            <w:shd w:fill="F5F8FB"/>
          </w:tcPr>
          <w:p>
            <w:pPr>
              <w:spacing w:after="0"/>
            </w:pPr>
            <w:r>
              <w:rPr>
                <w:color w:val="243447"/>
                <w:sz w:val="17"/>
              </w:rPr>
              <w:t>Source-controlled provider, product, model and intent capability metadata; generated public catalog views.</w:t>
            </w:r>
          </w:p>
        </w:tc>
        <w:tc>
          <w:tcPr>
            <w:tcW w:type="dxa" w:w="3384"/>
            <w:vAlign w:val="center"/>
            <w:tcMar>
              <w:top w:w="85" w:type="dxa"/>
              <w:start w:w="95" w:type="dxa"/>
              <w:bottom w:w="85" w:type="dxa"/>
              <w:end w:w="95" w:type="dxa"/>
            </w:tcMar>
            <w:shd w:fill="F5F8FB"/>
          </w:tcPr>
          <w:p>
            <w:pPr>
              <w:spacing w:after="0"/>
            </w:pPr>
            <w:r>
              <w:rPr>
                <w:color w:val="243447"/>
                <w:sz w:val="17"/>
              </w:rPr>
              <w:t>Do not make up or infer current capability/availability; attach verification dates and provenance.</w:t>
            </w:r>
          </w:p>
        </w:tc>
      </w:tr>
      <w:tr>
        <w:trPr>
          <w:cantSplit/>
        </w:trPr>
        <w:tc>
          <w:tcPr>
            <w:tcW w:type="dxa" w:w="1843"/>
            <w:vAlign w:val="center"/>
            <w:tcMar>
              <w:top w:w="85" w:type="dxa"/>
              <w:start w:w="95" w:type="dxa"/>
              <w:bottom w:w="85" w:type="dxa"/>
              <w:end w:w="95" w:type="dxa"/>
            </w:tcMar>
          </w:tcPr>
          <w:p>
            <w:pPr>
              <w:spacing w:after="0"/>
            </w:pPr>
            <w:r>
              <w:rPr>
                <w:color w:val="243447"/>
                <w:sz w:val="17"/>
              </w:rPr>
              <w:t>packages/transport</w:t>
            </w:r>
          </w:p>
        </w:tc>
        <w:tc>
          <w:tcPr>
            <w:tcW w:type="dxa" w:w="4248"/>
            <w:vAlign w:val="center"/>
            <w:tcMar>
              <w:top w:w="85" w:type="dxa"/>
              <w:start w:w="95" w:type="dxa"/>
              <w:bottom w:w="85" w:type="dxa"/>
              <w:end w:w="95" w:type="dxa"/>
            </w:tcMar>
          </w:tcPr>
          <w:p>
            <w:pPr>
              <w:spacing w:after="0"/>
            </w:pPr>
            <w:r>
              <w:rPr>
                <w:color w:val="243447"/>
                <w:sz w:val="17"/>
              </w:rPr>
              <w:t>Request/response schemas, NDJSON event types, serializers and version compatibility checks.</w:t>
            </w:r>
          </w:p>
        </w:tc>
        <w:tc>
          <w:tcPr>
            <w:tcW w:type="dxa" w:w="3384"/>
            <w:vAlign w:val="center"/>
            <w:tcMar>
              <w:top w:w="85" w:type="dxa"/>
              <w:start w:w="95" w:type="dxa"/>
              <w:bottom w:w="85" w:type="dxa"/>
              <w:end w:w="95" w:type="dxa"/>
            </w:tcMar>
          </w:tcPr>
          <w:p>
            <w:pPr>
              <w:spacing w:after="0"/>
            </w:pPr>
            <w:r>
              <w:rPr>
                <w:color w:val="243447"/>
                <w:sz w:val="17"/>
              </w:rPr>
              <w:t>Serialize only approved, redacted evidence; no raw headers, bodies or secrets.</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Durable Objects (SQLite)</w:t>
            </w:r>
          </w:p>
        </w:tc>
        <w:tc>
          <w:tcPr>
            <w:tcW w:type="dxa" w:w="4248"/>
            <w:vAlign w:val="center"/>
            <w:tcMar>
              <w:top w:w="85" w:type="dxa"/>
              <w:start w:w="95" w:type="dxa"/>
              <w:bottom w:w="85" w:type="dxa"/>
              <w:end w:w="95" w:type="dxa"/>
            </w:tcMar>
            <w:shd w:fill="F5F8FB"/>
          </w:tcPr>
          <w:p>
            <w:pPr>
              <w:spacing w:after="0"/>
            </w:pPr>
            <w:r>
              <w:rPr>
                <w:color w:val="243447"/>
                <w:sz w:val="17"/>
              </w:rPr>
              <w:t>Short-lived admission counters, provider budgets and bounded idempotency/deduplication state.</w:t>
            </w:r>
          </w:p>
        </w:tc>
        <w:tc>
          <w:tcPr>
            <w:tcW w:type="dxa" w:w="3384"/>
            <w:vAlign w:val="center"/>
            <w:tcMar>
              <w:top w:w="85" w:type="dxa"/>
              <w:start w:w="95" w:type="dxa"/>
              <w:bottom w:w="85" w:type="dxa"/>
              <w:end w:w="95" w:type="dxa"/>
            </w:tcMar>
            <w:shd w:fill="F5F8FB"/>
          </w:tcPr>
          <w:p>
            <w:pPr>
              <w:spacing w:after="0"/>
            </w:pPr>
            <w:r>
              <w:rPr>
                <w:color w:val="243447"/>
                <w:sz w:val="17"/>
              </w:rPr>
              <w:t>Not an application database, credential vault or persistent run-history store.</w:t>
            </w:r>
          </w:p>
        </w:tc>
      </w:tr>
      <w:tr>
        <w:trPr>
          <w:cantSplit/>
        </w:trPr>
        <w:tc>
          <w:tcPr>
            <w:tcW w:type="dxa" w:w="1843"/>
            <w:vAlign w:val="center"/>
            <w:tcMar>
              <w:top w:w="85" w:type="dxa"/>
              <w:start w:w="95" w:type="dxa"/>
              <w:bottom w:w="85" w:type="dxa"/>
              <w:end w:w="95" w:type="dxa"/>
            </w:tcMar>
          </w:tcPr>
          <w:p>
            <w:pPr>
              <w:spacing w:after="0"/>
            </w:pPr>
            <w:r>
              <w:rPr>
                <w:color w:val="243447"/>
                <w:sz w:val="17"/>
              </w:rPr>
              <w:t>Workers Cache</w:t>
            </w:r>
          </w:p>
        </w:tc>
        <w:tc>
          <w:tcPr>
            <w:tcW w:type="dxa" w:w="4248"/>
            <w:vAlign w:val="center"/>
            <w:tcMar>
              <w:top w:w="85" w:type="dxa"/>
              <w:start w:w="95" w:type="dxa"/>
              <w:bottom w:w="85" w:type="dxa"/>
              <w:end w:w="95" w:type="dxa"/>
            </w:tcMar>
          </w:tcPr>
          <w:p>
            <w:pPr>
              <w:spacing w:after="0"/>
            </w:pPr>
            <w:r>
              <w:rPr>
                <w:color w:val="243447"/>
                <w:sz w:val="17"/>
              </w:rPr>
              <w:t>Cache public provider-status responses when enabled in P1.</w:t>
            </w:r>
          </w:p>
        </w:tc>
        <w:tc>
          <w:tcPr>
            <w:tcW w:type="dxa" w:w="3384"/>
            <w:vAlign w:val="center"/>
            <w:tcMar>
              <w:top w:w="85" w:type="dxa"/>
              <w:start w:w="95" w:type="dxa"/>
              <w:bottom w:w="85" w:type="dxa"/>
              <w:end w:w="95" w:type="dxa"/>
            </w:tcMar>
          </w:tcPr>
          <w:p>
            <w:pPr>
              <w:spacing w:after="0"/>
            </w:pPr>
            <w:r>
              <w:rPr>
                <w:color w:val="243447"/>
                <w:sz w:val="17"/>
              </w:rPr>
              <w:t>Never cache credential-bearing requests or responses; use no-store for test APIs.</w:t>
            </w:r>
          </w:p>
        </w:tc>
      </w:tr>
    </w:tbl>
    <w:p>
      <w:pPr>
        <w:pStyle w:val="Heading3"/>
      </w:pPr>
      <w:r>
        <w:t>Hosted request data flow</w:t>
      </w:r>
    </w:p>
    <w:p>
      <w:pPr/>
      <w:r>
        <w:t>1. Browser → Worker request boundary: enforce method, JSON content type, request-size cap, same-origin policy and schema envelope.</w:t>
      </w:r>
    </w:p>
    <w:p>
      <w:pPr/>
      <w:r>
        <w:t>2. Worker preflight → Turnstile Siteverify → Durable Object admission: validate the Turnstile success, expected hostname and action; enforce source/provider limits and the provider-wide budget.</w:t>
      </w:r>
    </w:p>
    <w:p>
      <w:pPr/>
      <w:r>
        <w:t>3. Shared core → capability and policy gates: validate provider lifecycle, IntentSpec parameters, target context, risk, side-effect, cost, explicit authorization and billable acknowledgement where required.</w:t>
      </w:r>
    </w:p>
    <w:p>
      <w:pPr/>
      <w:r>
        <w:t>4. Secret materialization → auth builder → ControlledFetch: only after all preflight gates pass; HTTPS, exact provider host, header allowlist, GET/POST only, manual redirects and bounded timeout/response reads.</w:t>
      </w:r>
    </w:p>
    <w:p>
      <w:pPr/>
      <w:r>
        <w:t>5. Classification pipeline: inspect structured provider evidence before generic HTTP fallbacks; redact exact and derived secrets; create allowlisted Evidence and StepResult objects.</w:t>
      </w:r>
    </w:p>
    <w:p>
      <w:pPr/>
      <w:r>
        <w:t>6. Transport → browser: emit ordered step_started / step_completed events and a terminal final event; discard request-local credential material when the run ends.</w:t>
      </w:r>
    </w:p>
    <w:p>
      <w:pPr>
        <w:pStyle w:val="Heading3"/>
      </w:pPr>
      <w:r>
        <w:t>Local CLI data flow</w:t>
      </w:r>
    </w:p>
    <w:p>
      <w:pPr/>
      <w:r>
        <w:t>CLI arguments and local files are parsed without executing shell expressions → credential is read from an approved secret channel → shared core validates intent and policy → ControlledFetch contacts only the selected provider → sanitized result is written to the terminal or requested output file. Local execution does not contact the API HealthLab hosted data plane unless the user explicitly requests a hosted status lookup.</w:t>
      </w:r>
    </w:p>
    <w:p>
      <w:pPr>
        <w:pStyle w:val="Heading3"/>
      </w:pPr>
      <w:r>
        <w:t>HTTP API inventory</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vAlign w:val="center"/>
            <w:tcMar>
              <w:top w:w="85" w:type="dxa"/>
              <w:start w:w="95" w:type="dxa"/>
              <w:bottom w:w="85" w:type="dxa"/>
              <w:end w:w="95" w:type="dxa"/>
            </w:tcMar>
            <w:shd w:fill="17324D"/>
          </w:tcPr>
          <w:p>
            <w:pPr>
              <w:spacing w:after="0"/>
            </w:pPr>
            <w:r>
              <w:rPr>
                <w:b/>
                <w:color w:val="FFFFFF"/>
                <w:sz w:val="17"/>
              </w:rPr>
              <w:t>Endpoint</w:t>
            </w:r>
          </w:p>
        </w:tc>
        <w:tc>
          <w:tcPr>
            <w:tcW w:type="dxa" w:w="3528"/>
            <w:vAlign w:val="center"/>
            <w:tcMar>
              <w:top w:w="85" w:type="dxa"/>
              <w:start w:w="95" w:type="dxa"/>
              <w:bottom w:w="85" w:type="dxa"/>
              <w:end w:w="95" w:type="dxa"/>
            </w:tcMar>
            <w:shd w:fill="17324D"/>
          </w:tcPr>
          <w:p>
            <w:pPr>
              <w:spacing w:after="0"/>
            </w:pPr>
            <w:r>
              <w:rPr>
                <w:b/>
                <w:color w:val="FFFFFF"/>
                <w:sz w:val="17"/>
              </w:rPr>
              <w:t>Purpose</w:t>
            </w:r>
          </w:p>
        </w:tc>
        <w:tc>
          <w:tcPr>
            <w:tcW w:type="dxa" w:w="3744"/>
            <w:vAlign w:val="center"/>
            <w:tcMar>
              <w:top w:w="85" w:type="dxa"/>
              <w:start w:w="95" w:type="dxa"/>
              <w:bottom w:w="85" w:type="dxa"/>
              <w:end w:w="95" w:type="dxa"/>
            </w:tcMar>
            <w:shd w:fill="17324D"/>
          </w:tcPr>
          <w:p>
            <w:pPr>
              <w:spacing w:after="0"/>
            </w:pPr>
            <w:r>
              <w:rPr>
                <w:b/>
                <w:color w:val="FFFFFF"/>
                <w:sz w:val="17"/>
              </w:rPr>
              <w:t>Contract</w:t>
            </w:r>
          </w:p>
        </w:tc>
      </w:tr>
      <w:tr>
        <w:trPr>
          <w:cantSplit/>
        </w:trPr>
        <w:tc>
          <w:tcPr>
            <w:tcW w:type="dxa" w:w="2160"/>
            <w:vAlign w:val="center"/>
            <w:tcMar>
              <w:top w:w="85" w:type="dxa"/>
              <w:start w:w="95" w:type="dxa"/>
              <w:bottom w:w="85" w:type="dxa"/>
              <w:end w:w="95" w:type="dxa"/>
            </w:tcMar>
          </w:tcPr>
          <w:p>
            <w:pPr>
              <w:spacing w:after="0"/>
            </w:pPr>
            <w:r>
              <w:rPr>
                <w:color w:val="243447"/>
                <w:sz w:val="17"/>
              </w:rPr>
              <w:t>POST /api/test</w:t>
            </w:r>
          </w:p>
        </w:tc>
        <w:tc>
          <w:tcPr>
            <w:tcW w:type="dxa" w:w="3528"/>
            <w:vAlign w:val="center"/>
            <w:tcMar>
              <w:top w:w="85" w:type="dxa"/>
              <w:start w:w="95" w:type="dxa"/>
              <w:bottom w:w="85" w:type="dxa"/>
              <w:end w:w="95" w:type="dxa"/>
            </w:tcMar>
          </w:tcPr>
          <w:p>
            <w:pPr>
              <w:spacing w:after="0"/>
            </w:pPr>
            <w:r>
              <w:rPr>
                <w:color w:val="243447"/>
                <w:sz w:val="17"/>
              </w:rPr>
              <w:t>One bounded hosted credential test; NDJSON step events plus terminal final.</w:t>
            </w:r>
          </w:p>
        </w:tc>
        <w:tc>
          <w:tcPr>
            <w:tcW w:type="dxa" w:w="3744"/>
            <w:vAlign w:val="center"/>
            <w:tcMar>
              <w:top w:w="85" w:type="dxa"/>
              <w:start w:w="95" w:type="dxa"/>
              <w:bottom w:w="85" w:type="dxa"/>
              <w:end w:w="95" w:type="dxa"/>
            </w:tcMar>
          </w:tcPr>
          <w:p>
            <w:pPr>
              <w:spacing w:after="0"/>
            </w:pPr>
            <w:r>
              <w:rPr>
                <w:color w:val="243447"/>
                <w:sz w:val="17"/>
              </w:rPr>
              <w:t>P0; requires valid request schema, Origin, Turnstile and admission; one credential only.</w:t>
            </w:r>
          </w:p>
        </w:tc>
      </w:tr>
      <w:tr>
        <w:trPr>
          <w:cantSplit/>
        </w:trPr>
        <w:tc>
          <w:tcPr>
            <w:tcW w:type="dxa" w:w="2160"/>
            <w:vAlign w:val="center"/>
            <w:tcMar>
              <w:top w:w="85" w:type="dxa"/>
              <w:start w:w="95" w:type="dxa"/>
              <w:bottom w:w="85" w:type="dxa"/>
              <w:end w:w="95" w:type="dxa"/>
            </w:tcMar>
            <w:shd w:fill="F5F8FB"/>
          </w:tcPr>
          <w:p>
            <w:pPr>
              <w:spacing w:after="0"/>
            </w:pPr>
            <w:r>
              <w:rPr>
                <w:color w:val="243447"/>
                <w:sz w:val="17"/>
              </w:rPr>
              <w:t>POST /api/diagnose</w:t>
            </w:r>
          </w:p>
        </w:tc>
        <w:tc>
          <w:tcPr>
            <w:tcW w:type="dxa" w:w="3528"/>
            <w:vAlign w:val="center"/>
            <w:tcMar>
              <w:top w:w="85" w:type="dxa"/>
              <w:start w:w="95" w:type="dxa"/>
              <w:bottom w:w="85" w:type="dxa"/>
              <w:end w:w="95" w:type="dxa"/>
            </w:tcMar>
            <w:shd w:fill="F5F8FB"/>
          </w:tcPr>
          <w:p>
            <w:pPr>
              <w:spacing w:after="0"/>
            </w:pPr>
            <w:r>
              <w:rPr>
                <w:color w:val="243447"/>
                <w:sz w:val="17"/>
              </w:rPr>
              <w:t>Rule-based diagnosis from a pasted/supplied error; credential-free.</w:t>
            </w:r>
          </w:p>
        </w:tc>
        <w:tc>
          <w:tcPr>
            <w:tcW w:type="dxa" w:w="3744"/>
            <w:vAlign w:val="center"/>
            <w:tcMar>
              <w:top w:w="85" w:type="dxa"/>
              <w:start w:w="95" w:type="dxa"/>
              <w:bottom w:w="85" w:type="dxa"/>
              <w:end w:w="95" w:type="dxa"/>
            </w:tcMar>
            <w:shd w:fill="F5F8FB"/>
          </w:tcPr>
          <w:p>
            <w:pPr>
              <w:spacing w:after="0"/>
            </w:pPr>
            <w:r>
              <w:rPr>
                <w:color w:val="243447"/>
                <w:sz w:val="17"/>
              </w:rPr>
              <w:t>P0; sanitizes input and scrubs secrets before rule matching.</w:t>
            </w:r>
          </w:p>
        </w:tc>
      </w:tr>
      <w:tr>
        <w:trPr>
          <w:cantSplit/>
        </w:trPr>
        <w:tc>
          <w:tcPr>
            <w:tcW w:type="dxa" w:w="2160"/>
            <w:vAlign w:val="center"/>
            <w:tcMar>
              <w:top w:w="85" w:type="dxa"/>
              <w:start w:w="95" w:type="dxa"/>
              <w:bottom w:w="85" w:type="dxa"/>
              <w:end w:w="95" w:type="dxa"/>
            </w:tcMar>
          </w:tcPr>
          <w:p>
            <w:pPr>
              <w:spacing w:after="0"/>
            </w:pPr>
            <w:r>
              <w:rPr>
                <w:color w:val="243447"/>
                <w:sz w:val="17"/>
              </w:rPr>
              <w:t>GET /api/providers</w:t>
            </w:r>
          </w:p>
        </w:tc>
        <w:tc>
          <w:tcPr>
            <w:tcW w:type="dxa" w:w="3528"/>
            <w:vAlign w:val="center"/>
            <w:tcMar>
              <w:top w:w="85" w:type="dxa"/>
              <w:start w:w="95" w:type="dxa"/>
              <w:bottom w:w="85" w:type="dxa"/>
              <w:end w:w="95" w:type="dxa"/>
            </w:tcMar>
          </w:tcPr>
          <w:p>
            <w:pPr>
              <w:spacing w:after="0"/>
            </w:pPr>
            <w:r>
              <w:rPr>
                <w:color w:val="243447"/>
                <w:sz w:val="17"/>
              </w:rPr>
              <w:t>List safe public provider metadata and available capabilities.</w:t>
            </w:r>
          </w:p>
        </w:tc>
        <w:tc>
          <w:tcPr>
            <w:tcW w:type="dxa" w:w="3744"/>
            <w:vAlign w:val="center"/>
            <w:tcMar>
              <w:top w:w="85" w:type="dxa"/>
              <w:start w:w="95" w:type="dxa"/>
              <w:bottom w:w="85" w:type="dxa"/>
              <w:end w:w="95" w:type="dxa"/>
            </w:tcMar>
          </w:tcPr>
          <w:p>
            <w:pPr>
              <w:spacing w:after="0"/>
            </w:pPr>
            <w:r>
              <w:rPr>
                <w:color w:val="243447"/>
                <w:sz w:val="17"/>
              </w:rPr>
              <w:t>P0; source-controlled metadata; no credentials.</w:t>
            </w:r>
          </w:p>
        </w:tc>
      </w:tr>
      <w:tr>
        <w:trPr>
          <w:cantSplit/>
        </w:trPr>
        <w:tc>
          <w:tcPr>
            <w:tcW w:type="dxa" w:w="2160"/>
            <w:vAlign w:val="center"/>
            <w:tcMar>
              <w:top w:w="85" w:type="dxa"/>
              <w:start w:w="95" w:type="dxa"/>
              <w:bottom w:w="85" w:type="dxa"/>
              <w:end w:w="95" w:type="dxa"/>
            </w:tcMar>
            <w:shd w:fill="F5F8FB"/>
          </w:tcPr>
          <w:p>
            <w:pPr>
              <w:spacing w:after="0"/>
            </w:pPr>
            <w:r>
              <w:rPr>
                <w:color w:val="243447"/>
                <w:sz w:val="17"/>
              </w:rPr>
              <w:t>GET /api/providers/:id</w:t>
            </w:r>
          </w:p>
        </w:tc>
        <w:tc>
          <w:tcPr>
            <w:tcW w:type="dxa" w:w="3528"/>
            <w:vAlign w:val="center"/>
            <w:tcMar>
              <w:top w:w="85" w:type="dxa"/>
              <w:start w:w="95" w:type="dxa"/>
              <w:bottom w:w="85" w:type="dxa"/>
              <w:end w:w="95" w:type="dxa"/>
            </w:tcMar>
            <w:shd w:fill="F5F8FB"/>
          </w:tcPr>
          <w:p>
            <w:pPr>
              <w:spacing w:after="0"/>
            </w:pPr>
            <w:r>
              <w:rPr>
                <w:color w:val="243447"/>
                <w:sz w:val="17"/>
              </w:rPr>
              <w:t>Provider detail, auth method, intents, risk and execution-mode capabilities.</w:t>
            </w:r>
          </w:p>
        </w:tc>
        <w:tc>
          <w:tcPr>
            <w:tcW w:type="dxa" w:w="3744"/>
            <w:vAlign w:val="center"/>
            <w:tcMar>
              <w:top w:w="85" w:type="dxa"/>
              <w:start w:w="95" w:type="dxa"/>
              <w:bottom w:w="85" w:type="dxa"/>
              <w:end w:w="95" w:type="dxa"/>
            </w:tcMar>
            <w:shd w:fill="F5F8FB"/>
          </w:tcPr>
          <w:p>
            <w:pPr>
              <w:spacing w:after="0"/>
            </w:pPr>
            <w:r>
              <w:rPr>
                <w:color w:val="243447"/>
                <w:sz w:val="17"/>
              </w:rPr>
              <w:t>P0; omit private operational configuration.</w:t>
            </w:r>
          </w:p>
        </w:tc>
      </w:tr>
      <w:tr>
        <w:trPr>
          <w:cantSplit/>
        </w:trPr>
        <w:tc>
          <w:tcPr>
            <w:tcW w:type="dxa" w:w="2160"/>
            <w:vAlign w:val="center"/>
            <w:tcMar>
              <w:top w:w="85" w:type="dxa"/>
              <w:start w:w="95" w:type="dxa"/>
              <w:bottom w:w="85" w:type="dxa"/>
              <w:end w:w="95" w:type="dxa"/>
            </w:tcMar>
          </w:tcPr>
          <w:p>
            <w:pPr>
              <w:spacing w:after="0"/>
            </w:pPr>
            <w:r>
              <w:rPr>
                <w:color w:val="243447"/>
                <w:sz w:val="17"/>
              </w:rPr>
              <w:t>GET /api/health</w:t>
            </w:r>
          </w:p>
        </w:tc>
        <w:tc>
          <w:tcPr>
            <w:tcW w:type="dxa" w:w="3528"/>
            <w:vAlign w:val="center"/>
            <w:tcMar>
              <w:top w:w="85" w:type="dxa"/>
              <w:start w:w="95" w:type="dxa"/>
              <w:bottom w:w="85" w:type="dxa"/>
              <w:end w:w="95" w:type="dxa"/>
            </w:tcMar>
          </w:tcPr>
          <w:p>
            <w:pPr>
              <w:spacing w:after="0"/>
            </w:pPr>
            <w:r>
              <w:rPr>
                <w:color w:val="243447"/>
                <w:sz w:val="17"/>
              </w:rPr>
              <w:t>API HealthLab service health.</w:t>
            </w:r>
          </w:p>
        </w:tc>
        <w:tc>
          <w:tcPr>
            <w:tcW w:type="dxa" w:w="3744"/>
            <w:vAlign w:val="center"/>
            <w:tcMar>
              <w:top w:w="85" w:type="dxa"/>
              <w:start w:w="95" w:type="dxa"/>
              <w:bottom w:w="85" w:type="dxa"/>
              <w:end w:w="95" w:type="dxa"/>
            </w:tcMar>
          </w:tcPr>
          <w:p>
            <w:pPr>
              <w:spacing w:after="0"/>
            </w:pPr>
            <w:r>
              <w:rPr>
                <w:color w:val="243447"/>
                <w:sz w:val="17"/>
              </w:rPr>
              <w:t>P0; no secret or infrastructure detail disclosure.</w:t>
            </w:r>
          </w:p>
        </w:tc>
      </w:tr>
      <w:tr>
        <w:trPr>
          <w:cantSplit/>
        </w:trPr>
        <w:tc>
          <w:tcPr>
            <w:tcW w:type="dxa" w:w="2160"/>
            <w:vAlign w:val="center"/>
            <w:tcMar>
              <w:top w:w="85" w:type="dxa"/>
              <w:start w:w="95" w:type="dxa"/>
              <w:bottom w:w="85" w:type="dxa"/>
              <w:end w:w="95" w:type="dxa"/>
            </w:tcMar>
            <w:shd w:fill="F5F8FB"/>
          </w:tcPr>
          <w:p>
            <w:pPr>
              <w:spacing w:after="0"/>
            </w:pPr>
            <w:r>
              <w:rPr>
                <w:color w:val="243447"/>
                <w:sz w:val="17"/>
              </w:rPr>
              <w:t>GET /api/status/:provider</w:t>
            </w:r>
          </w:p>
        </w:tc>
        <w:tc>
          <w:tcPr>
            <w:tcW w:type="dxa" w:w="3528"/>
            <w:vAlign w:val="center"/>
            <w:tcMar>
              <w:top w:w="85" w:type="dxa"/>
              <w:start w:w="95" w:type="dxa"/>
              <w:bottom w:w="85" w:type="dxa"/>
              <w:end w:w="95" w:type="dxa"/>
            </w:tcMar>
            <w:shd w:fill="F5F8FB"/>
          </w:tcPr>
          <w:p>
            <w:pPr>
              <w:spacing w:after="0"/>
            </w:pPr>
            <w:r>
              <w:rPr>
                <w:color w:val="243447"/>
                <w:sz w:val="17"/>
              </w:rPr>
              <w:t>Provider-health signal from a public/status source.</w:t>
            </w:r>
          </w:p>
        </w:tc>
        <w:tc>
          <w:tcPr>
            <w:tcW w:type="dxa" w:w="3744"/>
            <w:vAlign w:val="center"/>
            <w:tcMar>
              <w:top w:w="85" w:type="dxa"/>
              <w:start w:w="95" w:type="dxa"/>
              <w:bottom w:w="85" w:type="dxa"/>
              <w:end w:w="95" w:type="dxa"/>
            </w:tcMar>
            <w:shd w:fill="F5F8FB"/>
          </w:tcPr>
          <w:p>
            <w:pPr>
              <w:spacing w:after="0"/>
            </w:pPr>
            <w:r>
              <w:rPr>
                <w:color w:val="243447"/>
                <w:sz w:val="17"/>
              </w:rPr>
              <w:t>P1; public status only; Workers Cache may be used.</w:t>
            </w:r>
          </w:p>
        </w:tc>
      </w:tr>
      <w:tr>
        <w:trPr>
          <w:cantSplit/>
        </w:trPr>
        <w:tc>
          <w:tcPr>
            <w:tcW w:type="dxa" w:w="2160"/>
            <w:vAlign w:val="center"/>
            <w:tcMar>
              <w:top w:w="85" w:type="dxa"/>
              <w:start w:w="95" w:type="dxa"/>
              <w:bottom w:w="85" w:type="dxa"/>
              <w:end w:w="95" w:type="dxa"/>
            </w:tcMar>
          </w:tcPr>
          <w:p>
            <w:pPr>
              <w:spacing w:after="0"/>
            </w:pPr>
            <w:r>
              <w:rPr>
                <w:color w:val="243447"/>
                <w:sz w:val="17"/>
              </w:rPr>
              <w:t>GET /api/models/:provider</w:t>
            </w:r>
          </w:p>
        </w:tc>
        <w:tc>
          <w:tcPr>
            <w:tcW w:type="dxa" w:w="3528"/>
            <w:vAlign w:val="center"/>
            <w:tcMar>
              <w:top w:w="85" w:type="dxa"/>
              <w:start w:w="95" w:type="dxa"/>
              <w:bottom w:w="85" w:type="dxa"/>
              <w:end w:w="95" w:type="dxa"/>
            </w:tcMar>
          </w:tcPr>
          <w:p>
            <w:pPr>
              <w:spacing w:after="0"/>
            </w:pPr>
            <w:r>
              <w:rPr>
                <w:color w:val="243447"/>
                <w:sz w:val="17"/>
              </w:rPr>
              <w:t>Provider/model metadata.</w:t>
            </w:r>
          </w:p>
        </w:tc>
        <w:tc>
          <w:tcPr>
            <w:tcW w:type="dxa" w:w="3744"/>
            <w:vAlign w:val="center"/>
            <w:tcMar>
              <w:top w:w="85" w:type="dxa"/>
              <w:start w:w="95" w:type="dxa"/>
              <w:bottom w:w="85" w:type="dxa"/>
              <w:end w:w="95" w:type="dxa"/>
            </w:tcMar>
          </w:tcPr>
          <w:p>
            <w:pPr>
              <w:spacing w:after="0"/>
            </w:pPr>
            <w:r>
              <w:rPr>
                <w:color w:val="243447"/>
                <w:sz w:val="17"/>
              </w:rPr>
              <w:t>P1; sourced, time-stamped and cacheable only when public.</w:t>
            </w:r>
          </w:p>
        </w:tc>
      </w:tr>
    </w:tbl>
    <w:p>
      <w:pPr/>
      <w:r>
        <w:t>Network and dependency rule: application modules may depend inward on core contracts, but core must not import React, Worker-only APIs, Commander or provider SDKs. Runtime-specific ports are injected into the core. CI should fail on direct provider fetches outside the approved ControlledFetch module.</w:t>
      </w:r>
    </w:p>
    <w:p>
      <w:pPr>
        <w:pStyle w:val="Heading2"/>
      </w:pPr>
      <w:r>
        <w:t>28.2 Database Design: Entities, Relationships, Constraints and Indexes</w:t>
      </w:r>
    </w:p>
    <w:p>
      <w:pPr/>
      <w:r>
        <w:t>MVP persistence decision: there is no customer/application database and no persistent credential or diagnostic-history table. Provider definitions and capability metadata live in reviewed source-controlled manifests. TestRun, StepResult, Evidence and credentials exist only in request-local memory. SQLite-backed Durable Objects are the only planned persistent state in the hosted MVP, and they store short-lived abuse/admission/idempotency state only.</w:t>
      </w:r>
    </w:p>
    <w:p>
      <w:pPr>
        <w:pStyle w:val="Heading3"/>
      </w:pPr>
      <w:r>
        <w:t>Logical entities and relationship model</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843"/>
            <w:vAlign w:val="center"/>
            <w:tcMar>
              <w:top w:w="85" w:type="dxa"/>
              <w:start w:w="95" w:type="dxa"/>
              <w:bottom w:w="85" w:type="dxa"/>
              <w:end w:w="95" w:type="dxa"/>
            </w:tcMar>
            <w:shd w:fill="17324D"/>
          </w:tcPr>
          <w:p>
            <w:pPr>
              <w:spacing w:after="0"/>
            </w:pPr>
            <w:r>
              <w:rPr>
                <w:b/>
                <w:color w:val="FFFFFF"/>
                <w:sz w:val="17"/>
              </w:rPr>
              <w:t>Entity</w:t>
            </w:r>
          </w:p>
        </w:tc>
        <w:tc>
          <w:tcPr>
            <w:tcW w:type="dxa" w:w="2045"/>
            <w:vAlign w:val="center"/>
            <w:tcMar>
              <w:top w:w="85" w:type="dxa"/>
              <w:start w:w="95" w:type="dxa"/>
              <w:bottom w:w="85" w:type="dxa"/>
              <w:end w:w="95" w:type="dxa"/>
            </w:tcMar>
            <w:shd w:fill="17324D"/>
          </w:tcPr>
          <w:p>
            <w:pPr>
              <w:spacing w:after="0"/>
            </w:pPr>
            <w:r>
              <w:rPr>
                <w:b/>
                <w:color w:val="FFFFFF"/>
                <w:sz w:val="17"/>
              </w:rPr>
              <w:t>Canonical storage</w:t>
            </w:r>
          </w:p>
        </w:tc>
        <w:tc>
          <w:tcPr>
            <w:tcW w:type="dxa" w:w="3096"/>
            <w:vAlign w:val="center"/>
            <w:tcMar>
              <w:top w:w="85" w:type="dxa"/>
              <w:start w:w="95" w:type="dxa"/>
              <w:bottom w:w="85" w:type="dxa"/>
              <w:end w:w="95" w:type="dxa"/>
            </w:tcMar>
            <w:shd w:fill="17324D"/>
          </w:tcPr>
          <w:p>
            <w:pPr>
              <w:spacing w:after="0"/>
            </w:pPr>
            <w:r>
              <w:rPr>
                <w:b/>
                <w:color w:val="FFFFFF"/>
                <w:sz w:val="17"/>
              </w:rPr>
              <w:t>Relationships / constraints</w:t>
            </w:r>
          </w:p>
        </w:tc>
        <w:tc>
          <w:tcPr>
            <w:tcW w:type="dxa" w:w="2448"/>
            <w:vAlign w:val="center"/>
            <w:tcMar>
              <w:top w:w="85" w:type="dxa"/>
              <w:start w:w="95" w:type="dxa"/>
              <w:bottom w:w="85" w:type="dxa"/>
              <w:end w:w="95" w:type="dxa"/>
            </w:tcMar>
            <w:shd w:fill="17324D"/>
          </w:tcPr>
          <w:p>
            <w:pPr>
              <w:spacing w:after="0"/>
            </w:pPr>
            <w:r>
              <w:rPr>
                <w:b/>
                <w:color w:val="FFFFFF"/>
                <w:sz w:val="17"/>
              </w:rPr>
              <w:t>Data protection rule</w:t>
            </w:r>
          </w:p>
        </w:tc>
      </w:tr>
      <w:tr>
        <w:trPr>
          <w:cantSplit/>
        </w:trPr>
        <w:tc>
          <w:tcPr>
            <w:tcW w:type="dxa" w:w="1843"/>
            <w:vAlign w:val="center"/>
            <w:tcMar>
              <w:top w:w="85" w:type="dxa"/>
              <w:start w:w="95" w:type="dxa"/>
              <w:bottom w:w="85" w:type="dxa"/>
              <w:end w:w="95" w:type="dxa"/>
            </w:tcMar>
          </w:tcPr>
          <w:p>
            <w:pPr>
              <w:spacing w:after="0"/>
            </w:pPr>
            <w:r>
              <w:rPr>
                <w:color w:val="243447"/>
                <w:sz w:val="17"/>
              </w:rPr>
              <w:t>Provider</w:t>
            </w:r>
          </w:p>
        </w:tc>
        <w:tc>
          <w:tcPr>
            <w:tcW w:type="dxa" w:w="2045"/>
            <w:vAlign w:val="center"/>
            <w:tcMar>
              <w:top w:w="85" w:type="dxa"/>
              <w:start w:w="95" w:type="dxa"/>
              <w:bottom w:w="85" w:type="dxa"/>
              <w:end w:w="95" w:type="dxa"/>
            </w:tcMar>
          </w:tcPr>
          <w:p>
            <w:pPr>
              <w:spacing w:after="0"/>
            </w:pPr>
            <w:r>
              <w:rPr>
                <w:color w:val="243447"/>
                <w:sz w:val="17"/>
              </w:rPr>
              <w:t>Source-controlled manifest/catalog entry</w:t>
            </w:r>
          </w:p>
        </w:tc>
        <w:tc>
          <w:tcPr>
            <w:tcW w:type="dxa" w:w="3096"/>
            <w:vAlign w:val="center"/>
            <w:tcMar>
              <w:top w:w="85" w:type="dxa"/>
              <w:start w:w="95" w:type="dxa"/>
              <w:bottom w:w="85" w:type="dxa"/>
              <w:end w:w="95" w:type="dxa"/>
            </w:tcMar>
          </w:tcPr>
          <w:p>
            <w:pPr>
              <w:spacing w:after="0"/>
            </w:pPr>
            <w:r>
              <w:rPr>
                <w:color w:val="243447"/>
                <w:sz w:val="17"/>
              </w:rPr>
              <w:t>1 → many Products and declared capabilities; stable providerId is unique.</w:t>
            </w:r>
          </w:p>
        </w:tc>
        <w:tc>
          <w:tcPr>
            <w:tcW w:type="dxa" w:w="2448"/>
            <w:vAlign w:val="center"/>
            <w:tcMar>
              <w:top w:w="85" w:type="dxa"/>
              <w:start w:w="95" w:type="dxa"/>
              <w:bottom w:w="85" w:type="dxa"/>
              <w:end w:w="95" w:type="dxa"/>
            </w:tcMar>
          </w:tcPr>
          <w:p>
            <w:pPr>
              <w:spacing w:after="0"/>
            </w:pPr>
            <w:r>
              <w:rPr>
                <w:color w:val="243447"/>
                <w:sz w:val="17"/>
              </w:rPr>
              <w:t>No tenant-specific credential or user data in this record.</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Product / Capability / IntentSpec</w:t>
            </w:r>
          </w:p>
        </w:tc>
        <w:tc>
          <w:tcPr>
            <w:tcW w:type="dxa" w:w="2045"/>
            <w:vAlign w:val="center"/>
            <w:tcMar>
              <w:top w:w="85" w:type="dxa"/>
              <w:start w:w="95" w:type="dxa"/>
              <w:bottom w:w="85" w:type="dxa"/>
              <w:end w:w="95" w:type="dxa"/>
            </w:tcMar>
            <w:shd w:fill="F5F8FB"/>
          </w:tcPr>
          <w:p>
            <w:pPr>
              <w:spacing w:after="0"/>
            </w:pPr>
            <w:r>
              <w:rPr>
                <w:color w:val="243447"/>
                <w:sz w:val="17"/>
              </w:rPr>
              <w:t>Source-controlled schema and catalog</w:t>
            </w:r>
          </w:p>
        </w:tc>
        <w:tc>
          <w:tcPr>
            <w:tcW w:type="dxa" w:w="3096"/>
            <w:vAlign w:val="center"/>
            <w:tcMar>
              <w:top w:w="85" w:type="dxa"/>
              <w:start w:w="95" w:type="dxa"/>
              <w:bottom w:w="85" w:type="dxa"/>
              <w:end w:w="95" w:type="dxa"/>
            </w:tcMar>
            <w:shd w:fill="F5F8FB"/>
          </w:tcPr>
          <w:p>
            <w:pPr>
              <w:spacing w:after="0"/>
            </w:pPr>
            <w:r>
              <w:rPr>
                <w:color w:val="243447"/>
                <w:sz w:val="17"/>
              </w:rPr>
              <w:t>Provider → Product; Provider/Product → supported IntentSpec capabilities.</w:t>
            </w:r>
          </w:p>
        </w:tc>
        <w:tc>
          <w:tcPr>
            <w:tcW w:type="dxa" w:w="2448"/>
            <w:vAlign w:val="center"/>
            <w:tcMar>
              <w:top w:w="85" w:type="dxa"/>
              <w:start w:w="95" w:type="dxa"/>
              <w:bottom w:w="85" w:type="dxa"/>
              <w:end w:w="95" w:type="dxa"/>
            </w:tcMar>
            <w:shd w:fill="F5F8FB"/>
          </w:tcPr>
          <w:p>
            <w:pPr>
              <w:spacing w:after="0"/>
            </w:pPr>
            <w:r>
              <w:rPr>
                <w:color w:val="243447"/>
                <w:sz w:val="17"/>
              </w:rPr>
              <w:t>IntentSpec ID/version and parameter schema must validate before secrets are materialized.</w:t>
            </w:r>
          </w:p>
        </w:tc>
      </w:tr>
      <w:tr>
        <w:trPr>
          <w:cantSplit/>
        </w:trPr>
        <w:tc>
          <w:tcPr>
            <w:tcW w:type="dxa" w:w="1843"/>
            <w:vAlign w:val="center"/>
            <w:tcMar>
              <w:top w:w="85" w:type="dxa"/>
              <w:start w:w="95" w:type="dxa"/>
              <w:bottom w:w="85" w:type="dxa"/>
              <w:end w:w="95" w:type="dxa"/>
            </w:tcMar>
          </w:tcPr>
          <w:p>
            <w:pPr>
              <w:spacing w:after="0"/>
            </w:pPr>
            <w:r>
              <w:rPr>
                <w:color w:val="243447"/>
                <w:sz w:val="17"/>
              </w:rPr>
              <w:t>CredentialInput / TargetContext</w:t>
            </w:r>
          </w:p>
        </w:tc>
        <w:tc>
          <w:tcPr>
            <w:tcW w:type="dxa" w:w="2045"/>
            <w:vAlign w:val="center"/>
            <w:tcMar>
              <w:top w:w="85" w:type="dxa"/>
              <w:start w:w="95" w:type="dxa"/>
              <w:bottom w:w="85" w:type="dxa"/>
              <w:end w:w="95" w:type="dxa"/>
            </w:tcMar>
          </w:tcPr>
          <w:p>
            <w:pPr>
              <w:spacing w:after="0"/>
            </w:pPr>
            <w:r>
              <w:rPr>
                <w:color w:val="243447"/>
                <w:sz w:val="17"/>
              </w:rPr>
              <w:t>Ephemeral request object</w:t>
            </w:r>
          </w:p>
        </w:tc>
        <w:tc>
          <w:tcPr>
            <w:tcW w:type="dxa" w:w="3096"/>
            <w:vAlign w:val="center"/>
            <w:tcMar>
              <w:top w:w="85" w:type="dxa"/>
              <w:start w:w="95" w:type="dxa"/>
              <w:bottom w:w="85" w:type="dxa"/>
              <w:end w:w="95" w:type="dxa"/>
            </w:tcMar>
          </w:tcPr>
          <w:p>
            <w:pPr>
              <w:spacing w:after="0"/>
            </w:pPr>
            <w:r>
              <w:rPr>
                <w:color w:val="243447"/>
                <w:sz w:val="17"/>
              </w:rPr>
              <w:t>CredentialInput supplies typed auth; TargetContext is separate non-secret context.</w:t>
            </w:r>
          </w:p>
        </w:tc>
        <w:tc>
          <w:tcPr>
            <w:tcW w:type="dxa" w:w="2448"/>
            <w:vAlign w:val="center"/>
            <w:tcMar>
              <w:top w:w="85" w:type="dxa"/>
              <w:start w:w="95" w:type="dxa"/>
              <w:bottom w:w="85" w:type="dxa"/>
              <w:end w:w="95" w:type="dxa"/>
            </w:tcMar>
          </w:tcPr>
          <w:p>
            <w:pPr>
              <w:spacing w:after="0"/>
            </w:pPr>
            <w:r>
              <w:rPr>
                <w:color w:val="243447"/>
                <w:sz w:val="17"/>
              </w:rPr>
              <w:t>Credential values must never be persisted, indexed or included in request fingerprints in raw form.</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TestRun</w:t>
            </w:r>
          </w:p>
        </w:tc>
        <w:tc>
          <w:tcPr>
            <w:tcW w:type="dxa" w:w="2045"/>
            <w:vAlign w:val="center"/>
            <w:tcMar>
              <w:top w:w="85" w:type="dxa"/>
              <w:start w:w="95" w:type="dxa"/>
              <w:bottom w:w="85" w:type="dxa"/>
              <w:end w:w="95" w:type="dxa"/>
            </w:tcMar>
            <w:shd w:fill="F5F8FB"/>
          </w:tcPr>
          <w:p>
            <w:pPr>
              <w:spacing w:after="0"/>
            </w:pPr>
            <w:r>
              <w:rPr>
                <w:color w:val="243447"/>
                <w:sz w:val="17"/>
              </w:rPr>
              <w:t>Request-local RunResult lifecycle</w:t>
            </w:r>
          </w:p>
        </w:tc>
        <w:tc>
          <w:tcPr>
            <w:tcW w:type="dxa" w:w="3096"/>
            <w:vAlign w:val="center"/>
            <w:tcMar>
              <w:top w:w="85" w:type="dxa"/>
              <w:start w:w="95" w:type="dxa"/>
              <w:bottom w:w="85" w:type="dxa"/>
              <w:end w:w="95" w:type="dxa"/>
            </w:tcMar>
            <w:shd w:fill="F5F8FB"/>
          </w:tcPr>
          <w:p>
            <w:pPr>
              <w:spacing w:after="0"/>
            </w:pPr>
            <w:r>
              <w:rPr>
                <w:color w:val="243447"/>
                <w:sz w:val="17"/>
              </w:rPr>
              <w:t>One TestRun → 0..4 StepResults.</w:t>
            </w:r>
          </w:p>
        </w:tc>
        <w:tc>
          <w:tcPr>
            <w:tcW w:type="dxa" w:w="2448"/>
            <w:vAlign w:val="center"/>
            <w:tcMar>
              <w:top w:w="85" w:type="dxa"/>
              <w:start w:w="95" w:type="dxa"/>
              <w:bottom w:w="85" w:type="dxa"/>
              <w:end w:w="95" w:type="dxa"/>
            </w:tcMar>
            <w:shd w:fill="F5F8FB"/>
          </w:tcPr>
          <w:p>
            <w:pPr>
              <w:spacing w:after="0"/>
            </w:pPr>
            <w:r>
              <w:rPr>
                <w:color w:val="243447"/>
                <w:sz w:val="17"/>
              </w:rPr>
              <w:t>No durable run history in MVP; runState and overall follow the canonical aggregation contract.</w:t>
            </w:r>
          </w:p>
        </w:tc>
      </w:tr>
      <w:tr>
        <w:trPr>
          <w:cantSplit/>
        </w:trPr>
        <w:tc>
          <w:tcPr>
            <w:tcW w:type="dxa" w:w="1843"/>
            <w:vAlign w:val="center"/>
            <w:tcMar>
              <w:top w:w="85" w:type="dxa"/>
              <w:start w:w="95" w:type="dxa"/>
              <w:bottom w:w="85" w:type="dxa"/>
              <w:end w:w="95" w:type="dxa"/>
            </w:tcMar>
          </w:tcPr>
          <w:p>
            <w:pPr>
              <w:spacing w:after="0"/>
            </w:pPr>
            <w:r>
              <w:rPr>
                <w:color w:val="243447"/>
                <w:sz w:val="17"/>
              </w:rPr>
              <w:t>StepResult / Evidence</w:t>
            </w:r>
          </w:p>
        </w:tc>
        <w:tc>
          <w:tcPr>
            <w:tcW w:type="dxa" w:w="2045"/>
            <w:vAlign w:val="center"/>
            <w:tcMar>
              <w:top w:w="85" w:type="dxa"/>
              <w:start w:w="95" w:type="dxa"/>
              <w:bottom w:w="85" w:type="dxa"/>
              <w:end w:w="95" w:type="dxa"/>
            </w:tcMar>
          </w:tcPr>
          <w:p>
            <w:pPr>
              <w:spacing w:after="0"/>
            </w:pPr>
            <w:r>
              <w:rPr>
                <w:color w:val="243447"/>
                <w:sz w:val="17"/>
              </w:rPr>
              <w:t>Request-local diagnostic output</w:t>
            </w:r>
          </w:p>
        </w:tc>
        <w:tc>
          <w:tcPr>
            <w:tcW w:type="dxa" w:w="3096"/>
            <w:vAlign w:val="center"/>
            <w:tcMar>
              <w:top w:w="85" w:type="dxa"/>
              <w:start w:w="95" w:type="dxa"/>
              <w:bottom w:w="85" w:type="dxa"/>
              <w:end w:w="95" w:type="dxa"/>
            </w:tcMar>
          </w:tcPr>
          <w:p>
            <w:pPr>
              <w:spacing w:after="0"/>
            </w:pPr>
            <w:r>
              <w:rPr>
                <w:color w:val="243447"/>
                <w:sz w:val="17"/>
              </w:rPr>
              <w:t>One StepResult → 0..64 allowlisted Evidence items under current caps.</w:t>
            </w:r>
          </w:p>
        </w:tc>
        <w:tc>
          <w:tcPr>
            <w:tcW w:type="dxa" w:w="2448"/>
            <w:vAlign w:val="center"/>
            <w:tcMar>
              <w:top w:w="85" w:type="dxa"/>
              <w:start w:w="95" w:type="dxa"/>
              <w:bottom w:w="85" w:type="dxa"/>
              <w:end w:w="95" w:type="dxa"/>
            </w:tcMar>
          </w:tcPr>
          <w:p>
            <w:pPr>
              <w:spacing w:after="0"/>
            </w:pPr>
            <w:r>
              <w:rPr>
                <w:color w:val="243447"/>
                <w:sz w:val="17"/>
              </w:rPr>
              <w:t>Evidence is sanitized; secret intermediate outputs can never become Evidence.</w:t>
            </w:r>
          </w:p>
        </w:tc>
      </w:tr>
      <w:tr>
        <w:trPr>
          <w:cantSplit/>
        </w:trPr>
        <w:tc>
          <w:tcPr>
            <w:tcW w:type="dxa" w:w="1843"/>
            <w:vAlign w:val="center"/>
            <w:tcMar>
              <w:top w:w="85" w:type="dxa"/>
              <w:start w:w="95" w:type="dxa"/>
              <w:bottom w:w="85" w:type="dxa"/>
              <w:end w:w="95" w:type="dxa"/>
            </w:tcMar>
            <w:shd w:fill="F5F8FB"/>
          </w:tcPr>
          <w:p>
            <w:pPr>
              <w:spacing w:after="0"/>
            </w:pPr>
            <w:r>
              <w:rPr>
                <w:color w:val="243447"/>
                <w:sz w:val="17"/>
              </w:rPr>
              <w:t>ProviderHealthSignal</w:t>
            </w:r>
          </w:p>
        </w:tc>
        <w:tc>
          <w:tcPr>
            <w:tcW w:type="dxa" w:w="2045"/>
            <w:vAlign w:val="center"/>
            <w:tcMar>
              <w:top w:w="85" w:type="dxa"/>
              <w:start w:w="95" w:type="dxa"/>
              <w:bottom w:w="85" w:type="dxa"/>
              <w:end w:w="95" w:type="dxa"/>
            </w:tcMar>
            <w:shd w:fill="F5F8FB"/>
          </w:tcPr>
          <w:p>
            <w:pPr>
              <w:spacing w:after="0"/>
            </w:pPr>
            <w:r>
              <w:rPr>
                <w:color w:val="243447"/>
                <w:sz w:val="17"/>
              </w:rPr>
              <w:t>Public status source + short-lived cache</w:t>
            </w:r>
          </w:p>
        </w:tc>
        <w:tc>
          <w:tcPr>
            <w:tcW w:type="dxa" w:w="3096"/>
            <w:vAlign w:val="center"/>
            <w:tcMar>
              <w:top w:w="85" w:type="dxa"/>
              <w:start w:w="95" w:type="dxa"/>
              <w:bottom w:w="85" w:type="dxa"/>
              <w:end w:w="95" w:type="dxa"/>
            </w:tcMar>
            <w:shd w:fill="F5F8FB"/>
          </w:tcPr>
          <w:p>
            <w:pPr>
              <w:spacing w:after="0"/>
            </w:pPr>
            <w:r>
              <w:rPr>
                <w:color w:val="243447"/>
                <w:sz w:val="17"/>
              </w:rPr>
              <w:t>Provider → latest observable signal, independent from credential diagnosis.</w:t>
            </w:r>
          </w:p>
        </w:tc>
        <w:tc>
          <w:tcPr>
            <w:tcW w:type="dxa" w:w="2448"/>
            <w:vAlign w:val="center"/>
            <w:tcMar>
              <w:top w:w="85" w:type="dxa"/>
              <w:start w:w="95" w:type="dxa"/>
              <w:bottom w:w="85" w:type="dxa"/>
              <w:end w:w="95" w:type="dxa"/>
            </w:tcMar>
            <w:shd w:fill="F5F8FB"/>
          </w:tcPr>
          <w:p>
            <w:pPr>
              <w:spacing w:after="0"/>
            </w:pPr>
            <w:r>
              <w:rPr>
                <w:color w:val="243447"/>
                <w:sz w:val="17"/>
              </w:rPr>
              <w:t>Do not interpret an upstream incident alone as proof that a credential is invalid.</w:t>
            </w:r>
          </w:p>
        </w:tc>
      </w:tr>
      <w:tr>
        <w:trPr>
          <w:cantSplit/>
        </w:trPr>
        <w:tc>
          <w:tcPr>
            <w:tcW w:type="dxa" w:w="1843"/>
            <w:vAlign w:val="center"/>
            <w:tcMar>
              <w:top w:w="85" w:type="dxa"/>
              <w:start w:w="95" w:type="dxa"/>
              <w:bottom w:w="85" w:type="dxa"/>
              <w:end w:w="95" w:type="dxa"/>
            </w:tcMar>
          </w:tcPr>
          <w:p>
            <w:pPr>
              <w:spacing w:after="0"/>
            </w:pPr>
            <w:r>
              <w:rPr>
                <w:color w:val="243447"/>
                <w:sz w:val="17"/>
              </w:rPr>
              <w:t>Admission state</w:t>
            </w:r>
          </w:p>
        </w:tc>
        <w:tc>
          <w:tcPr>
            <w:tcW w:type="dxa" w:w="2045"/>
            <w:vAlign w:val="center"/>
            <w:tcMar>
              <w:top w:w="85" w:type="dxa"/>
              <w:start w:w="95" w:type="dxa"/>
              <w:bottom w:w="85" w:type="dxa"/>
              <w:end w:w="95" w:type="dxa"/>
            </w:tcMar>
          </w:tcPr>
          <w:p>
            <w:pPr>
              <w:spacing w:after="0"/>
            </w:pPr>
            <w:r>
              <w:rPr>
                <w:color w:val="243447"/>
                <w:sz w:val="17"/>
              </w:rPr>
              <w:t>SQLite-backed Durable Object</w:t>
            </w:r>
          </w:p>
        </w:tc>
        <w:tc>
          <w:tcPr>
            <w:tcW w:type="dxa" w:w="3096"/>
            <w:vAlign w:val="center"/>
            <w:tcMar>
              <w:top w:w="85" w:type="dxa"/>
              <w:start w:w="95" w:type="dxa"/>
              <w:bottom w:w="85" w:type="dxa"/>
              <w:end w:w="95" w:type="dxa"/>
            </w:tcMar>
          </w:tcPr>
          <w:p>
            <w:pPr>
              <w:spacing w:after="0"/>
            </w:pPr>
            <w:r>
              <w:rPr>
                <w:color w:val="243447"/>
                <w:sz w:val="17"/>
              </w:rPr>
              <w:t>Source bucket + provider budget + idempotency record; provider-scoped object owns one provider budget.</w:t>
            </w:r>
          </w:p>
        </w:tc>
        <w:tc>
          <w:tcPr>
            <w:tcW w:type="dxa" w:w="2448"/>
            <w:vAlign w:val="center"/>
            <w:tcMar>
              <w:top w:w="85" w:type="dxa"/>
              <w:start w:w="95" w:type="dxa"/>
              <w:bottom w:w="85" w:type="dxa"/>
              <w:end w:w="95" w:type="dxa"/>
            </w:tcMar>
          </w:tcPr>
          <w:p>
            <w:pPr>
              <w:spacing w:after="0"/>
            </w:pPr>
            <w:r>
              <w:rPr>
                <w:color w:val="243447"/>
                <w:sz w:val="17"/>
              </w:rPr>
              <w:t>Only pseudonymous source keys and short-lived counters/fingerprints; no raw IP or credential.</w:t>
            </w:r>
          </w:p>
        </w:tc>
      </w:tr>
    </w:tbl>
    <w:p>
      <w:pPr>
        <w:pStyle w:val="Heading3"/>
      </w:pPr>
      <w:r>
        <w:t>Physical Durable Object tables</w:t>
      </w:r>
    </w:p>
    <w:p>
      <w:pPr/>
      <w:r>
        <w:t>The following is the proposed SQLite schema for a provider-scoped admission Durable Object. The provider ID is the object identity, so it need not be duplicated in each provider-window row. Use parameterized SQL and atomic transactions for counter updates.</w:t>
      </w:r>
    </w:p>
    <w:p>
      <w:pPr>
        <w:spacing w:before="80" w:after="80"/>
        <w:ind w:left="317"/>
        <w:shd w:fill="F1F5F9"/>
      </w:pPr>
      <w:r>
        <w:rPr>
          <w:rFonts w:ascii="Consolas" w:hAnsi="Consolas"/>
          <w:color w:val="243447"/>
          <w:sz w:val="16"/>
        </w:rPr>
        <w:t>CREATE TABLE IF NOT EXISTS source_window (</w:t>
        <w:br/>
        <w:t xml:space="preserve">  bucket_hash TEXT PRIMARY KEY,</w:t>
        <w:br/>
        <w:t xml:space="preserve">  window_start_ms INTEGER NOT NULL,</w:t>
        <w:br/>
        <w:t xml:space="preserve">  request_count INTEGER NOT NULL CHECK (request_count &gt;= 0),</w:t>
        <w:br/>
        <w:t xml:space="preserve">  expires_at_ms INTEGER NOT NULL</w:t>
        <w:br/>
        <w:t>);</w:t>
        <w:br/>
        <w:t>CREATE INDEX IF NOT EXISTS idx_source_window_expiry</w:t>
        <w:br/>
        <w:t xml:space="preserve">  ON source_window (expires_at_ms);</w:t>
        <w:br/>
        <w:br/>
        <w:t>CREATE TABLE IF NOT EXISTS provider_window (</w:t>
        <w:br/>
        <w:t xml:space="preserve">  window_start_ms INTEGER PRIMARY KEY,</w:t>
        <w:br/>
        <w:t xml:space="preserve">  accepted_count INTEGER NOT NULL CHECK (accepted_count &gt;= 0),</w:t>
        <w:br/>
        <w:t xml:space="preserve">  expires_at_ms INTEGER NOT NULL</w:t>
        <w:br/>
        <w:t>);</w:t>
        <w:br/>
        <w:t>CREATE INDEX IF NOT EXISTS idx_provider_window_expiry</w:t>
        <w:br/>
        <w:t xml:space="preserve">  ON provider_window (expires_at_ms);</w:t>
        <w:br/>
        <w:br/>
        <w:t>CREATE TABLE IF NOT EXISTS idempotency_state (</w:t>
        <w:br/>
        <w:t xml:space="preserve">  key_hash TEXT PRIMARY KEY,</w:t>
        <w:br/>
        <w:t xml:space="preserve">  request_fingerprint TEXT NOT NULL,</w:t>
        <w:br/>
        <w:t xml:space="preserve">  state TEXT NOT NULL CHECK (state IN ('ADMITTED','COMPLETED','REJECTED')),</w:t>
        <w:br/>
        <w:t xml:space="preserve">  sanitized_result_json TEXT,</w:t>
        <w:br/>
        <w:t xml:space="preserve">  expires_at_ms INTEGER NOT NULL</w:t>
        <w:br/>
        <w:t>);</w:t>
        <w:br/>
        <w:t>CREATE INDEX IF NOT EXISTS idx_idempotency_expiry</w:t>
        <w:br/>
        <w:t xml:space="preserve">  ON idempotency_state (expires_at_ms);</w:t>
      </w:r>
    </w:p>
    <w:p>
      <w:pPr>
        <w:pStyle w:val="Heading3"/>
      </w:pPr>
      <w:r>
        <w:t>Constraints, keys and indexes</w:t>
      </w:r>
    </w:p>
    <w:p>
      <w:pPr>
        <w:pStyle w:val="ListBullet"/>
      </w:pPr>
      <w:r>
        <w:t>source_window.bucket_hash is a keyed HMAC of the normalized source identifier; raw IP addresses are not stored. For credential tests the bucket is scoped to the provider object, enforcing the documented 3-tests-per-15-minutes source/provider policy.</w:t>
      </w:r>
    </w:p>
    <w:p>
      <w:pPr>
        <w:pStyle w:val="ListBullet"/>
      </w:pPr>
      <w:r>
        <w:t>provider_window uses window_start_ms as the primary key and enforces the provider budget of 100 accepted credential-test attempts per 15-minute window. Counter increments and source admission must be atomic.</w:t>
      </w:r>
    </w:p>
    <w:p>
      <w:pPr>
        <w:pStyle w:val="ListBullet"/>
      </w:pPr>
      <w:r>
        <w:t>idempotency_state.key_hash and request_fingerprint are keyed hashes; raw request bodies, credentials and provider response bodies are never stored. A bounded, sanitized RunResult may be retained for at most 120 seconds solely to suppress accidental duplicate execution/replay; it must exclude raw URLs, headers, bodies, credentials and secret intermediate values, and be capped at 64 KiB.</w:t>
      </w:r>
    </w:p>
    <w:p>
      <w:pPr>
        <w:pStyle w:val="ListBullet"/>
      </w:pPr>
      <w:r>
        <w:t>Use CHECK constraints for non-negative counts and enumerated state values, PRIMARY KEY constraints for deduplication, and expiry indexes for bounded cleanup. Delete expired rows opportunistically during counter operations and in a periodic cleanup path if needed.</w:t>
      </w:r>
    </w:p>
    <w:p>
      <w:pPr>
        <w:pStyle w:val="ListBullet"/>
      </w:pPr>
      <w:r>
        <w:t>Keep error-diagnosis admission separate from provider credential-test budgets: enforce 10 diagnoses per 10 minutes per source without allowing diagnosis traffic to exhaust a provider credential-test counter.</w:t>
      </w:r>
    </w:p>
    <w:p>
      <w:pPr>
        <w:pStyle w:val="ListBullet"/>
      </w:pPr>
      <w:r>
        <w:t>Use no foreign keys from admission state to user accounts because MVP has no user accounts. Do not create users, sessions, credential vault, API keys for HealthLab, or run-history tables in the MVP.</w:t>
      </w:r>
    </w:p>
    <w:p>
      <w:pPr/>
      <w:r>
        <w:t>Future database gate: user accounts, saved workspaces, team access, scheduled monitoring or audit history require a new ADR covering purpose, data classification, encryption, retention, deletion, tenant isolation, access logs, backup/restore and breach impact. Do not add a relational database merely to store diagnostics that can remain request-local.</w:t>
      </w:r>
    </w:p>
    <w:p>
      <w:pPr>
        <w:pStyle w:val="Heading2"/>
      </w:pPr>
      <w:r>
        <w:t>28.3 Integrations: Email, AI Models, File Storage and External APIs</w:t>
      </w:r>
    </w:p>
    <w:p>
      <w:pPr/>
      <w:r>
        <w:t>Integration principle: every integration has an explicit purpose, data contract, secret owner and scope gate. An integration not required for the frozen MVP is deliberately absent, not a placeholder that silently starts sending data.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944"/>
            <w:vAlign w:val="center"/>
            <w:tcMar>
              <w:top w:w="85" w:type="dxa"/>
              <w:start w:w="95" w:type="dxa"/>
              <w:bottom w:w="85" w:type="dxa"/>
              <w:end w:w="95" w:type="dxa"/>
            </w:tcMar>
            <w:shd w:fill="17324D"/>
          </w:tcPr>
          <w:p>
            <w:pPr>
              <w:spacing w:after="0"/>
            </w:pPr>
            <w:r>
              <w:rPr>
                <w:b/>
                <w:color w:val="FFFFFF"/>
                <w:sz w:val="17"/>
              </w:rPr>
              <w:t>Integration</w:t>
            </w:r>
          </w:p>
        </w:tc>
        <w:tc>
          <w:tcPr>
            <w:tcW w:type="dxa" w:w="2232"/>
            <w:vAlign w:val="center"/>
            <w:tcMar>
              <w:top w:w="85" w:type="dxa"/>
              <w:start w:w="95" w:type="dxa"/>
              <w:bottom w:w="85" w:type="dxa"/>
              <w:end w:w="95" w:type="dxa"/>
            </w:tcMar>
            <w:shd w:fill="17324D"/>
          </w:tcPr>
          <w:p>
            <w:pPr>
              <w:spacing w:after="0"/>
            </w:pPr>
            <w:r>
              <w:rPr>
                <w:b/>
                <w:color w:val="FFFFFF"/>
                <w:sz w:val="17"/>
              </w:rPr>
              <w:t>Purpose</w:t>
            </w:r>
          </w:p>
        </w:tc>
        <w:tc>
          <w:tcPr>
            <w:tcW w:type="dxa" w:w="2952"/>
            <w:vAlign w:val="center"/>
            <w:tcMar>
              <w:top w:w="85" w:type="dxa"/>
              <w:start w:w="95" w:type="dxa"/>
              <w:bottom w:w="85" w:type="dxa"/>
              <w:end w:w="95" w:type="dxa"/>
            </w:tcMar>
            <w:shd w:fill="17324D"/>
          </w:tcPr>
          <w:p>
            <w:pPr>
              <w:spacing w:after="0"/>
            </w:pPr>
            <w:r>
              <w:rPr>
                <w:b/>
                <w:color w:val="FFFFFF"/>
                <w:sz w:val="17"/>
              </w:rPr>
              <w:t>Data exchanged</w:t>
            </w:r>
          </w:p>
        </w:tc>
        <w:tc>
          <w:tcPr>
            <w:tcW w:type="dxa" w:w="2304"/>
            <w:vAlign w:val="center"/>
            <w:tcMar>
              <w:top w:w="85" w:type="dxa"/>
              <w:start w:w="95" w:type="dxa"/>
              <w:bottom w:w="85" w:type="dxa"/>
              <w:end w:w="95" w:type="dxa"/>
            </w:tcMar>
            <w:shd w:fill="17324D"/>
          </w:tcPr>
          <w:p>
            <w:pPr>
              <w:spacing w:after="0"/>
            </w:pPr>
            <w:r>
              <w:rPr>
                <w:b/>
                <w:color w:val="FFFFFF"/>
                <w:sz w:val="17"/>
              </w:rPr>
              <w:t>Scope / security contract</w:t>
            </w:r>
          </w:p>
        </w:tc>
      </w:tr>
      <w:tr>
        <w:trPr>
          <w:cantSplit/>
        </w:trPr>
        <w:tc>
          <w:tcPr>
            <w:tcW w:type="dxa" w:w="1944"/>
            <w:vAlign w:val="center"/>
            <w:tcMar>
              <w:top w:w="85" w:type="dxa"/>
              <w:start w:w="95" w:type="dxa"/>
              <w:bottom w:w="85" w:type="dxa"/>
              <w:end w:w="95" w:type="dxa"/>
            </w:tcMar>
          </w:tcPr>
          <w:p>
            <w:pPr>
              <w:spacing w:after="0"/>
            </w:pPr>
            <w:r>
              <w:rPr>
                <w:color w:val="243447"/>
                <w:sz w:val="17"/>
              </w:rPr>
              <w:t>Provider APIs</w:t>
            </w:r>
          </w:p>
        </w:tc>
        <w:tc>
          <w:tcPr>
            <w:tcW w:type="dxa" w:w="2232"/>
            <w:vAlign w:val="center"/>
            <w:tcMar>
              <w:top w:w="85" w:type="dxa"/>
              <w:start w:w="95" w:type="dxa"/>
              <w:bottom w:w="85" w:type="dxa"/>
              <w:end w:w="95" w:type="dxa"/>
            </w:tcMar>
          </w:tcPr>
          <w:p>
            <w:pPr>
              <w:spacing w:after="0"/>
            </w:pPr>
            <w:r>
              <w:rPr>
                <w:color w:val="243447"/>
                <w:sz w:val="17"/>
              </w:rPr>
              <w:t>OpenAI, Google Gemini, Anthropic, Mistral, Groq, OpenRouter and GitHub.</w:t>
            </w:r>
          </w:p>
        </w:tc>
        <w:tc>
          <w:tcPr>
            <w:tcW w:type="dxa" w:w="2952"/>
            <w:vAlign w:val="center"/>
            <w:tcMar>
              <w:top w:w="85" w:type="dxa"/>
              <w:start w:w="95" w:type="dxa"/>
              <w:bottom w:w="85" w:type="dxa"/>
              <w:end w:w="95" w:type="dxa"/>
            </w:tcMar>
          </w:tcPr>
          <w:p>
            <w:pPr>
              <w:spacing w:after="0"/>
            </w:pPr>
            <w:r>
              <w:rPr>
                <w:color w:val="243447"/>
                <w:sz w:val="17"/>
              </w:rPr>
              <w:t>User-selected, intent-specific bounded HTTPS request; provider-specific auth, small reviewed request templates and structured response evidence.</w:t>
            </w:r>
          </w:p>
        </w:tc>
        <w:tc>
          <w:tcPr>
            <w:tcW w:type="dxa" w:w="2304"/>
            <w:vAlign w:val="center"/>
            <w:tcMar>
              <w:top w:w="85" w:type="dxa"/>
              <w:start w:w="95" w:type="dxa"/>
              <w:bottom w:w="85" w:type="dxa"/>
              <w:end w:w="95" w:type="dxa"/>
            </w:tcMar>
          </w:tcPr>
          <w:p>
            <w:pPr>
              <w:spacing w:after="0"/>
            </w:pPr>
            <w:r>
              <w:rPr>
                <w:color w:val="243447"/>
                <w:sz w:val="17"/>
              </w:rPr>
              <w:t>P0; exact allowlisted hosts. User-supplied credentials are only for the selected probe.</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Cloudflare Workers</w:t>
            </w:r>
          </w:p>
        </w:tc>
        <w:tc>
          <w:tcPr>
            <w:tcW w:type="dxa" w:w="2232"/>
            <w:vAlign w:val="center"/>
            <w:tcMar>
              <w:top w:w="85" w:type="dxa"/>
              <w:start w:w="95" w:type="dxa"/>
              <w:bottom w:w="85" w:type="dxa"/>
              <w:end w:w="95" w:type="dxa"/>
            </w:tcMar>
            <w:shd w:fill="F5F8FB"/>
          </w:tcPr>
          <w:p>
            <w:pPr>
              <w:spacing w:after="0"/>
            </w:pPr>
            <w:r>
              <w:rPr>
                <w:color w:val="243447"/>
                <w:sz w:val="17"/>
              </w:rPr>
              <w:t>Hosted HTTP/API boundary and NDJSON stream.</w:t>
            </w:r>
          </w:p>
        </w:tc>
        <w:tc>
          <w:tcPr>
            <w:tcW w:type="dxa" w:w="2952"/>
            <w:vAlign w:val="center"/>
            <w:tcMar>
              <w:top w:w="85" w:type="dxa"/>
              <w:start w:w="95" w:type="dxa"/>
              <w:bottom w:w="85" w:type="dxa"/>
              <w:end w:w="95" w:type="dxa"/>
            </w:tcMar>
            <w:shd w:fill="F5F8FB"/>
          </w:tcPr>
          <w:p>
            <w:pPr>
              <w:spacing w:after="0"/>
            </w:pPr>
            <w:r>
              <w:rPr>
                <w:color w:val="243447"/>
                <w:sz w:val="17"/>
              </w:rPr>
              <w:t>Validated request and sanitized result; credential transiently crosses hosted processing.</w:t>
            </w:r>
          </w:p>
        </w:tc>
        <w:tc>
          <w:tcPr>
            <w:tcW w:type="dxa" w:w="2304"/>
            <w:vAlign w:val="center"/>
            <w:tcMar>
              <w:top w:w="85" w:type="dxa"/>
              <w:start w:w="95" w:type="dxa"/>
              <w:bottom w:w="85" w:type="dxa"/>
              <w:end w:w="95" w:type="dxa"/>
            </w:tcMar>
            <w:shd w:fill="F5F8FB"/>
          </w:tcPr>
          <w:p>
            <w:pPr>
              <w:spacing w:after="0"/>
            </w:pPr>
            <w:r>
              <w:rPr>
                <w:color w:val="243447"/>
                <w:sz w:val="17"/>
              </w:rPr>
              <w:t>P0; HTTPS, security headers, deny-by-default CORS and no-store.</w:t>
            </w:r>
          </w:p>
        </w:tc>
      </w:tr>
      <w:tr>
        <w:trPr>
          <w:cantSplit/>
        </w:trPr>
        <w:tc>
          <w:tcPr>
            <w:tcW w:type="dxa" w:w="1944"/>
            <w:vAlign w:val="center"/>
            <w:tcMar>
              <w:top w:w="85" w:type="dxa"/>
              <w:start w:w="95" w:type="dxa"/>
              <w:bottom w:w="85" w:type="dxa"/>
              <w:end w:w="95" w:type="dxa"/>
            </w:tcMar>
          </w:tcPr>
          <w:p>
            <w:pPr>
              <w:spacing w:after="0"/>
            </w:pPr>
            <w:r>
              <w:rPr>
                <w:color w:val="243447"/>
                <w:sz w:val="17"/>
              </w:rPr>
              <w:t>Cloudflare Turnstile</w:t>
            </w:r>
          </w:p>
        </w:tc>
        <w:tc>
          <w:tcPr>
            <w:tcW w:type="dxa" w:w="2232"/>
            <w:vAlign w:val="center"/>
            <w:tcMar>
              <w:top w:w="85" w:type="dxa"/>
              <w:start w:w="95" w:type="dxa"/>
              <w:bottom w:w="85" w:type="dxa"/>
              <w:end w:w="95" w:type="dxa"/>
            </w:tcMar>
          </w:tcPr>
          <w:p>
            <w:pPr>
              <w:spacing w:after="0"/>
            </w:pPr>
            <w:r>
              <w:rPr>
                <w:color w:val="243447"/>
                <w:sz w:val="17"/>
              </w:rPr>
              <w:t>Hosted abuse prevention.</w:t>
            </w:r>
          </w:p>
        </w:tc>
        <w:tc>
          <w:tcPr>
            <w:tcW w:type="dxa" w:w="2952"/>
            <w:vAlign w:val="center"/>
            <w:tcMar>
              <w:top w:w="85" w:type="dxa"/>
              <w:start w:w="95" w:type="dxa"/>
              <w:bottom w:w="85" w:type="dxa"/>
              <w:end w:w="95" w:type="dxa"/>
            </w:tcMar>
          </w:tcPr>
          <w:p>
            <w:pPr>
              <w:spacing w:after="0"/>
            </w:pPr>
            <w:r>
              <w:rPr>
                <w:color w:val="243447"/>
                <w:sz w:val="17"/>
              </w:rPr>
              <w:t>Short-lived Turnstile token and server-side Siteverify result.</w:t>
            </w:r>
          </w:p>
        </w:tc>
        <w:tc>
          <w:tcPr>
            <w:tcW w:type="dxa" w:w="2304"/>
            <w:vAlign w:val="center"/>
            <w:tcMar>
              <w:top w:w="85" w:type="dxa"/>
              <w:start w:w="95" w:type="dxa"/>
              <w:bottom w:w="85" w:type="dxa"/>
              <w:end w:w="95" w:type="dxa"/>
            </w:tcMar>
          </w:tcPr>
          <w:p>
            <w:pPr>
              <w:spacing w:after="0"/>
            </w:pPr>
            <w:r>
              <w:rPr>
                <w:color w:val="243447"/>
                <w:sz w:val="17"/>
              </w:rPr>
              <w:t>P0; secret key stored as Worker secret binding; validate success, hostname and action.</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Durable Objects (SQLite)</w:t>
            </w:r>
          </w:p>
        </w:tc>
        <w:tc>
          <w:tcPr>
            <w:tcW w:type="dxa" w:w="2232"/>
            <w:vAlign w:val="center"/>
            <w:tcMar>
              <w:top w:w="85" w:type="dxa"/>
              <w:start w:w="95" w:type="dxa"/>
              <w:bottom w:w="85" w:type="dxa"/>
              <w:end w:w="95" w:type="dxa"/>
            </w:tcMar>
            <w:shd w:fill="F5F8FB"/>
          </w:tcPr>
          <w:p>
            <w:pPr>
              <w:spacing w:after="0"/>
            </w:pPr>
            <w:r>
              <w:rPr>
                <w:color w:val="243447"/>
                <w:sz w:val="17"/>
              </w:rPr>
              <w:t>Admission counters, provider budgets and idempotency suppression.</w:t>
            </w:r>
          </w:p>
        </w:tc>
        <w:tc>
          <w:tcPr>
            <w:tcW w:type="dxa" w:w="2952"/>
            <w:vAlign w:val="center"/>
            <w:tcMar>
              <w:top w:w="85" w:type="dxa"/>
              <w:start w:w="95" w:type="dxa"/>
              <w:bottom w:w="85" w:type="dxa"/>
              <w:end w:w="95" w:type="dxa"/>
            </w:tcMar>
            <w:shd w:fill="F5F8FB"/>
          </w:tcPr>
          <w:p>
            <w:pPr>
              <w:spacing w:after="0"/>
            </w:pPr>
            <w:r>
              <w:rPr>
                <w:color w:val="243447"/>
                <w:sz w:val="17"/>
              </w:rPr>
              <w:t>HMAC-pseudonymized source bucket, counters, short-lived request fingerprint and at most a capped sanitized result.</w:t>
            </w:r>
          </w:p>
        </w:tc>
        <w:tc>
          <w:tcPr>
            <w:tcW w:type="dxa" w:w="2304"/>
            <w:vAlign w:val="center"/>
            <w:tcMar>
              <w:top w:w="85" w:type="dxa"/>
              <w:start w:w="95" w:type="dxa"/>
              <w:bottom w:w="85" w:type="dxa"/>
              <w:end w:w="95" w:type="dxa"/>
            </w:tcMar>
            <w:shd w:fill="F5F8FB"/>
          </w:tcPr>
          <w:p>
            <w:pPr>
              <w:spacing w:after="0"/>
            </w:pPr>
            <w:r>
              <w:rPr>
                <w:color w:val="243447"/>
                <w:sz w:val="17"/>
              </w:rPr>
              <w:t>P0; never store raw IP, credentials, raw provider bodies or permanent run history.</w:t>
            </w:r>
          </w:p>
        </w:tc>
      </w:tr>
      <w:tr>
        <w:trPr>
          <w:cantSplit/>
        </w:trPr>
        <w:tc>
          <w:tcPr>
            <w:tcW w:type="dxa" w:w="1944"/>
            <w:vAlign w:val="center"/>
            <w:tcMar>
              <w:top w:w="85" w:type="dxa"/>
              <w:start w:w="95" w:type="dxa"/>
              <w:bottom w:w="85" w:type="dxa"/>
              <w:end w:w="95" w:type="dxa"/>
            </w:tcMar>
          </w:tcPr>
          <w:p>
            <w:pPr>
              <w:spacing w:after="0"/>
            </w:pPr>
            <w:r>
              <w:rPr>
                <w:color w:val="243447"/>
                <w:sz w:val="17"/>
              </w:rPr>
              <w:t>Workers Cache</w:t>
            </w:r>
          </w:p>
        </w:tc>
        <w:tc>
          <w:tcPr>
            <w:tcW w:type="dxa" w:w="2232"/>
            <w:vAlign w:val="center"/>
            <w:tcMar>
              <w:top w:w="85" w:type="dxa"/>
              <w:start w:w="95" w:type="dxa"/>
              <w:bottom w:w="85" w:type="dxa"/>
              <w:end w:w="95" w:type="dxa"/>
            </w:tcMar>
          </w:tcPr>
          <w:p>
            <w:pPr>
              <w:spacing w:after="0"/>
            </w:pPr>
            <w:r>
              <w:rPr>
                <w:color w:val="243447"/>
                <w:sz w:val="17"/>
              </w:rPr>
              <w:t>Public provider status responses.</w:t>
            </w:r>
          </w:p>
        </w:tc>
        <w:tc>
          <w:tcPr>
            <w:tcW w:type="dxa" w:w="2952"/>
            <w:vAlign w:val="center"/>
            <w:tcMar>
              <w:top w:w="85" w:type="dxa"/>
              <w:start w:w="95" w:type="dxa"/>
              <w:bottom w:w="85" w:type="dxa"/>
              <w:end w:w="95" w:type="dxa"/>
            </w:tcMar>
          </w:tcPr>
          <w:p>
            <w:pPr>
              <w:spacing w:after="0"/>
            </w:pPr>
            <w:r>
              <w:rPr>
                <w:color w:val="243447"/>
                <w:sz w:val="17"/>
              </w:rPr>
              <w:t>Public health/status payloads and cache metadata.</w:t>
            </w:r>
          </w:p>
        </w:tc>
        <w:tc>
          <w:tcPr>
            <w:tcW w:type="dxa" w:w="2304"/>
            <w:vAlign w:val="center"/>
            <w:tcMar>
              <w:top w:w="85" w:type="dxa"/>
              <w:start w:w="95" w:type="dxa"/>
              <w:bottom w:w="85" w:type="dxa"/>
              <w:end w:w="95" w:type="dxa"/>
            </w:tcMar>
          </w:tcPr>
          <w:p>
            <w:pPr>
              <w:spacing w:after="0"/>
            </w:pPr>
            <w:r>
              <w:rPr>
                <w:color w:val="243447"/>
                <w:sz w:val="17"/>
              </w:rPr>
              <w:t>P1; never cache credential-bearing paths or responses.</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Email delivery / email sign-in</w:t>
            </w:r>
          </w:p>
        </w:tc>
        <w:tc>
          <w:tcPr>
            <w:tcW w:type="dxa" w:w="2232"/>
            <w:vAlign w:val="center"/>
            <w:tcMar>
              <w:top w:w="85" w:type="dxa"/>
              <w:start w:w="95" w:type="dxa"/>
              <w:bottom w:w="85" w:type="dxa"/>
              <w:end w:w="95" w:type="dxa"/>
            </w:tcMar>
            <w:shd w:fill="F5F8FB"/>
          </w:tcPr>
          <w:p>
            <w:pPr>
              <w:spacing w:after="0"/>
            </w:pPr>
            <w:r>
              <w:rPr>
                <w:color w:val="243447"/>
                <w:sz w:val="17"/>
              </w:rPr>
              <w:t>No email sending, account verification or password-reset flow in MVP.</w:t>
            </w:r>
          </w:p>
        </w:tc>
        <w:tc>
          <w:tcPr>
            <w:tcW w:type="dxa" w:w="2952"/>
            <w:vAlign w:val="center"/>
            <w:tcMar>
              <w:top w:w="85" w:type="dxa"/>
              <w:start w:w="95" w:type="dxa"/>
              <w:bottom w:w="85" w:type="dxa"/>
              <w:end w:w="95" w:type="dxa"/>
            </w:tcMar>
            <w:shd w:fill="F5F8FB"/>
          </w:tcPr>
          <w:p>
            <w:pPr>
              <w:spacing w:after="0"/>
            </w:pPr>
            <w:r>
              <w:rPr>
                <w:color w:val="243447"/>
                <w:sz w:val="17"/>
              </w:rPr>
              <w:t>No personal email address and no outbound email provider integration.</w:t>
            </w:r>
          </w:p>
        </w:tc>
        <w:tc>
          <w:tcPr>
            <w:tcW w:type="dxa" w:w="2304"/>
            <w:vAlign w:val="center"/>
            <w:tcMar>
              <w:top w:w="85" w:type="dxa"/>
              <w:start w:w="95" w:type="dxa"/>
              <w:bottom w:w="85" w:type="dxa"/>
              <w:end w:w="95" w:type="dxa"/>
            </w:tcMar>
            <w:shd w:fill="F5F8FB"/>
          </w:tcPr>
          <w:p>
            <w:pPr>
              <w:spacing w:after="0"/>
            </w:pPr>
            <w:r>
              <w:rPr>
                <w:color w:val="243447"/>
                <w:sz w:val="17"/>
              </w:rPr>
              <w:t>Out of scope. Add only if a real account/notification requirement is validated and an ADR defines retention and consent.</w:t>
            </w:r>
          </w:p>
        </w:tc>
      </w:tr>
      <w:tr>
        <w:trPr>
          <w:cantSplit/>
        </w:trPr>
        <w:tc>
          <w:tcPr>
            <w:tcW w:type="dxa" w:w="1944"/>
            <w:vAlign w:val="center"/>
            <w:tcMar>
              <w:top w:w="85" w:type="dxa"/>
              <w:start w:w="95" w:type="dxa"/>
              <w:bottom w:w="85" w:type="dxa"/>
              <w:end w:w="95" w:type="dxa"/>
            </w:tcMar>
          </w:tcPr>
          <w:p>
            <w:pPr>
              <w:spacing w:after="0"/>
            </w:pPr>
            <w:r>
              <w:rPr>
                <w:color w:val="243447"/>
                <w:sz w:val="17"/>
              </w:rPr>
              <w:t>AI diagnosis model</w:t>
            </w:r>
          </w:p>
        </w:tc>
        <w:tc>
          <w:tcPr>
            <w:tcW w:type="dxa" w:w="2232"/>
            <w:vAlign w:val="center"/>
            <w:tcMar>
              <w:top w:w="85" w:type="dxa"/>
              <w:start w:w="95" w:type="dxa"/>
              <w:bottom w:w="85" w:type="dxa"/>
              <w:end w:w="95" w:type="dxa"/>
            </w:tcMar>
          </w:tcPr>
          <w:p>
            <w:pPr>
              <w:spacing w:after="0"/>
            </w:pPr>
            <w:r>
              <w:rPr>
                <w:color w:val="243447"/>
                <w:sz w:val="17"/>
              </w:rPr>
              <w:t>No external LLM is called to diagnose pasted errors.</w:t>
            </w:r>
          </w:p>
        </w:tc>
        <w:tc>
          <w:tcPr>
            <w:tcW w:type="dxa" w:w="2952"/>
            <w:vAlign w:val="center"/>
            <w:tcMar>
              <w:top w:w="85" w:type="dxa"/>
              <w:start w:w="95" w:type="dxa"/>
              <w:bottom w:w="85" w:type="dxa"/>
              <w:end w:w="95" w:type="dxa"/>
            </w:tcMar>
          </w:tcPr>
          <w:p>
            <w:pPr>
              <w:spacing w:after="0"/>
            </w:pPr>
            <w:r>
              <w:rPr>
                <w:color w:val="243447"/>
                <w:sz w:val="17"/>
              </w:rPr>
              <w:t>Rule-based diagnosis consumes sanitized text and returns deterministic remediation.</w:t>
            </w:r>
          </w:p>
        </w:tc>
        <w:tc>
          <w:tcPr>
            <w:tcW w:type="dxa" w:w="2304"/>
            <w:vAlign w:val="center"/>
            <w:tcMar>
              <w:top w:w="85" w:type="dxa"/>
              <w:start w:w="95" w:type="dxa"/>
              <w:bottom w:w="85" w:type="dxa"/>
              <w:end w:w="95" w:type="dxa"/>
            </w:tcMar>
          </w:tcPr>
          <w:p>
            <w:pPr>
              <w:spacing w:after="0"/>
            </w:pPr>
            <w:r>
              <w:rPr>
                <w:color w:val="243447"/>
                <w:sz w:val="17"/>
              </w:rPr>
              <w:t>P0; do not transmit error messages or credentials to an AI vendor for diagnosis.</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AI provider under test</w:t>
            </w:r>
          </w:p>
        </w:tc>
        <w:tc>
          <w:tcPr>
            <w:tcW w:type="dxa" w:w="2232"/>
            <w:vAlign w:val="center"/>
            <w:tcMar>
              <w:top w:w="85" w:type="dxa"/>
              <w:start w:w="95" w:type="dxa"/>
              <w:bottom w:w="85" w:type="dxa"/>
              <w:end w:w="95" w:type="dxa"/>
            </w:tcMar>
            <w:shd w:fill="F5F8FB"/>
          </w:tcPr>
          <w:p>
            <w:pPr>
              <w:spacing w:after="0"/>
            </w:pPr>
            <w:r>
              <w:rPr>
                <w:color w:val="243447"/>
                <w:sz w:val="17"/>
              </w:rPr>
              <w:t>Only when the user explicitly chooses CHAT_MINIMAL for a supported provider.</w:t>
            </w:r>
          </w:p>
        </w:tc>
        <w:tc>
          <w:tcPr>
            <w:tcW w:type="dxa" w:w="2952"/>
            <w:vAlign w:val="center"/>
            <w:tcMar>
              <w:top w:w="85" w:type="dxa"/>
              <w:start w:w="95" w:type="dxa"/>
              <w:bottom w:w="85" w:type="dxa"/>
              <w:end w:w="95" w:type="dxa"/>
            </w:tcMar>
            <w:shd w:fill="F5F8FB"/>
          </w:tcPr>
          <w:p>
            <w:pPr>
              <w:spacing w:after="0"/>
            </w:pPr>
            <w:r>
              <w:rPr>
                <w:color w:val="243447"/>
                <w:sz w:val="17"/>
              </w:rPr>
              <w:t>A fixed provider-reviewed minimal JSON body; do not interpolate arbitrary user prompt text in MVP.</w:t>
            </w:r>
          </w:p>
        </w:tc>
        <w:tc>
          <w:tcPr>
            <w:tcW w:type="dxa" w:w="2304"/>
            <w:vAlign w:val="center"/>
            <w:tcMar>
              <w:top w:w="85" w:type="dxa"/>
              <w:start w:w="95" w:type="dxa"/>
              <w:bottom w:w="85" w:type="dxa"/>
              <w:end w:w="95" w:type="dxa"/>
            </w:tcMar>
            <w:shd w:fill="F5F8FB"/>
          </w:tcPr>
          <w:p>
            <w:pPr>
              <w:spacing w:after="0"/>
            </w:pPr>
            <w:r>
              <w:rPr>
                <w:color w:val="243447"/>
                <w:sz w:val="17"/>
              </w:rPr>
              <w:t>P0; CostClass must reflect potential charge/quota; explicit billable acknowledgement where required and tiny output caps.</w:t>
            </w:r>
          </w:p>
        </w:tc>
      </w:tr>
      <w:tr>
        <w:trPr>
          <w:cantSplit/>
        </w:trPr>
        <w:tc>
          <w:tcPr>
            <w:tcW w:type="dxa" w:w="1944"/>
            <w:vAlign w:val="center"/>
            <w:tcMar>
              <w:top w:w="85" w:type="dxa"/>
              <w:start w:w="95" w:type="dxa"/>
              <w:bottom w:w="85" w:type="dxa"/>
              <w:end w:w="95" w:type="dxa"/>
            </w:tcMar>
          </w:tcPr>
          <w:p>
            <w:pPr>
              <w:spacing w:after="0"/>
            </w:pPr>
            <w:r>
              <w:rPr>
                <w:color w:val="243447"/>
                <w:sz w:val="17"/>
              </w:rPr>
              <w:t>File / object storage</w:t>
            </w:r>
          </w:p>
        </w:tc>
        <w:tc>
          <w:tcPr>
            <w:tcW w:type="dxa" w:w="2232"/>
            <w:vAlign w:val="center"/>
            <w:tcMar>
              <w:top w:w="85" w:type="dxa"/>
              <w:start w:w="95" w:type="dxa"/>
              <w:bottom w:w="85" w:type="dxa"/>
              <w:end w:w="95" w:type="dxa"/>
            </w:tcMar>
          </w:tcPr>
          <w:p>
            <w:pPr>
              <w:spacing w:after="0"/>
            </w:pPr>
            <w:r>
              <w:rPr>
                <w:color w:val="243447"/>
                <w:sz w:val="17"/>
              </w:rPr>
              <w:t>No hosted file upload, object storage or persisted error attachment in MVP.</w:t>
            </w:r>
          </w:p>
        </w:tc>
        <w:tc>
          <w:tcPr>
            <w:tcW w:type="dxa" w:w="2952"/>
            <w:vAlign w:val="center"/>
            <w:tcMar>
              <w:top w:w="85" w:type="dxa"/>
              <w:start w:w="95" w:type="dxa"/>
              <w:bottom w:w="85" w:type="dxa"/>
              <w:end w:w="95" w:type="dxa"/>
            </w:tcMar>
          </w:tcPr>
          <w:p>
            <w:pPr>
              <w:spacing w:after="0"/>
            </w:pPr>
            <w:r>
              <w:rPr>
                <w:color w:val="243447"/>
                <w:sz w:val="17"/>
              </w:rPr>
              <w:t>CLI may read a bounded local .env/error file using safe parsing; file bytes stay on the machine unless the user separately copies them elsewhere.</w:t>
            </w:r>
          </w:p>
        </w:tc>
        <w:tc>
          <w:tcPr>
            <w:tcW w:type="dxa" w:w="2304"/>
            <w:vAlign w:val="center"/>
            <w:tcMar>
              <w:top w:w="85" w:type="dxa"/>
              <w:start w:w="95" w:type="dxa"/>
              <w:bottom w:w="85" w:type="dxa"/>
              <w:end w:w="95" w:type="dxa"/>
            </w:tcMar>
          </w:tcPr>
          <w:p>
            <w:pPr>
              <w:spacing w:after="0"/>
            </w:pPr>
            <w:r>
              <w:rPr>
                <w:color w:val="243447"/>
                <w:sz w:val="17"/>
              </w:rPr>
              <w:t>Out of scope for hosted mode; do not add S3/R2/Blob storage absent an ADR and retention review.</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GitHub Actions / npm</w:t>
            </w:r>
          </w:p>
        </w:tc>
        <w:tc>
          <w:tcPr>
            <w:tcW w:type="dxa" w:w="2232"/>
            <w:vAlign w:val="center"/>
            <w:tcMar>
              <w:top w:w="85" w:type="dxa"/>
              <w:start w:w="95" w:type="dxa"/>
              <w:bottom w:w="85" w:type="dxa"/>
              <w:end w:w="95" w:type="dxa"/>
            </w:tcMar>
            <w:shd w:fill="F5F8FB"/>
          </w:tcPr>
          <w:p>
            <w:pPr>
              <w:spacing w:after="0"/>
            </w:pPr>
            <w:r>
              <w:rPr>
                <w:color w:val="243447"/>
                <w:sz w:val="17"/>
              </w:rPr>
              <w:t>CI tests, protected releases, SBOM/provenance and package publishing.</w:t>
            </w:r>
          </w:p>
        </w:tc>
        <w:tc>
          <w:tcPr>
            <w:tcW w:type="dxa" w:w="2952"/>
            <w:vAlign w:val="center"/>
            <w:tcMar>
              <w:top w:w="85" w:type="dxa"/>
              <w:start w:w="95" w:type="dxa"/>
              <w:bottom w:w="85" w:type="dxa"/>
              <w:end w:w="95" w:type="dxa"/>
            </w:tcMar>
            <w:shd w:fill="F5F8FB"/>
          </w:tcPr>
          <w:p>
            <w:pPr>
              <w:spacing w:after="0"/>
            </w:pPr>
            <w:r>
              <w:rPr>
                <w:color w:val="243447"/>
                <w:sz w:val="17"/>
              </w:rPr>
              <w:t>Source, test fixtures, build artifacts and signed release metadata; no production user credentials in PRs/forks.</w:t>
            </w:r>
          </w:p>
        </w:tc>
        <w:tc>
          <w:tcPr>
            <w:tcW w:type="dxa" w:w="2304"/>
            <w:vAlign w:val="center"/>
            <w:tcMar>
              <w:top w:w="85" w:type="dxa"/>
              <w:start w:w="95" w:type="dxa"/>
              <w:bottom w:w="85" w:type="dxa"/>
              <w:end w:w="95" w:type="dxa"/>
            </w:tcMar>
            <w:shd w:fill="F5F8FB"/>
          </w:tcPr>
          <w:p>
            <w:pPr>
              <w:spacing w:after="0"/>
            </w:pPr>
            <w:r>
              <w:rPr>
                <w:color w:val="243447"/>
                <w:sz w:val="17"/>
              </w:rPr>
              <w:t>P0 release engineering; pin third-party actions to full commit SHAs and use least-privilege permissions/OIDC trusted publishing.</w:t>
            </w:r>
          </w:p>
        </w:tc>
      </w:tr>
      <w:tr>
        <w:trPr>
          <w:cantSplit/>
        </w:trPr>
        <w:tc>
          <w:tcPr>
            <w:tcW w:type="dxa" w:w="1944"/>
            <w:vAlign w:val="center"/>
            <w:tcMar>
              <w:top w:w="85" w:type="dxa"/>
              <w:start w:w="95" w:type="dxa"/>
              <w:bottom w:w="85" w:type="dxa"/>
              <w:end w:w="95" w:type="dxa"/>
            </w:tcMar>
          </w:tcPr>
          <w:p>
            <w:pPr>
              <w:spacing w:after="0"/>
            </w:pPr>
            <w:r>
              <w:rPr>
                <w:color w:val="243447"/>
                <w:sz w:val="17"/>
              </w:rPr>
              <w:t>Provider public status/model sources</w:t>
            </w:r>
          </w:p>
        </w:tc>
        <w:tc>
          <w:tcPr>
            <w:tcW w:type="dxa" w:w="2232"/>
            <w:vAlign w:val="center"/>
            <w:tcMar>
              <w:top w:w="85" w:type="dxa"/>
              <w:start w:w="95" w:type="dxa"/>
              <w:bottom w:w="85" w:type="dxa"/>
              <w:end w:w="95" w:type="dxa"/>
            </w:tcMar>
          </w:tcPr>
          <w:p>
            <w:pPr>
              <w:spacing w:after="0"/>
            </w:pPr>
            <w:r>
              <w:rPr>
                <w:color w:val="243447"/>
                <w:sz w:val="17"/>
              </w:rPr>
              <w:t>Optional provider status and model intelligence.</w:t>
            </w:r>
          </w:p>
        </w:tc>
        <w:tc>
          <w:tcPr>
            <w:tcW w:type="dxa" w:w="2952"/>
            <w:vAlign w:val="center"/>
            <w:tcMar>
              <w:top w:w="85" w:type="dxa"/>
              <w:start w:w="95" w:type="dxa"/>
              <w:bottom w:w="85" w:type="dxa"/>
              <w:end w:w="95" w:type="dxa"/>
            </w:tcMar>
          </w:tcPr>
          <w:p>
            <w:pPr>
              <w:spacing w:after="0"/>
            </w:pPr>
            <w:r>
              <w:rPr>
                <w:color w:val="243447"/>
                <w:sz w:val="17"/>
              </w:rPr>
              <w:t>Public status/model metadata, timestamp and source URL.</w:t>
            </w:r>
          </w:p>
        </w:tc>
        <w:tc>
          <w:tcPr>
            <w:tcW w:type="dxa" w:w="2304"/>
            <w:vAlign w:val="center"/>
            <w:tcMar>
              <w:top w:w="85" w:type="dxa"/>
              <w:start w:w="95" w:type="dxa"/>
              <w:bottom w:w="85" w:type="dxa"/>
              <w:end w:w="95" w:type="dxa"/>
            </w:tcMar>
          </w:tcPr>
          <w:p>
            <w:pPr>
              <w:spacing w:after="0"/>
            </w:pPr>
            <w:r>
              <w:rPr>
                <w:color w:val="243447"/>
                <w:sz w:val="17"/>
              </w:rPr>
              <w:t>P1; source register and cache policy required. Must remain separate from credential-test classification.</w:t>
            </w:r>
          </w:p>
        </w:tc>
      </w:tr>
    </w:tbl>
    <w:p>
      <w:pPr/>
      <w:r>
        <w:t>Integration acceptance rule: a new outbound integration is not added until an ADR specifies owner, environment, allowed data, secret handling, timeout/retry policy, failure behavior, rate limits, licensing/terms review, retention and tests. Provider SDKs remain excluded from the execution path because they can hide retries or bypass the controlled transport policy.</w:t>
      </w:r>
    </w:p>
    <w:p>
      <w:pPr>
        <w:pStyle w:val="Heading2"/>
      </w:pPr>
      <w:r>
        <w:t>28.4 Authentication, Authorization and Security</w:t>
      </w:r>
    </w:p>
    <w:p>
      <w:pPr/>
      <w:r>
        <w:t>Separate four concepts that are easy to confuse: (1) signing in to API HealthLab, (2) authenticating to an external provider, (3) authorizing the selected probe, and (4) authenticating an operator/release workflow. The MVP intentionally has no end-user sign-in system; its external provider credential is never an API HealthLab account credential.</w:t>
      </w:r>
    </w:p>
    <w:p>
      <w:pPr>
        <w:pStyle w:val="Heading3"/>
      </w:pPr>
      <w:r>
        <w:t>Authentication and permissions matrix</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Mar>
              <w:top w:w="85" w:type="dxa"/>
              <w:start w:w="95" w:type="dxa"/>
              <w:bottom w:w="85" w:type="dxa"/>
              <w:end w:w="95" w:type="dxa"/>
            </w:tcMar>
            <w:shd w:fill="17324D"/>
          </w:tcPr>
          <w:p>
            <w:pPr>
              <w:spacing w:after="0"/>
            </w:pPr>
            <w:r>
              <w:rPr>
                <w:b/>
                <w:color w:val="FFFFFF"/>
                <w:sz w:val="17"/>
              </w:rPr>
              <w:t>Principal</w:t>
            </w:r>
          </w:p>
        </w:tc>
        <w:tc>
          <w:tcPr>
            <w:tcW w:type="dxa" w:w="2952"/>
            <w:vAlign w:val="center"/>
            <w:tcMar>
              <w:top w:w="85" w:type="dxa"/>
              <w:start w:w="95" w:type="dxa"/>
              <w:bottom w:w="85" w:type="dxa"/>
              <w:end w:w="95" w:type="dxa"/>
            </w:tcMar>
            <w:shd w:fill="17324D"/>
          </w:tcPr>
          <w:p>
            <w:pPr>
              <w:spacing w:after="0"/>
            </w:pPr>
            <w:r>
              <w:rPr>
                <w:b/>
                <w:color w:val="FFFFFF"/>
                <w:sz w:val="17"/>
              </w:rPr>
              <w:t>Authentication</w:t>
            </w:r>
          </w:p>
        </w:tc>
        <w:tc>
          <w:tcPr>
            <w:tcW w:type="dxa" w:w="4464"/>
            <w:vAlign w:val="center"/>
            <w:tcMar>
              <w:top w:w="85" w:type="dxa"/>
              <w:start w:w="95" w:type="dxa"/>
              <w:bottom w:w="85" w:type="dxa"/>
              <w:end w:w="95" w:type="dxa"/>
            </w:tcMar>
            <w:shd w:fill="17324D"/>
          </w:tcPr>
          <w:p>
            <w:pPr>
              <w:spacing w:after="0"/>
            </w:pPr>
            <w:r>
              <w:rPr>
                <w:b/>
                <w:color w:val="FFFFFF"/>
                <w:sz w:val="17"/>
              </w:rPr>
              <w:t>Allowed actions / limits</w:t>
            </w:r>
          </w:p>
        </w:tc>
      </w:tr>
      <w:tr>
        <w:trPr>
          <w:cantSplit/>
        </w:trPr>
        <w:tc>
          <w:tcPr>
            <w:tcW w:type="dxa" w:w="1944"/>
            <w:vAlign w:val="center"/>
            <w:tcMar>
              <w:top w:w="85" w:type="dxa"/>
              <w:start w:w="95" w:type="dxa"/>
              <w:bottom w:w="85" w:type="dxa"/>
              <w:end w:w="95" w:type="dxa"/>
            </w:tcMar>
          </w:tcPr>
          <w:p>
            <w:pPr>
              <w:spacing w:after="0"/>
            </w:pPr>
            <w:r>
              <w:rPr>
                <w:color w:val="243447"/>
                <w:sz w:val="17"/>
              </w:rPr>
              <w:t>Unauthenticated visitor</w:t>
            </w:r>
          </w:p>
        </w:tc>
        <w:tc>
          <w:tcPr>
            <w:tcW w:type="dxa" w:w="2952"/>
            <w:vAlign w:val="center"/>
            <w:tcMar>
              <w:top w:w="85" w:type="dxa"/>
              <w:start w:w="95" w:type="dxa"/>
              <w:bottom w:w="85" w:type="dxa"/>
              <w:end w:w="95" w:type="dxa"/>
            </w:tcMar>
          </w:tcPr>
          <w:p>
            <w:pPr>
              <w:spacing w:after="0"/>
            </w:pPr>
            <w:r>
              <w:rPr>
                <w:color w:val="243447"/>
                <w:sz w:val="17"/>
              </w:rPr>
              <w:t>No HealthLab account/session in MVP.</w:t>
            </w:r>
          </w:p>
        </w:tc>
        <w:tc>
          <w:tcPr>
            <w:tcW w:type="dxa" w:w="4464"/>
            <w:vAlign w:val="center"/>
            <w:tcMar>
              <w:top w:w="85" w:type="dxa"/>
              <w:start w:w="95" w:type="dxa"/>
              <w:bottom w:w="85" w:type="dxa"/>
              <w:end w:w="95" w:type="dxa"/>
            </w:tcMar>
          </w:tcPr>
          <w:p>
            <w:pPr>
              <w:spacing w:after="0"/>
            </w:pPr>
            <w:r>
              <w:rPr>
                <w:color w:val="243447"/>
                <w:sz w:val="17"/>
              </w:rPr>
              <w:t>Read public provider catalog and submit error-only diagnosis within rate limits; no operator/configuration access.</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Hosted test request</w:t>
            </w:r>
          </w:p>
        </w:tc>
        <w:tc>
          <w:tcPr>
            <w:tcW w:type="dxa" w:w="2952"/>
            <w:vAlign w:val="center"/>
            <w:tcMar>
              <w:top w:w="85" w:type="dxa"/>
              <w:start w:w="95" w:type="dxa"/>
              <w:bottom w:w="85" w:type="dxa"/>
              <w:end w:w="95" w:type="dxa"/>
            </w:tcMar>
            <w:shd w:fill="F5F8FB"/>
          </w:tcPr>
          <w:p>
            <w:pPr>
              <w:spacing w:after="0"/>
            </w:pPr>
            <w:r>
              <w:rPr>
                <w:color w:val="243447"/>
                <w:sz w:val="17"/>
              </w:rPr>
              <w:t>Typed API_KEY or BEARER_TOKEN for a supported provider; verified Turnstile token for hosted credential tests.</w:t>
            </w:r>
          </w:p>
        </w:tc>
        <w:tc>
          <w:tcPr>
            <w:tcW w:type="dxa" w:w="4464"/>
            <w:vAlign w:val="center"/>
            <w:tcMar>
              <w:top w:w="85" w:type="dxa"/>
              <w:start w:w="95" w:type="dxa"/>
              <w:bottom w:w="85" w:type="dxa"/>
              <w:end w:w="95" w:type="dxa"/>
            </w:tcMar>
            <w:shd w:fill="F5F8FB"/>
          </w:tcPr>
          <w:p>
            <w:pPr>
              <w:spacing w:after="0"/>
            </w:pPr>
            <w:r>
              <w:rPr>
                <w:color w:val="243447"/>
                <w:sz w:val="17"/>
              </w:rPr>
              <w:t>One credential, one bounded intent, R0/R1 only, exact provider hosts, policy-approved side-effect/cost, explicit authorization and billable acknowledgement when required.</w:t>
            </w:r>
          </w:p>
        </w:tc>
      </w:tr>
      <w:tr>
        <w:trPr>
          <w:cantSplit/>
        </w:trPr>
        <w:tc>
          <w:tcPr>
            <w:tcW w:type="dxa" w:w="1944"/>
            <w:vAlign w:val="center"/>
            <w:tcMar>
              <w:top w:w="85" w:type="dxa"/>
              <w:start w:w="95" w:type="dxa"/>
              <w:bottom w:w="85" w:type="dxa"/>
              <w:end w:w="95" w:type="dxa"/>
            </w:tcMar>
          </w:tcPr>
          <w:p>
            <w:pPr>
              <w:spacing w:after="0"/>
            </w:pPr>
            <w:r>
              <w:rPr>
                <w:color w:val="243447"/>
                <w:sz w:val="17"/>
              </w:rPr>
              <w:t>Local CLI user</w:t>
            </w:r>
          </w:p>
        </w:tc>
        <w:tc>
          <w:tcPr>
            <w:tcW w:type="dxa" w:w="2952"/>
            <w:vAlign w:val="center"/>
            <w:tcMar>
              <w:top w:w="85" w:type="dxa"/>
              <w:start w:w="95" w:type="dxa"/>
              <w:bottom w:w="85" w:type="dxa"/>
              <w:end w:w="95" w:type="dxa"/>
            </w:tcMar>
          </w:tcPr>
          <w:p>
            <w:pPr>
              <w:spacing w:after="0"/>
            </w:pPr>
            <w:r>
              <w:rPr>
                <w:color w:val="243447"/>
                <w:sz w:val="17"/>
              </w:rPr>
              <w:t>Local machine identity plus a secret supplied via environment variable, stdin, hidden prompt or explicit local file reference.</w:t>
            </w:r>
          </w:p>
        </w:tc>
        <w:tc>
          <w:tcPr>
            <w:tcW w:type="dxa" w:w="4464"/>
            <w:vAlign w:val="center"/>
            <w:tcMar>
              <w:top w:w="85" w:type="dxa"/>
              <w:start w:w="95" w:type="dxa"/>
              <w:bottom w:w="85" w:type="dxa"/>
              <w:end w:w="95" w:type="dxa"/>
            </w:tcMar>
          </w:tcPr>
          <w:p>
            <w:pPr>
              <w:spacing w:after="0"/>
            </w:pPr>
            <w:r>
              <w:rPr>
                <w:color w:val="243447"/>
                <w:sz w:val="17"/>
              </w:rPr>
              <w:t>Run supported local probes subject to policy and provider restrictions. R0-R3 do not automatically imply every intent is safe; the policy function still applies.</w:t>
            </w:r>
          </w:p>
        </w:tc>
      </w:tr>
      <w:tr>
        <w:trPr>
          <w:cantSplit/>
        </w:trPr>
        <w:tc>
          <w:tcPr>
            <w:tcW w:type="dxa" w:w="1944"/>
            <w:vAlign w:val="center"/>
            <w:tcMar>
              <w:top w:w="85" w:type="dxa"/>
              <w:start w:w="95" w:type="dxa"/>
              <w:bottom w:w="85" w:type="dxa"/>
              <w:end w:w="95" w:type="dxa"/>
            </w:tcMar>
            <w:shd w:fill="F5F8FB"/>
          </w:tcPr>
          <w:p>
            <w:pPr>
              <w:spacing w:after="0"/>
            </w:pPr>
            <w:r>
              <w:rPr>
                <w:color w:val="243447"/>
                <w:sz w:val="17"/>
              </w:rPr>
              <w:t>Operator / incident responder</w:t>
            </w:r>
          </w:p>
        </w:tc>
        <w:tc>
          <w:tcPr>
            <w:tcW w:type="dxa" w:w="2952"/>
            <w:vAlign w:val="center"/>
            <w:tcMar>
              <w:top w:w="85" w:type="dxa"/>
              <w:start w:w="95" w:type="dxa"/>
              <w:bottom w:w="85" w:type="dxa"/>
              <w:end w:w="95" w:type="dxa"/>
            </w:tcMar>
            <w:shd w:fill="F5F8FB"/>
          </w:tcPr>
          <w:p>
            <w:pPr>
              <w:spacing w:after="0"/>
            </w:pPr>
            <w:r>
              <w:rPr>
                <w:color w:val="243447"/>
                <w:sz w:val="17"/>
              </w:rPr>
              <w:t>Cloudflare account and protected deployment controls outside public app routes.</w:t>
            </w:r>
          </w:p>
        </w:tc>
        <w:tc>
          <w:tcPr>
            <w:tcW w:type="dxa" w:w="4464"/>
            <w:vAlign w:val="center"/>
            <w:tcMar>
              <w:top w:w="85" w:type="dxa"/>
              <w:start w:w="95" w:type="dxa"/>
              <w:bottom w:w="85" w:type="dxa"/>
              <w:end w:w="95" w:type="dxa"/>
            </w:tcMar>
            <w:shd w:fill="F5F8FB"/>
          </w:tcPr>
          <w:p>
            <w:pPr>
              <w:spacing w:after="0"/>
            </w:pPr>
            <w:r>
              <w:rPr>
                <w:color w:val="243447"/>
                <w:sz w:val="17"/>
              </w:rPr>
              <w:t>Rotate service-owned secrets, disable provider adapters/hosted tests, inspect security-safe operational metadata and roll back releases; cannot retrieve past user credentials because they are not stored.</w:t>
            </w:r>
          </w:p>
        </w:tc>
      </w:tr>
      <w:tr>
        <w:trPr>
          <w:cantSplit/>
        </w:trPr>
        <w:tc>
          <w:tcPr>
            <w:tcW w:type="dxa" w:w="1944"/>
            <w:vAlign w:val="center"/>
            <w:tcMar>
              <w:top w:w="85" w:type="dxa"/>
              <w:start w:w="95" w:type="dxa"/>
              <w:bottom w:w="85" w:type="dxa"/>
              <w:end w:w="95" w:type="dxa"/>
            </w:tcMar>
          </w:tcPr>
          <w:p>
            <w:pPr>
              <w:spacing w:after="0"/>
            </w:pPr>
            <w:r>
              <w:rPr>
                <w:color w:val="243447"/>
                <w:sz w:val="17"/>
              </w:rPr>
              <w:t>Release maintainer / CI</w:t>
            </w:r>
          </w:p>
        </w:tc>
        <w:tc>
          <w:tcPr>
            <w:tcW w:type="dxa" w:w="2952"/>
            <w:vAlign w:val="center"/>
            <w:tcMar>
              <w:top w:w="85" w:type="dxa"/>
              <w:start w:w="95" w:type="dxa"/>
              <w:bottom w:w="85" w:type="dxa"/>
              <w:end w:w="95" w:type="dxa"/>
            </w:tcMar>
          </w:tcPr>
          <w:p>
            <w:pPr>
              <w:spacing w:after="0"/>
            </w:pPr>
            <w:r>
              <w:rPr>
                <w:color w:val="243447"/>
                <w:sz w:val="17"/>
              </w:rPr>
              <w:t>Protected GitHub environment, least-privilege workflow token and OIDC trusted publishing.</w:t>
            </w:r>
          </w:p>
        </w:tc>
        <w:tc>
          <w:tcPr>
            <w:tcW w:type="dxa" w:w="4464"/>
            <w:vAlign w:val="center"/>
            <w:tcMar>
              <w:top w:w="85" w:type="dxa"/>
              <w:start w:w="95" w:type="dxa"/>
              <w:bottom w:w="85" w:type="dxa"/>
              <w:end w:w="95" w:type="dxa"/>
            </w:tcMar>
          </w:tcPr>
          <w:p>
            <w:pPr>
              <w:spacing w:after="0"/>
            </w:pPr>
            <w:r>
              <w:rPr>
                <w:color w:val="243447"/>
                <w:sz w:val="17"/>
              </w:rPr>
              <w:t>Build/test/sign/publish reviewed releases; no production credentials on untrusted PRs or forks.</w:t>
            </w:r>
          </w:p>
        </w:tc>
      </w:tr>
    </w:tbl>
    <w:p>
      <w:pPr>
        <w:pStyle w:val="Heading3"/>
      </w:pPr>
      <w:r>
        <w:t>MVP sign-in decision</w:t>
      </w:r>
    </w:p>
    <w:p>
      <w:pPr/>
      <w:r>
        <w:t>Do not add Clerk, Auth0, email/password, OAuth login or user accounts in the MVP. The public, account-free product is controlled by Turnstile, rate limits, provider admission budgets and strict operation policy. If accounts are later justified by a concrete feature (such as team policy or user-owned saved settings), define identity, sessions, CSRF, account deletion and authorization in a new ADR. App login must never be required to paste, store or reveal a provider credential.</w:t>
      </w:r>
    </w:p>
    <w:p>
      <w:pPr>
        <w:pStyle w:val="Heading3"/>
      </w:pPr>
      <w:r>
        <w:t>Provider credential and probe authorization rules</w:t>
      </w:r>
    </w:p>
    <w:p>
      <w:pPr>
        <w:pStyle w:val="ListBullet"/>
      </w:pPr>
      <w:r>
        <w:t>Live MVP provider auth is API_KEY or BEARER_TOKEN only. Other auth shapes in Appendix A are schema-planning/future contracts and must not be presented as implemented until adapters, UI handling, policy tests and redaction tests exist.</w:t>
      </w:r>
    </w:p>
    <w:p>
      <w:pPr>
        <w:pStyle w:val="ListBullet"/>
      </w:pPr>
      <w:r>
        <w:t>The user must choose intent/provider/target and review execution mode, risk tier, cost class and side effects before the credential is entered. Use separate explicit booleans `authorized` and `billableAcknowledged`; UI wording must accurately disclose possible charges and hosted transient exposure.</w:t>
      </w:r>
    </w:p>
    <w:p>
      <w:pPr>
        <w:pStyle w:val="ListBullet"/>
      </w:pPr>
      <w:r>
        <w:t>Hosted mode is restricted to R0/R1, exact bundled provider hosts, one credential and one bounded run. Hosted custom manifests, arbitrary URLs, batches and high-risk R2/R3 credentials are denied. Provider `DISABLED` / `REMOVED` status blocks execution before secret materialization.</w:t>
      </w:r>
    </w:p>
    <w:p>
      <w:pPr>
        <w:pStyle w:val="ListBullet"/>
      </w:pPr>
      <w:r>
        <w:t>Credential fields must be typed and masked. Never accept secrets as positional CLI arguments; never place them in URLs, request bodies, shell history, exception messages, logs, analytics, session replay, telemetry, generated snippets or test snapshots.</w:t>
      </w:r>
    </w:p>
    <w:p>
      <w:pPr>
        <w:pStyle w:val="ListBullet"/>
      </w:pPr>
      <w:r>
        <w:t>A runtime SecretValue wrapper must redact JSON/string conversion and expose `reveal()` only inside the auth/request-building boundary. Immediately register derived OAuth tokens, JWT assertions, SigV4 signatures and session tokens in RedactionContext. This wrapper is not a promise of secure memory erasure in JavaScript.</w:t>
      </w:r>
    </w:p>
    <w:p>
      <w:pPr>
        <w:pStyle w:val="Heading3"/>
      </w:pPr>
      <w:r>
        <w:t>Rate limits and abuse controls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16"/>
            <w:vAlign w:val="center"/>
            <w:tcMar>
              <w:top w:w="85" w:type="dxa"/>
              <w:start w:w="95" w:type="dxa"/>
              <w:bottom w:w="85" w:type="dxa"/>
              <w:end w:w="95" w:type="dxa"/>
            </w:tcMar>
            <w:shd w:fill="17324D"/>
          </w:tcPr>
          <w:p>
            <w:pPr>
              <w:spacing w:after="0"/>
            </w:pPr>
            <w:r>
              <w:rPr>
                <w:b/>
                <w:color w:val="FFFFFF"/>
                <w:sz w:val="17"/>
              </w:rPr>
              <w:t>Control</w:t>
            </w:r>
          </w:p>
        </w:tc>
        <w:tc>
          <w:tcPr>
            <w:tcW w:type="dxa" w:w="3528"/>
            <w:vAlign w:val="center"/>
            <w:tcMar>
              <w:top w:w="85" w:type="dxa"/>
              <w:start w:w="95" w:type="dxa"/>
              <w:bottom w:w="85" w:type="dxa"/>
              <w:end w:w="95" w:type="dxa"/>
            </w:tcMar>
            <w:shd w:fill="17324D"/>
          </w:tcPr>
          <w:p>
            <w:pPr>
              <w:spacing w:after="0"/>
            </w:pPr>
            <w:r>
              <w:rPr>
                <w:b/>
                <w:color w:val="FFFFFF"/>
                <w:sz w:val="17"/>
              </w:rPr>
              <w:t>Initial policy</w:t>
            </w:r>
          </w:p>
        </w:tc>
        <w:tc>
          <w:tcPr>
            <w:tcW w:type="dxa" w:w="3672"/>
            <w:vAlign w:val="center"/>
            <w:tcMar>
              <w:top w:w="85" w:type="dxa"/>
              <w:start w:w="95" w:type="dxa"/>
              <w:bottom w:w="85" w:type="dxa"/>
              <w:end w:w="95" w:type="dxa"/>
            </w:tcMar>
            <w:shd w:fill="17324D"/>
          </w:tcPr>
          <w:p>
            <w:pPr>
              <w:spacing w:after="0"/>
            </w:pPr>
            <w:r>
              <w:rPr>
                <w:b/>
                <w:color w:val="FFFFFF"/>
                <w:sz w:val="17"/>
              </w:rPr>
              <w:t>Enforcement</w:t>
            </w:r>
          </w:p>
        </w:tc>
      </w:tr>
      <w:tr>
        <w:trPr>
          <w:cantSplit/>
        </w:trPr>
        <w:tc>
          <w:tcPr>
            <w:tcW w:type="dxa" w:w="2016"/>
            <w:vAlign w:val="center"/>
            <w:tcMar>
              <w:top w:w="85" w:type="dxa"/>
              <w:start w:w="95" w:type="dxa"/>
              <w:bottom w:w="85" w:type="dxa"/>
              <w:end w:w="95" w:type="dxa"/>
            </w:tcMar>
          </w:tcPr>
          <w:p>
            <w:pPr>
              <w:spacing w:after="0"/>
            </w:pPr>
            <w:r>
              <w:rPr>
                <w:color w:val="243447"/>
                <w:sz w:val="17"/>
              </w:rPr>
              <w:t>Hosted credential tests</w:t>
            </w:r>
          </w:p>
        </w:tc>
        <w:tc>
          <w:tcPr>
            <w:tcW w:type="dxa" w:w="3528"/>
            <w:vAlign w:val="center"/>
            <w:tcMar>
              <w:top w:w="85" w:type="dxa"/>
              <w:start w:w="95" w:type="dxa"/>
              <w:bottom w:w="85" w:type="dxa"/>
              <w:end w:w="95" w:type="dxa"/>
            </w:tcMar>
          </w:tcPr>
          <w:p>
            <w:pPr>
              <w:spacing w:after="0"/>
            </w:pPr>
            <w:r>
              <w:rPr>
                <w:color w:val="243447"/>
                <w:sz w:val="17"/>
              </w:rPr>
              <w:t>3 per 15 minutes per source and provider</w:t>
            </w:r>
          </w:p>
        </w:tc>
        <w:tc>
          <w:tcPr>
            <w:tcW w:type="dxa" w:w="3672"/>
            <w:vAlign w:val="center"/>
            <w:tcMar>
              <w:top w:w="85" w:type="dxa"/>
              <w:start w:w="95" w:type="dxa"/>
              <w:bottom w:w="85" w:type="dxa"/>
              <w:end w:w="95" w:type="dxa"/>
            </w:tcMar>
          </w:tcPr>
          <w:p>
            <w:pPr>
              <w:spacing w:after="0"/>
            </w:pPr>
            <w:r>
              <w:rPr>
                <w:color w:val="243447"/>
                <w:sz w:val="17"/>
              </w:rPr>
              <w:t>HTTP 429 + Retry-After before provider call.</w:t>
            </w:r>
          </w:p>
        </w:tc>
      </w:tr>
      <w:tr>
        <w:trPr>
          <w:cantSplit/>
        </w:trPr>
        <w:tc>
          <w:tcPr>
            <w:tcW w:type="dxa" w:w="2016"/>
            <w:vAlign w:val="center"/>
            <w:tcMar>
              <w:top w:w="85" w:type="dxa"/>
              <w:start w:w="95" w:type="dxa"/>
              <w:bottom w:w="85" w:type="dxa"/>
              <w:end w:w="95" w:type="dxa"/>
            </w:tcMar>
            <w:shd w:fill="F5F8FB"/>
          </w:tcPr>
          <w:p>
            <w:pPr>
              <w:spacing w:after="0"/>
            </w:pPr>
            <w:r>
              <w:rPr>
                <w:color w:val="243447"/>
                <w:sz w:val="17"/>
              </w:rPr>
              <w:t>Provider admission budget</w:t>
            </w:r>
          </w:p>
        </w:tc>
        <w:tc>
          <w:tcPr>
            <w:tcW w:type="dxa" w:w="3528"/>
            <w:vAlign w:val="center"/>
            <w:tcMar>
              <w:top w:w="85" w:type="dxa"/>
              <w:start w:w="95" w:type="dxa"/>
              <w:bottom w:w="85" w:type="dxa"/>
              <w:end w:w="95" w:type="dxa"/>
            </w:tcMar>
            <w:shd w:fill="F5F8FB"/>
          </w:tcPr>
          <w:p>
            <w:pPr>
              <w:spacing w:after="0"/>
            </w:pPr>
            <w:r>
              <w:rPr>
                <w:color w:val="243447"/>
                <w:sz w:val="17"/>
              </w:rPr>
              <w:t>100 accepted credential-test attempts per 15 minutes per provider</w:t>
            </w:r>
          </w:p>
        </w:tc>
        <w:tc>
          <w:tcPr>
            <w:tcW w:type="dxa" w:w="3672"/>
            <w:vAlign w:val="center"/>
            <w:tcMar>
              <w:top w:w="85" w:type="dxa"/>
              <w:start w:w="95" w:type="dxa"/>
              <w:bottom w:w="85" w:type="dxa"/>
              <w:end w:w="95" w:type="dxa"/>
            </w:tcMar>
            <w:shd w:fill="F5F8FB"/>
          </w:tcPr>
          <w:p>
            <w:pPr>
              <w:spacing w:after="0"/>
            </w:pPr>
            <w:r>
              <w:rPr>
                <w:color w:val="243447"/>
                <w:sz w:val="17"/>
              </w:rPr>
              <w:t>Fail closed; direct the user to local CLI if exhausted.</w:t>
            </w:r>
          </w:p>
        </w:tc>
      </w:tr>
      <w:tr>
        <w:trPr>
          <w:cantSplit/>
        </w:trPr>
        <w:tc>
          <w:tcPr>
            <w:tcW w:type="dxa" w:w="2016"/>
            <w:vAlign w:val="center"/>
            <w:tcMar>
              <w:top w:w="85" w:type="dxa"/>
              <w:start w:w="95" w:type="dxa"/>
              <w:bottom w:w="85" w:type="dxa"/>
              <w:end w:w="95" w:type="dxa"/>
            </w:tcMar>
          </w:tcPr>
          <w:p>
            <w:pPr>
              <w:spacing w:after="0"/>
            </w:pPr>
            <w:r>
              <w:rPr>
                <w:color w:val="243447"/>
                <w:sz w:val="17"/>
              </w:rPr>
              <w:t>Error-only diagnosis</w:t>
            </w:r>
          </w:p>
        </w:tc>
        <w:tc>
          <w:tcPr>
            <w:tcW w:type="dxa" w:w="3528"/>
            <w:vAlign w:val="center"/>
            <w:tcMar>
              <w:top w:w="85" w:type="dxa"/>
              <w:start w:w="95" w:type="dxa"/>
              <w:bottom w:w="85" w:type="dxa"/>
              <w:end w:w="95" w:type="dxa"/>
            </w:tcMar>
          </w:tcPr>
          <w:p>
            <w:pPr>
              <w:spacing w:after="0"/>
            </w:pPr>
            <w:r>
              <w:rPr>
                <w:color w:val="243447"/>
                <w:sz w:val="17"/>
              </w:rPr>
              <w:t>10 per 10 minutes per source</w:t>
            </w:r>
          </w:p>
        </w:tc>
        <w:tc>
          <w:tcPr>
            <w:tcW w:type="dxa" w:w="3672"/>
            <w:vAlign w:val="center"/>
            <w:tcMar>
              <w:top w:w="85" w:type="dxa"/>
              <w:start w:w="95" w:type="dxa"/>
              <w:bottom w:w="85" w:type="dxa"/>
              <w:end w:w="95" w:type="dxa"/>
            </w:tcMar>
          </w:tcPr>
          <w:p>
            <w:pPr>
              <w:spacing w:after="0"/>
            </w:pPr>
            <w:r>
              <w:rPr>
                <w:color w:val="243447"/>
                <w:sz w:val="17"/>
              </w:rPr>
              <w:t>HTTP 429; no provider credential involved.</w:t>
            </w:r>
          </w:p>
        </w:tc>
      </w:tr>
      <w:tr>
        <w:trPr>
          <w:cantSplit/>
        </w:trPr>
        <w:tc>
          <w:tcPr>
            <w:tcW w:type="dxa" w:w="2016"/>
            <w:vAlign w:val="center"/>
            <w:tcMar>
              <w:top w:w="85" w:type="dxa"/>
              <w:start w:w="95" w:type="dxa"/>
              <w:bottom w:w="85" w:type="dxa"/>
              <w:end w:w="95" w:type="dxa"/>
            </w:tcMar>
            <w:shd w:fill="F5F8FB"/>
          </w:tcPr>
          <w:p>
            <w:pPr>
              <w:spacing w:after="0"/>
            </w:pPr>
            <w:r>
              <w:rPr>
                <w:color w:val="243447"/>
                <w:sz w:val="17"/>
              </w:rPr>
              <w:t>Probe size</w:t>
            </w:r>
          </w:p>
        </w:tc>
        <w:tc>
          <w:tcPr>
            <w:tcW w:type="dxa" w:w="3528"/>
            <w:vAlign w:val="center"/>
            <w:tcMar>
              <w:top w:w="85" w:type="dxa"/>
              <w:start w:w="95" w:type="dxa"/>
              <w:bottom w:w="85" w:type="dxa"/>
              <w:end w:w="95" w:type="dxa"/>
            </w:tcMar>
            <w:shd w:fill="F5F8FB"/>
          </w:tcPr>
          <w:p>
            <w:pPr>
              <w:spacing w:after="0"/>
            </w:pPr>
            <w:r>
              <w:rPr>
                <w:color w:val="243447"/>
                <w:sz w:val="17"/>
              </w:rPr>
              <w:t>1 credential per request; max 4 steps / 4 provider requests; zero automatic retries</w:t>
            </w:r>
          </w:p>
        </w:tc>
        <w:tc>
          <w:tcPr>
            <w:tcW w:type="dxa" w:w="3672"/>
            <w:vAlign w:val="center"/>
            <w:tcMar>
              <w:top w:w="85" w:type="dxa"/>
              <w:start w:w="95" w:type="dxa"/>
              <w:bottom w:w="85" w:type="dxa"/>
              <w:end w:w="95" w:type="dxa"/>
            </w:tcMar>
            <w:shd w:fill="F5F8FB"/>
          </w:tcPr>
          <w:p>
            <w:pPr>
              <w:spacing w:after="0"/>
            </w:pPr>
            <w:r>
              <w:rPr>
                <w:color w:val="243447"/>
                <w:sz w:val="17"/>
              </w:rPr>
              <w:t>Reject batch payloads and stop on timeout/abort.</w:t>
            </w:r>
          </w:p>
        </w:tc>
      </w:tr>
      <w:tr>
        <w:trPr>
          <w:cantSplit/>
        </w:trPr>
        <w:tc>
          <w:tcPr>
            <w:tcW w:type="dxa" w:w="2016"/>
            <w:vAlign w:val="center"/>
            <w:tcMar>
              <w:top w:w="85" w:type="dxa"/>
              <w:start w:w="95" w:type="dxa"/>
              <w:bottom w:w="85" w:type="dxa"/>
              <w:end w:w="95" w:type="dxa"/>
            </w:tcMar>
          </w:tcPr>
          <w:p>
            <w:pPr>
              <w:spacing w:after="0"/>
            </w:pPr>
            <w:r>
              <w:rPr>
                <w:color w:val="243447"/>
                <w:sz w:val="17"/>
              </w:rPr>
              <w:t>Resource/transport</w:t>
            </w:r>
          </w:p>
        </w:tc>
        <w:tc>
          <w:tcPr>
            <w:tcW w:type="dxa" w:w="3528"/>
            <w:vAlign w:val="center"/>
            <w:tcMar>
              <w:top w:w="85" w:type="dxa"/>
              <w:start w:w="95" w:type="dxa"/>
              <w:bottom w:w="85" w:type="dxa"/>
              <w:end w:w="95" w:type="dxa"/>
            </w:tcMar>
          </w:tcPr>
          <w:p>
            <w:pPr>
              <w:spacing w:after="0"/>
            </w:pPr>
            <w:r>
              <w:rPr>
                <w:color w:val="243447"/>
                <w:sz w:val="17"/>
              </w:rPr>
              <w:t>8-second hosted hard budget; 6-second provider timeout default; 32 KiB request cap; 128 KiB decoded response cap</w:t>
            </w:r>
          </w:p>
        </w:tc>
        <w:tc>
          <w:tcPr>
            <w:tcW w:type="dxa" w:w="3672"/>
            <w:vAlign w:val="center"/>
            <w:tcMar>
              <w:top w:w="85" w:type="dxa"/>
              <w:start w:w="95" w:type="dxa"/>
              <w:bottom w:w="85" w:type="dxa"/>
              <w:end w:w="95" w:type="dxa"/>
            </w:tcMar>
          </w:tcPr>
          <w:p>
            <w:pPr>
              <w:spacing w:after="0"/>
            </w:pPr>
            <w:r>
              <w:rPr>
                <w:color w:val="243447"/>
                <w:sz w:val="17"/>
              </w:rPr>
              <w:t>Bound decoded stream, headers, nesting, extracted strings/items and abort handling.</w:t>
            </w:r>
          </w:p>
        </w:tc>
      </w:tr>
    </w:tbl>
    <w:p>
      <w:pPr>
        <w:pStyle w:val="Heading3"/>
      </w:pPr>
      <w:r>
        <w:t>Web boundary requirements</w:t>
      </w:r>
    </w:p>
    <w:p>
      <w:pPr>
        <w:pStyle w:val="ListBullet"/>
      </w:pPr>
      <w:r>
        <w:t>Use a strict Content-Security-Policy with only necessary same-origin and Turnstile allowances, Strict-Transport-Security, X-Content-Type-Options: nosniff, Referrer-Policy: no-referrer, a least-privilege Permissions-Policy, frame-ancestors none, and Cache-Control: no-store for credential-bearing responses.</w:t>
      </w:r>
    </w:p>
    <w:p>
      <w:pPr>
        <w:pStyle w:val="ListBullet"/>
      </w:pPr>
      <w:r>
        <w:t>Credential-test endpoints require application/json and an Origin matching the deployed API HealthLab origin. CORS is deny-by-default; reject unexpected origins before credential materialization. Apply request-body limits before parsing large payloads.</w:t>
      </w:r>
    </w:p>
    <w:p>
      <w:pPr>
        <w:pStyle w:val="ListBullet"/>
      </w:pPr>
      <w:r>
        <w:t>Provider requests require HTTPS, exact-host allowlisting, no IP-literal/userinfo/non-default-port/fragment URLs, GET/POST only for Manifest v1, a global outbound header allowlist, manual redirects and no arbitrary proxy/socket/DNS controls.</w:t>
      </w:r>
    </w:p>
    <w:p>
      <w:pPr>
        <w:pStyle w:val="ListBullet"/>
      </w:pPr>
      <w:r>
        <w:t>Provider response handling must cap decoded bytes before parsing; also cap response headers, JSON nesting depth, array count, extracted evidence count and string length. Never return a raw provider response body in MVP.</w:t>
      </w:r>
    </w:p>
    <w:p>
      <w:pPr>
        <w:pStyle w:val="ListBullet"/>
      </w:pPr>
      <w:r>
        <w:t>Keep development, staging and production separate: Turnstile keys, Durable Object namespaces, HMAC secrets, routes, canaries and release approvals are environment-specific. Keep API HealthLab-owned secrets in platform secret bindings or protected offline identities, never in source control.</w:t>
      </w:r>
    </w:p>
    <w:p>
      <w:pPr>
        <w:pStyle w:val="Heading2"/>
      </w:pPr>
      <w:r>
        <w:t>28.5 Coding Standards: Naming, Folder Structure and Reusable Components</w:t>
      </w:r>
    </w:p>
    <w:p>
      <w:pPr/>
      <w:r>
        <w:t>The standards below apply to the monorepo. Prefer readable explicit code over abstraction for its own sake. Security behavior must be centralized and testable; provider-specific knowledge belongs in manifests or reviewed adapters, not spread across UI conditionals.</w:t>
      </w:r>
    </w:p>
    <w:p>
      <w:pPr>
        <w:pStyle w:val="Heading3"/>
      </w:pPr>
      <w:r>
        <w:t>Recommended folder structure</w:t>
      </w:r>
    </w:p>
    <w:p>
      <w:pPr>
        <w:spacing w:before="80" w:after="80"/>
        <w:ind w:left="317"/>
        <w:shd w:fill="F1F5F9"/>
      </w:pPr>
      <w:r>
        <w:rPr>
          <w:rFonts w:ascii="Consolas" w:hAnsi="Consolas"/>
          <w:color w:val="243447"/>
          <w:sz w:val="16"/>
        </w:rPr>
        <w:t>api-healthlab/</w:t>
        <w:br/>
        <w:t>├─ apps/{web/src,worker/src,cli/src}/</w:t>
        <w:br/>
        <w:t>│  └─ each app owns its routes, inputs, views and application services</w:t>
        <w:br/>
        <w:t>├─ packages/core/src/{schemas,domain,policy,intents,planner,runner,diagnostics,evidence,redaction,network}/</w:t>
        <w:br/>
        <w:t>├─ packages/provider-kit/src/{manifest,adapter,validation}/</w:t>
        <w:br/>
        <w:t>├─ packages/providers/{manifests,code}/; catalog/src/; transport/src/</w:t>
        <w:br/>
        <w:t>├─ fixtures/providers/</w:t>
        <w:br/>
        <w:t>├─ security/{threat-model.md,incident-response.md,disclosure.md}</w:t>
        <w:br/>
        <w:t>├─ docs/{architecture,providers}/; .github/workflows/</w:t>
        <w:br/>
        <w:t>└─ release/{sbom,checksums}/</w:t>
      </w:r>
    </w:p>
    <w:p>
      <w:pPr>
        <w:pStyle w:val="Heading3"/>
      </w:pPr>
      <w:r>
        <w:t>Naming conventions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880"/>
            <w:vAlign w:val="center"/>
            <w:tcMar>
              <w:top w:w="85" w:type="dxa"/>
              <w:start w:w="95" w:type="dxa"/>
              <w:bottom w:w="85" w:type="dxa"/>
              <w:end w:w="95" w:type="dxa"/>
            </w:tcMar>
            <w:shd w:fill="17324D"/>
          </w:tcPr>
          <w:p>
            <w:pPr>
              <w:spacing w:after="0"/>
            </w:pPr>
            <w:r>
              <w:rPr>
                <w:b/>
                <w:color w:val="FFFFFF"/>
                <w:sz w:val="17"/>
              </w:rPr>
              <w:t>Code artifact</w:t>
            </w:r>
          </w:p>
        </w:tc>
        <w:tc>
          <w:tcPr>
            <w:tcW w:type="dxa" w:w="3096"/>
            <w:vAlign w:val="center"/>
            <w:tcMar>
              <w:top w:w="85" w:type="dxa"/>
              <w:start w:w="95" w:type="dxa"/>
              <w:bottom w:w="85" w:type="dxa"/>
              <w:end w:w="95" w:type="dxa"/>
            </w:tcMar>
            <w:shd w:fill="17324D"/>
          </w:tcPr>
          <w:p>
            <w:pPr>
              <w:spacing w:after="0"/>
            </w:pPr>
            <w:r>
              <w:rPr>
                <w:b/>
                <w:color w:val="FFFFFF"/>
                <w:sz w:val="17"/>
              </w:rPr>
              <w:t>Convention</w:t>
            </w:r>
          </w:p>
        </w:tc>
        <w:tc>
          <w:tcPr>
            <w:tcW w:type="dxa" w:w="3312"/>
            <w:vAlign w:val="center"/>
            <w:tcMar>
              <w:top w:w="85" w:type="dxa"/>
              <w:start w:w="95" w:type="dxa"/>
              <w:bottom w:w="85" w:type="dxa"/>
              <w:end w:w="95" w:type="dxa"/>
            </w:tcMar>
            <w:shd w:fill="17324D"/>
          </w:tcPr>
          <w:p>
            <w:pPr>
              <w:spacing w:after="0"/>
            </w:pPr>
            <w:r>
              <w:rPr>
                <w:b/>
                <w:color w:val="FFFFFF"/>
                <w:sz w:val="17"/>
              </w:rPr>
              <w:t>Example</w:t>
            </w:r>
          </w:p>
        </w:tc>
      </w:tr>
      <w:tr>
        <w:trPr>
          <w:cantSplit/>
        </w:trPr>
        <w:tc>
          <w:tcPr>
            <w:tcW w:type="dxa" w:w="2880"/>
            <w:vAlign w:val="center"/>
            <w:tcMar>
              <w:top w:w="85" w:type="dxa"/>
              <w:start w:w="95" w:type="dxa"/>
              <w:bottom w:w="85" w:type="dxa"/>
              <w:end w:w="95" w:type="dxa"/>
            </w:tcMar>
          </w:tcPr>
          <w:p>
            <w:pPr>
              <w:spacing w:after="0"/>
            </w:pPr>
            <w:r>
              <w:rPr>
                <w:color w:val="243447"/>
                <w:sz w:val="17"/>
              </w:rPr>
              <w:t>TypeScript types / interfaces / React components</w:t>
            </w:r>
          </w:p>
        </w:tc>
        <w:tc>
          <w:tcPr>
            <w:tcW w:type="dxa" w:w="3096"/>
            <w:vAlign w:val="center"/>
            <w:tcMar>
              <w:top w:w="85" w:type="dxa"/>
              <w:start w:w="95" w:type="dxa"/>
              <w:bottom w:w="85" w:type="dxa"/>
              <w:end w:w="95" w:type="dxa"/>
            </w:tcMar>
          </w:tcPr>
          <w:p>
            <w:pPr>
              <w:spacing w:after="0"/>
            </w:pPr>
            <w:r>
              <w:rPr>
                <w:color w:val="243447"/>
                <w:sz w:val="17"/>
              </w:rPr>
              <w:t>PascalCase</w:t>
            </w:r>
          </w:p>
        </w:tc>
        <w:tc>
          <w:tcPr>
            <w:tcW w:type="dxa" w:w="3312"/>
            <w:vAlign w:val="center"/>
            <w:tcMar>
              <w:top w:w="85" w:type="dxa"/>
              <w:start w:w="95" w:type="dxa"/>
              <w:bottom w:w="85" w:type="dxa"/>
              <w:end w:w="95" w:type="dxa"/>
            </w:tcMar>
          </w:tcPr>
          <w:p>
            <w:pPr>
              <w:spacing w:after="0"/>
            </w:pPr>
            <w:r>
              <w:rPr>
                <w:color w:val="243447"/>
                <w:sz w:val="17"/>
              </w:rPr>
              <w:t>IntentSpec, RunResult, CredentialField.tsx</w:t>
            </w:r>
          </w:p>
        </w:tc>
      </w:tr>
      <w:tr>
        <w:trPr>
          <w:cantSplit/>
        </w:trPr>
        <w:tc>
          <w:tcPr>
            <w:tcW w:type="dxa" w:w="2880"/>
            <w:vAlign w:val="center"/>
            <w:tcMar>
              <w:top w:w="85" w:type="dxa"/>
              <w:start w:w="95" w:type="dxa"/>
              <w:bottom w:w="85" w:type="dxa"/>
              <w:end w:w="95" w:type="dxa"/>
            </w:tcMar>
            <w:shd w:fill="F5F8FB"/>
          </w:tcPr>
          <w:p>
            <w:pPr>
              <w:spacing w:after="0"/>
            </w:pPr>
            <w:r>
              <w:rPr>
                <w:color w:val="243447"/>
                <w:sz w:val="17"/>
              </w:rPr>
              <w:t>Variables / functions / hooks</w:t>
            </w:r>
          </w:p>
        </w:tc>
        <w:tc>
          <w:tcPr>
            <w:tcW w:type="dxa" w:w="3096"/>
            <w:vAlign w:val="center"/>
            <w:tcMar>
              <w:top w:w="85" w:type="dxa"/>
              <w:start w:w="95" w:type="dxa"/>
              <w:bottom w:w="85" w:type="dxa"/>
              <w:end w:w="95" w:type="dxa"/>
            </w:tcMar>
            <w:shd w:fill="F5F8FB"/>
          </w:tcPr>
          <w:p>
            <w:pPr>
              <w:spacing w:after="0"/>
            </w:pPr>
            <w:r>
              <w:rPr>
                <w:color w:val="243447"/>
                <w:sz w:val="17"/>
              </w:rPr>
              <w:t>camelCase</w:t>
            </w:r>
          </w:p>
        </w:tc>
        <w:tc>
          <w:tcPr>
            <w:tcW w:type="dxa" w:w="3312"/>
            <w:vAlign w:val="center"/>
            <w:tcMar>
              <w:top w:w="85" w:type="dxa"/>
              <w:start w:w="95" w:type="dxa"/>
              <w:bottom w:w="85" w:type="dxa"/>
              <w:end w:w="95" w:type="dxa"/>
            </w:tcMar>
            <w:shd w:fill="F5F8FB"/>
          </w:tcPr>
          <w:p>
            <w:pPr>
              <w:spacing w:after="0"/>
            </w:pPr>
            <w:r>
              <w:rPr>
                <w:color w:val="243447"/>
                <w:sz w:val="17"/>
              </w:rPr>
              <w:t>resolveIntent(), useDiagnosticRun()</w:t>
            </w:r>
          </w:p>
        </w:tc>
      </w:tr>
      <w:tr>
        <w:trPr>
          <w:cantSplit/>
        </w:trPr>
        <w:tc>
          <w:tcPr>
            <w:tcW w:type="dxa" w:w="2880"/>
            <w:vAlign w:val="center"/>
            <w:tcMar>
              <w:top w:w="85" w:type="dxa"/>
              <w:start w:w="95" w:type="dxa"/>
              <w:bottom w:w="85" w:type="dxa"/>
              <w:end w:w="95" w:type="dxa"/>
            </w:tcMar>
          </w:tcPr>
          <w:p>
            <w:pPr>
              <w:spacing w:after="0"/>
            </w:pPr>
            <w:r>
              <w:rPr>
                <w:color w:val="243447"/>
                <w:sz w:val="17"/>
              </w:rPr>
              <w:t>Constants and stable reason/status codes</w:t>
            </w:r>
          </w:p>
        </w:tc>
        <w:tc>
          <w:tcPr>
            <w:tcW w:type="dxa" w:w="3096"/>
            <w:vAlign w:val="center"/>
            <w:tcMar>
              <w:top w:w="85" w:type="dxa"/>
              <w:start w:w="95" w:type="dxa"/>
              <w:bottom w:w="85" w:type="dxa"/>
              <w:end w:w="95" w:type="dxa"/>
            </w:tcMar>
          </w:tcPr>
          <w:p>
            <w:pPr>
              <w:spacing w:after="0"/>
            </w:pPr>
            <w:r>
              <w:rPr>
                <w:color w:val="243447"/>
                <w:sz w:val="17"/>
              </w:rPr>
              <w:t>UPPER_SNAKE_CASE for enum-like string values; camelCase for ordinary const identifiers</w:t>
            </w:r>
          </w:p>
        </w:tc>
        <w:tc>
          <w:tcPr>
            <w:tcW w:type="dxa" w:w="3312"/>
            <w:vAlign w:val="center"/>
            <w:tcMar>
              <w:top w:w="85" w:type="dxa"/>
              <w:start w:w="95" w:type="dxa"/>
              <w:bottom w:w="85" w:type="dxa"/>
              <w:end w:w="95" w:type="dxa"/>
            </w:tcMar>
          </w:tcPr>
          <w:p>
            <w:pPr>
              <w:spacing w:after="0"/>
            </w:pPr>
            <w:r>
              <w:rPr>
                <w:color w:val="243447"/>
                <w:sz w:val="17"/>
              </w:rPr>
              <w:t>INVALID_CREDENTIAL; const maxResponseBytes = ...</w:t>
            </w:r>
          </w:p>
        </w:tc>
      </w:tr>
      <w:tr>
        <w:trPr>
          <w:cantSplit/>
        </w:trPr>
        <w:tc>
          <w:tcPr>
            <w:tcW w:type="dxa" w:w="2880"/>
            <w:vAlign w:val="center"/>
            <w:tcMar>
              <w:top w:w="85" w:type="dxa"/>
              <w:start w:w="95" w:type="dxa"/>
              <w:bottom w:w="85" w:type="dxa"/>
              <w:end w:w="95" w:type="dxa"/>
            </w:tcMar>
            <w:shd w:fill="F5F8FB"/>
          </w:tcPr>
          <w:p>
            <w:pPr>
              <w:spacing w:after="0"/>
            </w:pPr>
            <w:r>
              <w:rPr>
                <w:color w:val="243447"/>
                <w:sz w:val="17"/>
              </w:rPr>
              <w:t>Files and directories</w:t>
            </w:r>
          </w:p>
        </w:tc>
        <w:tc>
          <w:tcPr>
            <w:tcW w:type="dxa" w:w="3096"/>
            <w:vAlign w:val="center"/>
            <w:tcMar>
              <w:top w:w="85" w:type="dxa"/>
              <w:start w:w="95" w:type="dxa"/>
              <w:bottom w:w="85" w:type="dxa"/>
              <w:end w:w="95" w:type="dxa"/>
            </w:tcMar>
            <w:shd w:fill="F5F8FB"/>
          </w:tcPr>
          <w:p>
            <w:pPr>
              <w:spacing w:after="0"/>
            </w:pPr>
            <w:r>
              <w:rPr>
                <w:color w:val="243447"/>
                <w:sz w:val="17"/>
              </w:rPr>
              <w:t>kebab-case</w:t>
            </w:r>
          </w:p>
        </w:tc>
        <w:tc>
          <w:tcPr>
            <w:tcW w:type="dxa" w:w="3312"/>
            <w:vAlign w:val="center"/>
            <w:tcMar>
              <w:top w:w="85" w:type="dxa"/>
              <w:start w:w="95" w:type="dxa"/>
              <w:bottom w:w="85" w:type="dxa"/>
              <w:end w:w="95" w:type="dxa"/>
            </w:tcMar>
            <w:shd w:fill="F5F8FB"/>
          </w:tcPr>
          <w:p>
            <w:pPr>
              <w:spacing w:after="0"/>
            </w:pPr>
            <w:r>
              <w:rPr>
                <w:color w:val="243447"/>
                <w:sz w:val="17"/>
              </w:rPr>
              <w:t>controlled-fetch.ts, diagnostic-timeline/</w:t>
            </w:r>
          </w:p>
        </w:tc>
      </w:tr>
      <w:tr>
        <w:trPr>
          <w:cantSplit/>
        </w:trPr>
        <w:tc>
          <w:tcPr>
            <w:tcW w:type="dxa" w:w="2880"/>
            <w:vAlign w:val="center"/>
            <w:tcMar>
              <w:top w:w="85" w:type="dxa"/>
              <w:start w:w="95" w:type="dxa"/>
              <w:bottom w:w="85" w:type="dxa"/>
              <w:end w:w="95" w:type="dxa"/>
            </w:tcMar>
          </w:tcPr>
          <w:p>
            <w:pPr>
              <w:spacing w:after="0"/>
            </w:pPr>
            <w:r>
              <w:rPr>
                <w:color w:val="243447"/>
                <w:sz w:val="17"/>
              </w:rPr>
              <w:t>Provider IDs / intent IDs / auth discriminants</w:t>
            </w:r>
          </w:p>
        </w:tc>
        <w:tc>
          <w:tcPr>
            <w:tcW w:type="dxa" w:w="3096"/>
            <w:vAlign w:val="center"/>
            <w:tcMar>
              <w:top w:w="85" w:type="dxa"/>
              <w:start w:w="95" w:type="dxa"/>
              <w:bottom w:w="85" w:type="dxa"/>
              <w:end w:w="95" w:type="dxa"/>
            </w:tcMar>
          </w:tcPr>
          <w:p>
            <w:pPr>
              <w:spacing w:after="0"/>
            </w:pPr>
            <w:r>
              <w:rPr>
                <w:color w:val="243447"/>
                <w:sz w:val="17"/>
              </w:rPr>
              <w:t>Stable lowercase provider IDs; documented enum strings for intents/auth methods</w:t>
            </w:r>
          </w:p>
        </w:tc>
        <w:tc>
          <w:tcPr>
            <w:tcW w:type="dxa" w:w="3312"/>
            <w:vAlign w:val="center"/>
            <w:tcMar>
              <w:top w:w="85" w:type="dxa"/>
              <w:start w:w="95" w:type="dxa"/>
              <w:bottom w:w="85" w:type="dxa"/>
              <w:end w:w="95" w:type="dxa"/>
            </w:tcMar>
          </w:tcPr>
          <w:p>
            <w:pPr>
              <w:spacing w:after="0"/>
            </w:pPr>
            <w:r>
              <w:rPr>
                <w:color w:val="243447"/>
                <w:sz w:val="17"/>
              </w:rPr>
              <w:t>openai, LIST_MODELS, API_KEY</w:t>
            </w:r>
          </w:p>
        </w:tc>
      </w:tr>
      <w:tr>
        <w:trPr>
          <w:cantSplit/>
        </w:trPr>
        <w:tc>
          <w:tcPr>
            <w:tcW w:type="dxa" w:w="2880"/>
            <w:vAlign w:val="center"/>
            <w:tcMar>
              <w:top w:w="85" w:type="dxa"/>
              <w:start w:w="95" w:type="dxa"/>
              <w:bottom w:w="85" w:type="dxa"/>
              <w:end w:w="95" w:type="dxa"/>
            </w:tcMar>
            <w:shd w:fill="F5F8FB"/>
          </w:tcPr>
          <w:p>
            <w:pPr>
              <w:spacing w:after="0"/>
            </w:pPr>
            <w:r>
              <w:rPr>
                <w:color w:val="243447"/>
                <w:sz w:val="17"/>
              </w:rPr>
              <w:t>Manifest and fixture files</w:t>
            </w:r>
          </w:p>
        </w:tc>
        <w:tc>
          <w:tcPr>
            <w:tcW w:type="dxa" w:w="3096"/>
            <w:vAlign w:val="center"/>
            <w:tcMar>
              <w:top w:w="85" w:type="dxa"/>
              <w:start w:w="95" w:type="dxa"/>
              <w:bottom w:w="85" w:type="dxa"/>
              <w:end w:w="95" w:type="dxa"/>
            </w:tcMar>
            <w:shd w:fill="F5F8FB"/>
          </w:tcPr>
          <w:p>
            <w:pPr>
              <w:spacing w:after="0"/>
            </w:pPr>
            <w:r>
              <w:rPr>
                <w:color w:val="243447"/>
                <w:sz w:val="17"/>
              </w:rPr>
              <w:t>Stable provider ID in filename; named fixtures by intent and outcome</w:t>
            </w:r>
          </w:p>
        </w:tc>
        <w:tc>
          <w:tcPr>
            <w:tcW w:type="dxa" w:w="3312"/>
            <w:vAlign w:val="center"/>
            <w:tcMar>
              <w:top w:w="85" w:type="dxa"/>
              <w:start w:w="95" w:type="dxa"/>
              <w:bottom w:w="85" w:type="dxa"/>
              <w:end w:w="95" w:type="dxa"/>
            </w:tcMar>
            <w:shd w:fill="F5F8FB"/>
          </w:tcPr>
          <w:p>
            <w:pPr>
              <w:spacing w:after="0"/>
            </w:pPr>
            <w:r>
              <w:rPr>
                <w:color w:val="243447"/>
                <w:sz w:val="17"/>
              </w:rPr>
              <w:t>openai.manifest.json; chat-minimal-invalid-key.json</w:t>
            </w:r>
          </w:p>
        </w:tc>
      </w:tr>
    </w:tbl>
    <w:p>
      <w:pPr>
        <w:pStyle w:val="Heading3"/>
      </w:pPr>
      <w:r>
        <w:t>TypeScript, schema and error-handling rules</w:t>
      </w:r>
    </w:p>
    <w:p>
      <w:pPr>
        <w:pStyle w:val="ListBullet"/>
      </w:pPr>
      <w:r>
        <w:t>Enable TypeScript strict mode; avoid `any`; treat parsed JSON, network values and CLI inputs as `unknown` until validated. Use explicit return types for security-sensitive functions and exhaustive discriminated-union switches with an assertNever guard.</w:t>
      </w:r>
    </w:p>
    <w:p>
      <w:pPr>
        <w:pStyle w:val="ListBullet"/>
      </w:pPr>
      <w:r>
        <w:t>Zod runtime schemas in the repository are canonical. Infer static types from schemas where possible; do not hand-maintain separate runtime and compile-time contracts. Run safeParse on all HTTP, CLI, manifest, extracted-data and configuration boundaries.</w:t>
      </w:r>
    </w:p>
    <w:p>
      <w:pPr>
        <w:pStyle w:val="ListBullet"/>
      </w:pPr>
      <w:r>
        <w:t>Use normalized DiagnosticStatus and stable reasonCode values for expected provider failures. Do not expose raw error objects. Unknown errors become a sanitized ENGINE_ERROR / UNKNOWN result, with diagnostic detail limited to safe operational metadata.</w:t>
      </w:r>
    </w:p>
    <w:p>
      <w:pPr>
        <w:pStyle w:val="ListBullet"/>
      </w:pPr>
      <w:r>
        <w:t>Provider adapters resolve or describe an allowed request; the shared runner owns execution, deadlines, cancellation, policy and aggregation. Adapter code cannot invoke fetch directly or change global retries, redirect policy, headers, DNS, socket or proxy behavior.</w:t>
      </w:r>
    </w:p>
    <w:p>
      <w:pPr>
        <w:pStyle w:val="ListBullet"/>
      </w:pPr>
      <w:r>
        <w:t>Do not duplicate provider capability truth in a hand-edited table. Generate the provider capability matrix from validated manifests during CI/release, and fail on missing verification dates, unsupported fields or conflicting policy.</w:t>
      </w:r>
    </w:p>
    <w:p>
      <w:pPr>
        <w:pStyle w:val="ListBullet"/>
      </w:pPr>
      <w:r>
        <w:t>React components remain presentation-focused and reusable. Extract typed components for ProviderSelector, IntentSelector, TargetContextForm, ExecutionPolicySummary, CredentialField, ConsentControls, DiagnosticTimeline, EvidenceList and RemediationPanel. Inputs must be labelled, keyboard-operable and never send secrets before explicit submit.</w:t>
      </w:r>
    </w:p>
    <w:p>
      <w:pPr>
        <w:pStyle w:val="Heading3"/>
      </w:pPr>
      <w:r>
        <w:t>Reusable component responsibilities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952"/>
            <w:vAlign w:val="center"/>
            <w:tcMar>
              <w:top w:w="85" w:type="dxa"/>
              <w:start w:w="95" w:type="dxa"/>
              <w:bottom w:w="85" w:type="dxa"/>
              <w:end w:w="95" w:type="dxa"/>
            </w:tcMar>
            <w:shd w:fill="17324D"/>
          </w:tcPr>
          <w:p>
            <w:pPr>
              <w:spacing w:after="0"/>
            </w:pPr>
            <w:r>
              <w:rPr>
                <w:b/>
                <w:color w:val="FFFFFF"/>
                <w:sz w:val="17"/>
              </w:rPr>
              <w:t>Component</w:t>
            </w:r>
          </w:p>
        </w:tc>
        <w:tc>
          <w:tcPr>
            <w:tcW w:type="dxa" w:w="6336"/>
            <w:vAlign w:val="center"/>
            <w:tcMar>
              <w:top w:w="85" w:type="dxa"/>
              <w:start w:w="95" w:type="dxa"/>
              <w:bottom w:w="85" w:type="dxa"/>
              <w:end w:w="95" w:type="dxa"/>
            </w:tcMar>
            <w:shd w:fill="17324D"/>
          </w:tcPr>
          <w:p>
            <w:pPr>
              <w:spacing w:after="0"/>
            </w:pPr>
            <w:r>
              <w:rPr>
                <w:b/>
                <w:color w:val="FFFFFF"/>
                <w:sz w:val="17"/>
              </w:rPr>
              <w:t>Single responsibility</w:t>
            </w:r>
          </w:p>
        </w:tc>
      </w:tr>
      <w:tr>
        <w:trPr>
          <w:cantSplit/>
        </w:trPr>
        <w:tc>
          <w:tcPr>
            <w:tcW w:type="dxa" w:w="2952"/>
            <w:vAlign w:val="center"/>
            <w:tcMar>
              <w:top w:w="85" w:type="dxa"/>
              <w:start w:w="95" w:type="dxa"/>
              <w:bottom w:w="85" w:type="dxa"/>
              <w:end w:w="95" w:type="dxa"/>
            </w:tcMar>
          </w:tcPr>
          <w:p>
            <w:pPr>
              <w:spacing w:after="0"/>
            </w:pPr>
            <w:r>
              <w:rPr>
                <w:color w:val="243447"/>
                <w:sz w:val="17"/>
              </w:rPr>
              <w:t>ProviderSelector / IntentSelector</w:t>
            </w:r>
          </w:p>
        </w:tc>
        <w:tc>
          <w:tcPr>
            <w:tcW w:type="dxa" w:w="6336"/>
            <w:vAlign w:val="center"/>
            <w:tcMar>
              <w:top w:w="85" w:type="dxa"/>
              <w:start w:w="95" w:type="dxa"/>
              <w:bottom w:w="85" w:type="dxa"/>
              <w:end w:w="95" w:type="dxa"/>
            </w:tcMar>
          </w:tcPr>
          <w:p>
            <w:pPr>
              <w:spacing w:after="0"/>
            </w:pPr>
            <w:r>
              <w:rPr>
                <w:color w:val="243447"/>
                <w:sz w:val="17"/>
              </w:rPr>
              <w:t>Render only supported manifest-derived capabilities; selecting a different intent resets invalid target fields.</w:t>
            </w:r>
          </w:p>
        </w:tc>
      </w:tr>
      <w:tr>
        <w:trPr>
          <w:cantSplit/>
        </w:trPr>
        <w:tc>
          <w:tcPr>
            <w:tcW w:type="dxa" w:w="2952"/>
            <w:vAlign w:val="center"/>
            <w:tcMar>
              <w:top w:w="85" w:type="dxa"/>
              <w:start w:w="95" w:type="dxa"/>
              <w:bottom w:w="85" w:type="dxa"/>
              <w:end w:w="95" w:type="dxa"/>
            </w:tcMar>
            <w:shd w:fill="F5F8FB"/>
          </w:tcPr>
          <w:p>
            <w:pPr>
              <w:spacing w:after="0"/>
            </w:pPr>
            <w:r>
              <w:rPr>
                <w:color w:val="243447"/>
                <w:sz w:val="17"/>
              </w:rPr>
              <w:t>TargetContextForm</w:t>
            </w:r>
          </w:p>
        </w:tc>
        <w:tc>
          <w:tcPr>
            <w:tcW w:type="dxa" w:w="6336"/>
            <w:vAlign w:val="center"/>
            <w:tcMar>
              <w:top w:w="85" w:type="dxa"/>
              <w:start w:w="95" w:type="dxa"/>
              <w:bottom w:w="85" w:type="dxa"/>
              <w:end w:w="95" w:type="dxa"/>
            </w:tcMar>
            <w:shd w:fill="F5F8FB"/>
          </w:tcPr>
          <w:p>
            <w:pPr>
              <w:spacing w:after="0"/>
            </w:pPr>
            <w:r>
              <w:rPr>
                <w:color w:val="243447"/>
                <w:sz w:val="17"/>
              </w:rPr>
              <w:t>Validates target/model/deployment/resource fields against IntentSpec parameter schema; no secrets in this form.</w:t>
            </w:r>
          </w:p>
        </w:tc>
      </w:tr>
      <w:tr>
        <w:trPr>
          <w:cantSplit/>
        </w:trPr>
        <w:tc>
          <w:tcPr>
            <w:tcW w:type="dxa" w:w="2952"/>
            <w:vAlign w:val="center"/>
            <w:tcMar>
              <w:top w:w="85" w:type="dxa"/>
              <w:start w:w="95" w:type="dxa"/>
              <w:bottom w:w="85" w:type="dxa"/>
              <w:end w:w="95" w:type="dxa"/>
            </w:tcMar>
          </w:tcPr>
          <w:p>
            <w:pPr>
              <w:spacing w:after="0"/>
            </w:pPr>
            <w:r>
              <w:rPr>
                <w:color w:val="243447"/>
                <w:sz w:val="17"/>
              </w:rPr>
              <w:t>ExecutionPolicySummary / ConsentControls</w:t>
            </w:r>
          </w:p>
        </w:tc>
        <w:tc>
          <w:tcPr>
            <w:tcW w:type="dxa" w:w="6336"/>
            <w:vAlign w:val="center"/>
            <w:tcMar>
              <w:top w:w="85" w:type="dxa"/>
              <w:start w:w="95" w:type="dxa"/>
              <w:bottom w:w="85" w:type="dxa"/>
              <w:end w:w="95" w:type="dxa"/>
            </w:tcMar>
          </w:tcPr>
          <w:p>
            <w:pPr>
              <w:spacing w:after="0"/>
            </w:pPr>
            <w:r>
              <w:rPr>
                <w:color w:val="243447"/>
                <w:sz w:val="17"/>
              </w:rPr>
              <w:t>Show mode, risk, side effect and cost separately; record explicit authorization and separate billable acknowledgement.</w:t>
            </w:r>
          </w:p>
        </w:tc>
      </w:tr>
      <w:tr>
        <w:trPr>
          <w:cantSplit/>
        </w:trPr>
        <w:tc>
          <w:tcPr>
            <w:tcW w:type="dxa" w:w="2952"/>
            <w:vAlign w:val="center"/>
            <w:tcMar>
              <w:top w:w="85" w:type="dxa"/>
              <w:start w:w="95" w:type="dxa"/>
              <w:bottom w:w="85" w:type="dxa"/>
              <w:end w:w="95" w:type="dxa"/>
            </w:tcMar>
            <w:shd w:fill="F5F8FB"/>
          </w:tcPr>
          <w:p>
            <w:pPr>
              <w:spacing w:after="0"/>
            </w:pPr>
            <w:r>
              <w:rPr>
                <w:color w:val="243447"/>
                <w:sz w:val="17"/>
              </w:rPr>
              <w:t>CredentialField</w:t>
            </w:r>
          </w:p>
        </w:tc>
        <w:tc>
          <w:tcPr>
            <w:tcW w:type="dxa" w:w="6336"/>
            <w:vAlign w:val="center"/>
            <w:tcMar>
              <w:top w:w="85" w:type="dxa"/>
              <w:start w:w="95" w:type="dxa"/>
              <w:bottom w:w="85" w:type="dxa"/>
              <w:end w:w="95" w:type="dxa"/>
            </w:tcMar>
            <w:shd w:fill="F5F8FB"/>
          </w:tcPr>
          <w:p>
            <w:pPr>
              <w:spacing w:after="0"/>
            </w:pPr>
            <w:r>
              <w:rPr>
                <w:color w:val="243447"/>
                <w:sz w:val="17"/>
              </w:rPr>
              <w:t>Typed method, masked field, paste support with no persistent browser storage, accessible label/help/error states.</w:t>
            </w:r>
          </w:p>
        </w:tc>
      </w:tr>
      <w:tr>
        <w:trPr>
          <w:cantSplit/>
        </w:trPr>
        <w:tc>
          <w:tcPr>
            <w:tcW w:type="dxa" w:w="2952"/>
            <w:vAlign w:val="center"/>
            <w:tcMar>
              <w:top w:w="85" w:type="dxa"/>
              <w:start w:w="95" w:type="dxa"/>
              <w:bottom w:w="85" w:type="dxa"/>
              <w:end w:w="95" w:type="dxa"/>
            </w:tcMar>
          </w:tcPr>
          <w:p>
            <w:pPr>
              <w:spacing w:after="0"/>
            </w:pPr>
            <w:r>
              <w:rPr>
                <w:color w:val="243447"/>
                <w:sz w:val="17"/>
              </w:rPr>
              <w:t>DiagnosticTimeline / EvidenceList</w:t>
            </w:r>
          </w:p>
        </w:tc>
        <w:tc>
          <w:tcPr>
            <w:tcW w:type="dxa" w:w="6336"/>
            <w:vAlign w:val="center"/>
            <w:tcMar>
              <w:top w:w="85" w:type="dxa"/>
              <w:start w:w="95" w:type="dxa"/>
              <w:bottom w:w="85" w:type="dxa"/>
              <w:end w:w="95" w:type="dxa"/>
            </w:tcMar>
          </w:tcPr>
          <w:p>
            <w:pPr>
              <w:spacing w:after="0"/>
            </w:pPr>
            <w:r>
              <w:rPr>
                <w:color w:val="243447"/>
                <w:sz w:val="17"/>
              </w:rPr>
              <w:t>Render ordered states and allowlisted evidence only; distinguish provider health from credential/intent result.</w:t>
            </w:r>
          </w:p>
        </w:tc>
      </w:tr>
      <w:tr>
        <w:trPr>
          <w:cantSplit/>
        </w:trPr>
        <w:tc>
          <w:tcPr>
            <w:tcW w:type="dxa" w:w="2952"/>
            <w:vAlign w:val="center"/>
            <w:tcMar>
              <w:top w:w="85" w:type="dxa"/>
              <w:start w:w="95" w:type="dxa"/>
              <w:bottom w:w="85" w:type="dxa"/>
              <w:end w:w="95" w:type="dxa"/>
            </w:tcMar>
            <w:shd w:fill="F5F8FB"/>
          </w:tcPr>
          <w:p>
            <w:pPr>
              <w:spacing w:after="0"/>
            </w:pPr>
            <w:r>
              <w:rPr>
                <w:color w:val="243447"/>
                <w:sz w:val="17"/>
              </w:rPr>
              <w:t>RemediationPanel / SnippetPanel</w:t>
            </w:r>
          </w:p>
        </w:tc>
        <w:tc>
          <w:tcPr>
            <w:tcW w:type="dxa" w:w="6336"/>
            <w:vAlign w:val="center"/>
            <w:tcMar>
              <w:top w:w="85" w:type="dxa"/>
              <w:start w:w="95" w:type="dxa"/>
              <w:bottom w:w="85" w:type="dxa"/>
              <w:end w:w="95" w:type="dxa"/>
            </w:tcMar>
            <w:shd w:fill="F5F8FB"/>
          </w:tcPr>
          <w:p>
            <w:pPr>
              <w:spacing w:after="0"/>
            </w:pPr>
            <w:r>
              <w:rPr>
                <w:color w:val="243447"/>
                <w:sz w:val="17"/>
              </w:rPr>
              <w:t>Use structured action IDs and generated safe snippets based on resolved requests; no actual credential values.</w:t>
            </w:r>
          </w:p>
        </w:tc>
      </w:tr>
    </w:tbl>
    <w:p>
      <w:pPr>
        <w:pStyle w:val="Heading3"/>
      </w:pPr>
      <w:r>
        <w:t>Testing and repository hygiene</w:t>
      </w:r>
    </w:p>
    <w:p>
      <w:pPr>
        <w:pStyle w:val="ListBullet"/>
      </w:pPr>
      <w:r>
        <w:t>Unit tests cover schemas, risk/cost/side-effect policy (all 128 combinations), intent validation, classifier priority/ties, aggregation, redaction, snippet generation and rate-window math.</w:t>
      </w:r>
    </w:p>
    <w:p>
      <w:pPr>
        <w:pStyle w:val="ListBullet"/>
      </w:pPr>
      <w:r>
        <w:t>Provider fixtures cover success, invalid credentials, scope/permission, billing/quota, rate limiting, missing model, endpoint misconfiguration, timeout, redirect, 5xx, malformed JSON and HTML/WAF challenge responses. Never put live secrets in fixtures.</w:t>
      </w:r>
    </w:p>
    <w:p>
      <w:pPr>
        <w:pStyle w:val="ListBullet"/>
      </w:pPr>
      <w:r>
        <w:t>Adapter contract tests verify exact allowed host, method, header set, body cap, output cap, extraction limits, semantic assertion and provider-specific classification. Contract tests are offline by default.</w:t>
      </w:r>
    </w:p>
    <w:p>
      <w:pPr>
        <w:pStyle w:val="ListBullet"/>
      </w:pPr>
      <w:r>
        <w:t>Playwright tests cover primary user flow, keyboard navigation, focus management, explicit consent, CSP/CORS behavior, Turnstile failure, response stream termination and secret-redaction assertions.</w:t>
      </w:r>
    </w:p>
    <w:p>
      <w:pPr>
        <w:pStyle w:val="ListBullet"/>
      </w:pPr>
      <w:r>
        <w:t>Use formatting/lint/typecheck/test/build as required CI gates. Commit one lockfile; pin CI actions to full commit SHAs; use least-privilege workflow permissions and protected release environments. Do not put live production credentials in forks or untrusted pull requests.</w:t>
      </w:r>
    </w:p>
    <w:p>
      <w:pPr>
        <w:pStyle w:val="ListBullet"/>
      </w:pPr>
      <w:r>
        <w:t>Use deterministic fixture snapshots for generated curl/TypeScript/Python snippets. Snapshot inputs and outputs must contain environment-variable placeholders rather than credentials.</w:t>
      </w:r>
    </w:p>
    <w:p>
      <w:pPr>
        <w:pStyle w:val="ListBullet"/>
      </w:pPr>
      <w:r>
        <w:t>Code review checklist for every provider change: current official documentation reviewed; host and auth location verified; safe costs/side effects declared; capability test performed; fixtures added; redaction and kill-switch behavior verified; terms/review date recorded.</w:t>
      </w:r>
    </w:p>
    <w:p>
      <w:pPr>
        <w:pStyle w:val="Heading3"/>
      </w:pPr>
      <w:r>
        <w:t>Implementation completion gate</w:t>
      </w:r>
    </w:p>
    <w:p>
      <w:pPr/>
      <w:r>
        <w:t>The five areas in this section are complete only when (1) a hosted and a CLI vertical slice use the same core contracts and classifier; (2) the only persistent hosted state is the documented short-lived admission/idempotency state; (3) an integration inventory proves no email, login provider, third-party diagnosis LLM or hosted file store is being called; (4) automated tests prove permission, rate-limit, redaction and controlled-fetch boundaries; and (5) naming, folder and schema rules are enforced in CI rather than left as informal advice.</w:t>
      </w:r>
    </w:p>
    <w:p>
      <w:pPr>
        <w:pStyle w:val="Heading1"/>
        <w:spacing w:before="240" w:after="120"/>
      </w:pPr>
      <w:r>
        <w:t>29. Delivery Plan &amp; Solo-Builder Scope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Phase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Estimate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Deliverable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Exit gate</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0 — Product/vertical slice</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1–2 weeks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OpenAI LIST_MODELS + Gemini invalid-key + GitHub identity through shared core; run interviews.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Contracts and 128-case policy tests frozen; 3 providers work locally.</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 — Core hardening</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1.5–2.5 weeks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Credential schemas, ProbePlan, Manifest validator, controlled fetch, classifier, redactor, evidence.</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All P0 security tests green.</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2 — CLI alpha</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1.5–2 weeks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Commander CLI, `.env`, snippets, diagnosis, JSON/text output.</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Local run never contacts API HealthLab data plane; exit-code contract stable.</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3 — MVP providers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1–1.5 weeks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Remaining MVP manifests/fixtures for 7 providers.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All adapter contract + fixture tests green.</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4 — Hosted MVP</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2–3 weeks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React/Vite, Worker, Turnstile, DO admission, NDJSON, strict CSP/CORS.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 security/a11y gates green.</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5 — Launch hardening</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1.5–2 weeks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Threat model, DAST/manual review, legal pages, provenance, SBOM, incident runbook.</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Launch gate green.</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Sequence change  </w:t>
            </w:r>
            <w:r>
              <w:rPr>
                <w:color w:val="243342"/>
                <w:sz w:val="18"/>
              </w:rPr>
              <w:t>CLI precedes hosted. The local product proves the core and trust thesis before the higher-risk public credential endpoint is exposed.</w:t>
            </w:r>
          </w:p>
        </w:tc>
      </w:tr>
    </w:tbl>
    <w:p>
      <w:pPr>
        <w:spacing w:after="20"/>
      </w:pPr>
    </w:p>
    <w:p>
      <w:pPr>
        <w:pStyle w:val="Heading1"/>
        <w:spacing w:before="240" w:after="120"/>
      </w:pPr>
      <w:r>
        <w:t>30. Market Analysis &amp; Validation</w:t>
      </w:r>
    </w:p>
    <w:p>
      <w:pPr>
        <w:pStyle w:val="Normal"/>
      </w:pPr>
      <w:r>
        <w:rPr>
          <w:rFonts w:ascii="Aptos" w:hAnsi="Aptos"/>
          <w:sz w:val="17"/>
          <w:color w:val="243342"/>
        </w:rPr>
        <w:t>Current market signal: Postman's 2025 State of the API reports 82% organizational API-first adoption at some level, 89% of developers using generative AI daily, and 51% citing unauthorized agent access as a top security risk. These figures describe the wider ecosystem, not API HealthLab demand.</w:t>
      </w:r>
    </w:p>
    <w:p>
      <w:pPr>
        <w:pStyle w:val="Heading2"/>
        <w:spacing w:before="180" w:after="80"/>
      </w:pPr>
      <w:r>
        <w:t>30.1 Current market position</w:t>
      </w:r>
    </w:p>
    <w:p>
      <w:pPr>
        <w:spacing w:after="100" w:line="252" w:lineRule="auto"/>
      </w:pPr>
      <w:r>
        <w:rPr>
          <w:rFonts w:ascii="Aptos" w:hAnsi="Aptos"/>
          <w:color w:val="243342"/>
          <w:sz w:val="18"/>
        </w:rPr>
        <w:t>The adjacent market is crowded. Postman currently combines API client/testing, API lifecycle tools and AI-assisted troubleshooting; its documentation explicitly supports Agent Mode for debugging unexpected API errors. TruffleHog actively verifies credentials it can classify and reports more than 800 secret types. These facts mean “API key validation” alone is not a defensible moat.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Competitor / class</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Primary job</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Overlap</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API HealthLab differentiation</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Postman</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 development/testing + AI troubleshooting</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Credential → intent → evidence workflow with local-first trust boundary.</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Insomnia</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API client/testing</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Diagnostic engine rather than general API workspace.</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Hoppscotch</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Open-source API client ecosystem</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Provider-aware bounded probes and normalized diagnosis.</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TruffleHog</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Secret discovery + live credential verification</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Very high adjacency</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Authorized developer-debugging context, intent semantics, safer hosted constraints.</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GitGuardian</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Secret discovery / incident monitoring</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Medium</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Not a secret scanner; diagnoses the credential/action pair.</w:t>
            </w:r>
          </w:p>
        </w:tc>
      </w:tr>
      <w:tr>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KeyHacks / validation scripts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Security research / credential checks</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 technical adjacency</w:t>
            </w:r>
          </w:p>
        </w:tc>
        <w:tc>
          <w:tcPr>
            <w:tcW w:type="dxa" w:w="2498"/>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Developer integration diagnosis, bounded intents and safety policy.</w:t>
            </w:r>
          </w:p>
        </w:tc>
      </w:tr>
      <w:tr>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 Key Validator-style projects</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credential validation</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Very high adjacency</w:t>
            </w:r>
          </w:p>
        </w:tc>
        <w:tc>
          <w:tcPr>
            <w:tcW w:type="dxa" w:w="2498"/>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Typed schemas, evidence model, controlled fetch, manifest governance and local-first architecture.</w:t>
            </w:r>
          </w:p>
        </w:tc>
      </w:tr>
    </w:tbl>
    <w:p>
      <w:pPr>
        <w:pStyle w:val="Heading2"/>
        <w:spacing w:before="180" w:after="80"/>
      </w:pPr>
      <w:r>
        <w:t>30.2 Market hypothesis</w:t>
      </w:r>
    </w:p>
    <w:p>
      <w:pPr>
        <w:spacing w:after="100" w:line="252" w:lineRule="auto"/>
      </w:pPr>
      <w:r>
        <w:rPr>
          <w:rFonts w:ascii="Aptos" w:hAnsi="Aptos"/>
          <w:color w:val="243342"/>
          <w:sz w:val="18"/>
        </w:rPr>
        <w:t>The product thesis is not that developers need another API client. The hypothesis is that developers repeatedly lose time answering a narrower question: “Is the credential, target or provider preventing the exact action my code needs?” The first validation metric is time-to-diagnosis/time-to-first-fix, not page views.</w:t>
      </w:r>
    </w:p>
    <w:p>
      <w:pPr>
        <w:pStyle w:val="Heading2"/>
        <w:spacing w:before="180" w:after="80"/>
      </w:pPr>
      <w:r>
        <w:t>30.3 Validation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Experiment</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Population</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Threshold / decision rule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Problem interviews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15 developers: 5 AI, 5 full-stack, 3 platform, 2 security-conscious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Proceed if ≥10/15 describe a recent credential/API setup diagnosis pain and ≥7/15 consider the current workflow inefficient.</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CLI task test</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10 participants with an intentionally broken provider setup</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Proceed if median time-to-diagnosis is lower with API HealthLab than the participant's usual workflow.</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Trust test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Same 10 participants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Do not ship hosted as default if &lt;5/10 are comfortable after reading the explicit processing disclosure.</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Repeat-use test</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Pilot cohort over 30 days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Proceed to expansion if ≥30% return for a second diagnosis/test.</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Adapter demand</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GitHub issues / requests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Prioritize providers with repeated independent requests; no provider expansion solely because it is technically interesting.</w:t>
            </w:r>
          </w:p>
        </w:tc>
      </w:tr>
    </w:tbl>
    <w:p>
      <w:pPr>
        <w:pStyle w:val="Heading1"/>
        <w:spacing w:before="240" w:after="120"/>
      </w:pPr>
      <w:r>
        <w:t>31. Business Model &amp; Future Monitoring</w:t>
      </w:r>
    </w:p>
    <w:p>
      <w:pPr>
        <w:pStyle w:val="Heading2"/>
        <w:spacing w:before="180" w:after="80"/>
      </w:pPr>
      <w:r>
        <w:t>31.1 Open-source strategy</w:t>
      </w:r>
    </w:p>
    <w:p>
      <w:pPr>
        <w:spacing w:after="100" w:line="252" w:lineRule="auto"/>
      </w:pPr>
      <w:r>
        <w:rPr>
          <w:rFonts w:ascii="Aptos" w:hAnsi="Aptos"/>
          <w:color w:val="243342"/>
          <w:sz w:val="18"/>
        </w:rPr>
        <w:t>The trust-critical core, CLI, provider manifest format and fixture framework should remain open source. The free product should work without mandatory account registration.</w:t>
      </w:r>
    </w:p>
    <w:p>
      <w:pPr>
        <w:pStyle w:val="Heading2"/>
        <w:spacing w:before="180" w:after="80"/>
      </w:pPr>
      <w:r>
        <w:t>31.2 Potential monetization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Capability</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Open / free</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Potential paid</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Local CLI</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Enterprise support/policy packs</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Provider adapters</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Bundled + community</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Verified enterprise packs</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Hosted one-shot tests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Limited</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Higher hosted quotas if abuse economics support it</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Team governance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Private deployment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Community possible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Enterprise support</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Secret-manager integration</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 default</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Enterprise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Scheduled monitoring</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 MVP</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Possible only with separate secret-management architecture</w:t>
            </w:r>
          </w:p>
        </w:tc>
      </w:tr>
    </w:tbl>
    <w:p>
      <w:pPr>
        <w:pStyle w:val="Heading2"/>
        <w:spacing w:before="180" w:after="80"/>
      </w:pPr>
      <w:r>
        <w:t>31.3 Monitoring rule</w:t>
      </w:r>
    </w:p>
    <w:p>
      <w:pPr>
        <w:spacing w:after="100" w:line="252" w:lineRule="auto"/>
      </w:pPr>
      <w:r>
        <w:rPr>
          <w:rFonts w:ascii="Aptos" w:hAnsi="Aptos"/>
          <w:color w:val="243342"/>
          <w:sz w:val="18"/>
        </w:rPr>
        <w:t>Scheduled monitoring must not quietly introduce a hosted credential vault. The preferred architecture is a customer-controlled runner or user-owned secret manager. A separate ADR must define credential ownership, encryption, rotation, access control, retention, auditability and incident response before implementation.</w:t>
      </w:r>
    </w:p>
    <w:p>
      <w:pPr>
        <w:pStyle w:val="Heading1"/>
        <w:spacing w:before="240" w:after="120"/>
      </w:pPr>
      <w:r>
        <w:t>32. Risk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Risk</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Severity</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Mitigation / acceptance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Credential exposure in hosted mode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Critical</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Local-first CLI, explicit hosted disclosure, no persistence, R0/R1 restriction.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Credential liveness-oracle abuse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Critical</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 batch, provider+intent selection, Turnstile, source limits, provider admission budget, minimal output.</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Manifest exfiltration</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Critical</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Bundled manifests, header-only hosted secrets, immutable host/auth policy, schema validation.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SSRF / redirect leakage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Critical</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Exact-host hosted policy, HTTPS, no IP/userinfo/ports, manual redirects.</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False diagnosis</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Provider-code-first, evidence provenance, deterministic aggregation, INCONCLUSIVE fallback.</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Cloudflare free-limit exhaustion</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Admission budgets, small body caps, CLI fallback, usage monitoring.</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Provider drift</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High</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Fixtures, invalid-key canaries where approved, `verifiedOn`, lifecycle and kill switch.</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Supply-chain compromise</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Pinned Actions, provenance, signatures/checksums, SBOM, protected release.</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Privacy/regulatory change</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Medium</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Short retention, explicit notice, release-time legal recheck.</w:t>
            </w:r>
          </w:p>
        </w:tc>
      </w:tr>
      <w:tr>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Scope explosion</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High</w:t>
            </w:r>
          </w:p>
        </w:tc>
        <w:tc>
          <w:tcPr>
            <w:tcW w:type="dxa" w:w="3331"/>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Seven-provider MVP and five intents locked; expansion requires evidence and ADR.</w:t>
            </w:r>
          </w:p>
        </w:tc>
      </w:tr>
      <w:tr>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Weak product differentiation</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Medium</w:t>
            </w:r>
          </w:p>
        </w:tc>
        <w:tc>
          <w:tcPr>
            <w:tcW w:type="dxa" w:w="3331"/>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Compete on intent-aware diagnostics, local-first trust and evidence semantics; validate with experiments.</w:t>
            </w:r>
          </w:p>
        </w:tc>
      </w:tr>
    </w:tbl>
    <w:p>
      <w:pPr>
        <w:pStyle w:val="Heading1"/>
        <w:spacing w:before="240" w:after="120"/>
      </w:pPr>
      <w:r>
        <w:t>33. Acceptance Criteria &amp; Launch Gate</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4"/>
              </w:rPr>
            </w:r>
            <w:r>
              <w:rPr>
                <w:rFonts w:ascii="Aptos" w:hAnsi="Aptos"/>
                <w:b/>
                <w:color w:val="FFFFFF"/>
                <w:sz w:val="14"/>
              </w:rPr>
              <w:t>Gate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4"/>
              </w:rPr>
            </w:r>
            <w:r>
              <w:rPr>
                <w:rFonts w:ascii="Aptos" w:hAnsi="Aptos"/>
                <w:b/>
                <w:color w:val="FFFFFF"/>
                <w:sz w:val="14"/>
              </w:rPr>
              <w:t>Pass condition</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Canonical contracts</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Repository schemas are authoritative; generated types and docs have one source of truth.</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Auth union consistency</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Every declared auth method is representable; MVP runtime supports only API_KEY/BEARER_TOKEN.</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Intent validation</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Invalid/extra/missing parameters are rejected before secret materialization.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ProbePlan</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DAG validation, max 4 steps, max 4 provider calls, bounded timeouts.</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Manifest security</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Schema validation, inheritance rules, matcher conflict rules and runtime revalidation pass.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Policy matrix</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All 128 combinations evaluated in automated tests; default-deny behavior verified.</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Aggregation</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All DiagnosticStatus values have default overall mapping; ABORTED is defined.</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Security headers</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CSP, HSTS, nosniff, no-referrer, Permissions-Policy, frame-ancestors none and no-store are verified in E2E.</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CORS / origin</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Credential test endpoint rejects unexpected browser origins and arbitrary CORS.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Turnstile</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Server-side Siteverify validates token success/hostname/action.</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Redaction</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No exact/derived secret appears in output, telemetry, logs, snapshots or snippets.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CLI</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No secret argv; exact exit codes; `.env` safe parsing; no default telemetry/update checks.</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Cloudflare state</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DO admission and provider budget behavior tested with free-tier-aware load tests.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Provider capability</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Capability matrix is generated from manifests, not manually maintained.</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Provider fixtures</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All expected diagnostic states have fixtures, including HTML/WAF responses.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Provider kill switch</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Disabled adapter is rejected before credential materialization.</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Incident response</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Runbook exists and can disable hosted tests.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Accessibility</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WCAG 2.2 AA core-flow keyboard/focus/label/screen-reader smoke tests pass.</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Performance</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Hosted pre-provider p95 &lt;300 ms in controlled conditions; total hard budget &lt;=8 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Legal</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Terms, Privacy, Responsible Use and Responsible Disclosure pages are live.</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Supply chain</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Trusted publishing/provenance/signing/checksum/SBOM gates configured.</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Market validation</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Phase 0–1 interviews and CLI experiment meet the predefined thresholds or result in explicit pivot/stop decision.</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color w:val="243342"/>
                <w:sz w:val="14"/>
              </w:rPr>
              <w:t>Origin/CORS</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Unexpected browser origins rejected; credential-test CORS deny-by-default.</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color w:val="243342"/>
                <w:sz w:val="14"/>
              </w:rPr>
              <w:t>Idempotency</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Duplicate Idempotency-Key cannot cause duplicate provider execution within the dedupe window.</w:t>
            </w:r>
          </w:p>
        </w:tc>
      </w:tr>
      <w:tr>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color w:val="243342"/>
                <w:sz w:val="14"/>
              </w:rPr>
              <w:t>Threat model</w:t>
            </w:r>
          </w:p>
        </w:tc>
        <w:tc>
          <w:tcPr>
            <w:tcW w:type="dxa" w:w="4997"/>
            <w:vAlign w:val="center"/>
            <w:tcMar>
              <w:top w:w="70" w:type="dxa"/>
              <w:start w:w="70" w:type="dxa"/>
              <w:bottom w:w="70" w:type="dxa"/>
              <w:end w:w="70" w:type="dxa"/>
            </w:tcMar>
          </w:tcPr>
          <w:p>
            <w:pPr>
              <w:spacing w:after="0" w:before="0"/>
            </w:pPr>
            <w:r>
              <w:rPr>
                <w:rFonts w:ascii="Aptos" w:hAnsi="Aptos"/>
                <w:sz w:val="14"/>
              </w:rPr>
            </w:r>
            <w:r>
              <w:rPr>
                <w:rFonts w:ascii="Aptos" w:hAnsi="Aptos"/>
                <w:b w:val="0"/>
                <w:color w:val="243342"/>
                <w:sz w:val="14"/>
              </w:rPr>
              <w:t>STRIDE/abuse-case review completed and tracked against assets/trust boundaries.</w:t>
            </w:r>
          </w:p>
        </w:tc>
      </w:tr>
      <w:tr>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color w:val="243342"/>
                <w:sz w:val="14"/>
              </w:rPr>
              <w:t>External security review</w:t>
            </w:r>
          </w:p>
        </w:tc>
        <w:tc>
          <w:tcPr>
            <w:tcW w:type="dxa" w:w="4997"/>
            <w:vAlign w:val="center"/>
            <w:tcMar>
              <w:top w:w="70" w:type="dxa"/>
              <w:start w:w="70" w:type="dxa"/>
              <w:bottom w:w="70" w:type="dxa"/>
              <w:end w:w="70" w:type="dxa"/>
            </w:tcMar>
            <w:shd w:fill="F7FAFC"/>
          </w:tcPr>
          <w:p>
            <w:pPr>
              <w:spacing w:after="0" w:before="0"/>
            </w:pPr>
            <w:r>
              <w:rPr>
                <w:rFonts w:ascii="Aptos" w:hAnsi="Aptos"/>
                <w:sz w:val="14"/>
              </w:rPr>
            </w:r>
            <w:r>
              <w:rPr>
                <w:rFonts w:ascii="Aptos" w:hAnsi="Aptos"/>
                <w:b w:val="0"/>
                <w:color w:val="243342"/>
                <w:sz w:val="14"/>
              </w:rPr>
              <w:t>Pre-public hosted launch receives manual security review and independent penetration testing where feasible.</w:t>
            </w:r>
          </w:p>
        </w:tc>
      </w:tr>
      <w:tr>
        <w:tc>
          <w:tcPr>
            <w:tcW w:type="dxa" w:w="4997"/>
            <w:tcMar>
              <w:top w:w="85" w:type="dxa"/>
              <w:start w:w="95" w:type="dxa"/>
              <w:bottom w:w="85" w:type="dxa"/>
              <w:end w:w="95" w:type="dxa"/>
            </w:tcMar>
            <w:shd w:fill="F5F8FB"/>
          </w:tcPr>
          <w:p>
            <w:pPr>
              <w:spacing w:after="0"/>
            </w:pPr>
            <w:r>
              <w:rPr>
                <w:sz w:val="17"/>
              </w:rPr>
              <w:t>Persistence model</w:t>
            </w:r>
          </w:p>
        </w:tc>
        <w:tc>
          <w:tcPr>
            <w:tcW w:type="dxa" w:w="4997"/>
            <w:tcMar>
              <w:top w:w="85" w:type="dxa"/>
              <w:start w:w="95" w:type="dxa"/>
              <w:bottom w:w="85" w:type="dxa"/>
              <w:end w:w="95" w:type="dxa"/>
            </w:tcMar>
            <w:shd w:fill="F5F8FB"/>
          </w:tcPr>
          <w:p>
            <w:pPr>
              <w:spacing w:after="0"/>
            </w:pPr>
            <w:r>
              <w:rPr>
                <w:sz w:val="17"/>
              </w:rPr>
              <w:t>No durable credentials or run history; Durable Object rows are pseudonymous, bounded by TTL and exclude raw provider payloads.</w:t>
            </w:r>
          </w:p>
        </w:tc>
      </w:tr>
      <w:tr>
        <w:tc>
          <w:tcPr>
            <w:tcW w:type="dxa" w:w="4997"/>
            <w:tcMar>
              <w:top w:w="85" w:type="dxa"/>
              <w:start w:w="95" w:type="dxa"/>
              <w:bottom w:w="85" w:type="dxa"/>
              <w:end w:w="95" w:type="dxa"/>
            </w:tcMar>
          </w:tcPr>
          <w:p>
            <w:pPr>
              <w:spacing w:after="0"/>
            </w:pPr>
            <w:r>
              <w:rPr>
                <w:sz w:val="17"/>
              </w:rPr>
              <w:t>Integration inventory</w:t>
            </w:r>
          </w:p>
        </w:tc>
        <w:tc>
          <w:tcPr>
            <w:tcW w:type="dxa" w:w="4997"/>
            <w:tcMar>
              <w:top w:w="85" w:type="dxa"/>
              <w:start w:w="95" w:type="dxa"/>
              <w:bottom w:w="85" w:type="dxa"/>
              <w:end w:w="95" w:type="dxa"/>
            </w:tcMar>
          </w:tcPr>
          <w:p>
            <w:pPr>
              <w:spacing w:after="0"/>
            </w:pPr>
            <w:r>
              <w:rPr>
                <w:sz w:val="17"/>
              </w:rPr>
              <w:t>Email, end-user identity provider, diagnosis LLM and hosted file/object storage are absent from MVP runtime dependencies.</w:t>
            </w:r>
          </w:p>
        </w:tc>
      </w:tr>
      <w:tr>
        <w:tc>
          <w:tcPr>
            <w:tcW w:type="dxa" w:w="4997"/>
            <w:tcMar>
              <w:top w:w="85" w:type="dxa"/>
              <w:start w:w="95" w:type="dxa"/>
              <w:bottom w:w="85" w:type="dxa"/>
              <w:end w:w="95" w:type="dxa"/>
            </w:tcMar>
            <w:shd w:fill="F5F8FB"/>
          </w:tcPr>
          <w:p>
            <w:pPr>
              <w:spacing w:after="0"/>
            </w:pPr>
            <w:r>
              <w:rPr>
                <w:sz w:val="17"/>
              </w:rPr>
              <w:t>Architecture boundaries</w:t>
            </w:r>
          </w:p>
        </w:tc>
        <w:tc>
          <w:tcPr>
            <w:tcW w:type="dxa" w:w="4997"/>
            <w:tcMar>
              <w:top w:w="85" w:type="dxa"/>
              <w:start w:w="95" w:type="dxa"/>
              <w:bottom w:w="85" w:type="dxa"/>
              <w:end w:w="95" w:type="dxa"/>
            </w:tcMar>
            <w:shd w:fill="F5F8FB"/>
          </w:tcPr>
          <w:p>
            <w:pPr>
              <w:spacing w:after="0"/>
            </w:pPr>
            <w:r>
              <w:rPr>
                <w:sz w:val="17"/>
              </w:rPr>
              <w:t>Web/Worker/CLI share the core; every provider network call is proven to pass through ControlledFetch.</w:t>
            </w:r>
          </w:p>
        </w:tc>
      </w:tr>
      <w:tr>
        <w:tc>
          <w:tcPr>
            <w:tcW w:type="dxa" w:w="4997"/>
            <w:tcMar>
              <w:top w:w="85" w:type="dxa"/>
              <w:start w:w="95" w:type="dxa"/>
              <w:bottom w:w="85" w:type="dxa"/>
              <w:end w:w="95" w:type="dxa"/>
            </w:tcMar>
          </w:tcPr>
          <w:p>
            <w:pPr>
              <w:spacing w:after="0"/>
            </w:pPr>
            <w:r>
              <w:rPr>
                <w:sz w:val="17"/>
              </w:rPr>
              <w:t>Database constraints</w:t>
            </w:r>
          </w:p>
        </w:tc>
        <w:tc>
          <w:tcPr>
            <w:tcW w:type="dxa" w:w="4997"/>
            <w:tcMar>
              <w:top w:w="85" w:type="dxa"/>
              <w:start w:w="95" w:type="dxa"/>
              <w:bottom w:w="85" w:type="dxa"/>
              <w:end w:w="95" w:type="dxa"/>
            </w:tcMar>
          </w:tcPr>
          <w:p>
            <w:pPr>
              <w:spacing w:after="0"/>
            </w:pPr>
            <w:r>
              <w:rPr>
                <w:sz w:val="17"/>
              </w:rPr>
              <w:t>Admission counters update atomically; primary keys, non-negative checks, expiry indexes and duplicate-admission behavior are tested.</w:t>
            </w:r>
          </w:p>
        </w:tc>
      </w:tr>
      <w:tr>
        <w:tc>
          <w:tcPr>
            <w:tcW w:type="dxa" w:w="4997"/>
            <w:tcMar>
              <w:top w:w="85" w:type="dxa"/>
              <w:start w:w="95" w:type="dxa"/>
              <w:bottom w:w="85" w:type="dxa"/>
              <w:end w:w="95" w:type="dxa"/>
            </w:tcMar>
            <w:shd w:fill="F5F8FB"/>
          </w:tcPr>
          <w:p>
            <w:pPr>
              <w:spacing w:after="0"/>
            </w:pPr>
            <w:r>
              <w:rPr>
                <w:sz w:val="17"/>
              </w:rPr>
              <w:t>Coding standards</w:t>
            </w:r>
          </w:p>
        </w:tc>
        <w:tc>
          <w:tcPr>
            <w:tcW w:type="dxa" w:w="4997"/>
            <w:tcMar>
              <w:top w:w="85" w:type="dxa"/>
              <w:start w:w="95" w:type="dxa"/>
              <w:bottom w:w="85" w:type="dxa"/>
              <w:end w:w="95" w:type="dxa"/>
            </w:tcMar>
            <w:shd w:fill="F5F8FB"/>
          </w:tcPr>
          <w:p>
            <w:pPr>
              <w:spacing w:after="0"/>
            </w:pPr>
            <w:r>
              <w:rPr>
                <w:sz w:val="17"/>
              </w:rPr>
              <w:t>Strict TypeScript, schema-first runtime validation, generated capability catalog and reusable accessible UI components are CI-enforced.</w:t>
            </w:r>
          </w:p>
        </w:tc>
      </w:tr>
    </w:tbl>
    <w:p>
      <w:pPr>
        <w:pStyle w:val="Heading1"/>
        <w:spacing w:before="240" w:after="120"/>
      </w:pPr>
      <w:r>
        <w:t>34. Architecture Decision Records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ADR</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Decision</w:t>
            </w:r>
          </w:p>
        </w:tc>
        <w:tc>
          <w:tcPr>
            <w:tcW w:type="dxa" w:w="3331"/>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Rationale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ADR-001</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Local CLI/shared core is P0</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Strongest trust boundary is local execution; web is convenience.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ADR-002</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processing is explicit</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TLS termination means hosted path is not secret-blind.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ADR-003</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Credential risk is static metadata</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Privilege cannot be reliably inferred before provider response.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ADR-004</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Cost/side-effect/risk/mode are independent axes</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Avoid conflating safe credentials with safe probes.</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ADR-005</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IntentSpec is separate from TestRequest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Goals are reusable; request parameters are request-time data.</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ADR-006</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ProbePlan is bounded multi-step; Manifest v1 is single-step</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Supports OAuth/SigV4 later without turning manifests into an orchestration language.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ADR-007</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Manifest-first adapters</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Common provider behavior belongs in safe configuration.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ADR-008</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secrets are header-only</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Avoid URLs/bodies; unusual auth slots are local-only unless reviewed.</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ADR-009</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Controlled fetch gateway</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One network policy prevents adapters from bypassing SSRF/redirect/header controls.</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ADR-010</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Provider-code-first classification</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HTTP status is fallback, not semantic truth.</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ADR-011</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 health is separate</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Upstream status cannot independently prove credential failure.</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ADR-012</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No credential DB in MVP</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Minimize breach impact and operational complexity.</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ADR-013</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No direct-browser trust mode</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Browser-delivered JavaScript is not equivalent to locally verified execution.</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ADR-014</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Durable Objects for hosted admission</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Accurate coordinated limits are needed; KV is not the hot-path limiter.</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ADR-015</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Workers Cache for public status</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Status responses are public/cached and should not create hot KV writes.</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ADR-016</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No provider SDKs in execution path</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Fetch gateway controls retries/logging/headers and preserves portability.</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ADR-017</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No live credentials in untrusted CI</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Fixtures/canaries instead of secrets in forks/PRs.</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ADR-018</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Monitoring requires separate secret-management ADR</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Scheduling is a different trust architecture.</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ADR-019</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Policy matrix is total and default-deny</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All 128 combinations must resolve deterministically.</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ADR-020</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Manifest inheritance is non-widening</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Child manifests cannot weaken parent security policy.</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ADR-021</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Evidence is allowlisted, not raw</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Structured evidence minimizes disclosure risk.</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ADR-022</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 admission budget counts attempts</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One pre/post write pair is unnecessary in the Worker hot path.</w:t>
            </w:r>
          </w:p>
        </w:tc>
      </w:tr>
      <w:tr>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ADR-023</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GitHub is R2/local-first</w:t>
            </w:r>
          </w:p>
        </w:tc>
        <w:tc>
          <w:tcPr>
            <w:tcW w:type="dxa" w:w="3331"/>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Source-code credentials have meaningful blast radius.</w:t>
            </w:r>
          </w:p>
        </w:tc>
      </w:tr>
      <w:tr>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ADR-024</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CLI precedes hosted rollout</w:t>
            </w:r>
          </w:p>
        </w:tc>
        <w:tc>
          <w:tcPr>
            <w:tcW w:type="dxa" w:w="3331"/>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Prove core semantics before public credential handling.</w:t>
            </w:r>
          </w:p>
        </w:tc>
      </w:tr>
    </w:tbl>
    <w:p>
      <w:r>
        <w:br w:type="page"/>
      </w:r>
    </w:p>
    <w:p>
      <w:pPr>
        <w:pStyle w:val="Heading1"/>
        <w:spacing w:before="240" w:after="120"/>
      </w:pPr>
      <w:r>
        <w:rPr>
          <w:rFonts w:ascii="Aptos Display" w:hAnsi="Aptos Display"/>
          <w:color w:val="17324D"/>
        </w:rPr>
        <w:t>Appendix A. Canonical TypeScript Contracts</w:t>
      </w:r>
    </w:p>
    <w:p>
      <w:pPr>
        <w:spacing w:after="100" w:line="252" w:lineRule="auto"/>
      </w:pPr>
      <w:r>
        <w:rPr>
          <w:rFonts w:ascii="Aptos" w:hAnsi="Aptos"/>
          <w:color w:val="243342"/>
          <w:sz w:val="18"/>
        </w:rPr>
        <w:t>These contracts are illustrative documentation generated from the intended repository schema. In implementation, Zod/runtime schemas are the executable authority; generated TypeScript is derived from them.</w:t>
      </w:r>
    </w:p>
    <w:tbl>
      <w:tblPr>
        <w:tblW w:type="auto" w:w="0"/>
        <w:tblLook w:firstColumn="1" w:firstRow="1" w:lastColumn="0" w:lastRow="0" w:noHBand="0" w:noVBand="1" w:val="04A0"/>
      </w:tblPr>
      <w:tblGrid>
        <w:gridCol w:w="9994"/>
      </w:tblGrid>
      <w:tr>
        <w:tc>
          <w:tcPr>
            <w:shd w:fill="F5F7F9"/>
          </w:tcPr>
          <w:p>
            <w:r>
              <w:rPr>
                <w:rFonts w:ascii="Consolas" w:hAnsi="Consolas"/>
                <w:sz w:val="12"/>
              </w:rPr>
              <w:t>type CredentialRisk = "R0" | "R1" | "R2" | "R3";</w:t>
            </w:r>
            <w:r>
              <w:br/>
            </w:r>
            <w:r>
              <w:rPr>
                <w:rFonts w:ascii="Consolas" w:hAnsi="Consolas"/>
                <w:sz w:val="12"/>
              </w:rPr>
              <w:t>type CostClass = "FREE" | "LOW" | "POSSIBLE_CHARGE" | "HIGH_CHARGE";</w:t>
            </w:r>
            <w:r>
              <w:br/>
            </w:r>
            <w:r>
              <w:rPr>
                <w:rFonts w:ascii="Consolas" w:hAnsi="Consolas"/>
                <w:sz w:val="12"/>
              </w:rPr>
              <w:t>type SideEffectClass =</w:t>
            </w:r>
            <w:r>
              <w:br/>
            </w:r>
            <w:r>
              <w:rPr>
                <w:rFonts w:ascii="Consolas" w:hAnsi="Consolas"/>
                <w:sz w:val="12"/>
              </w:rPr>
              <w:t>  | "NONE" | "READ_ONLY" | "SANDBOX_MUTATION" | "REAL_WORLD_MUTATION";</w:t>
            </w:r>
            <w:r>
              <w:br/>
            </w:r>
            <w:r>
              <w:rPr>
                <w:rFonts w:ascii="Consolas" w:hAnsi="Consolas"/>
                <w:sz w:val="12"/>
              </w:rPr>
              <w:t>type ExecutionMode = "HOSTED" | "LOCAL";</w:t>
            </w:r>
            <w:r>
              <w:br/>
            </w:r>
            <w:r>
              <w:rPr>
                <w:rFonts w:ascii="Consolas" w:hAnsi="Consolas"/>
                <w:sz w:val="12"/>
              </w:rPr>
              <w:t>type EvidenceStrength = "HIGH" | "MEDIUM" | "LOW";</w:t>
            </w:r>
            <w:r>
              <w:br/>
            </w:r>
            <w:r>
              <w:rPr>
                <w:rFonts w:ascii="Consolas" w:hAnsi="Consolas"/>
                <w:sz w:val="12"/>
              </w:rPr>
              <w:t/>
            </w:r>
            <w:r>
              <w:br/>
            </w:r>
            <w:r>
              <w:rPr>
                <w:rFonts w:ascii="Consolas" w:hAnsi="Consolas"/>
                <w:sz w:val="12"/>
              </w:rPr>
              <w:t>type AuthMethod =</w:t>
            </w:r>
            <w:r>
              <w:br/>
            </w:r>
            <w:r>
              <w:rPr>
                <w:rFonts w:ascii="Consolas" w:hAnsi="Consolas"/>
                <w:sz w:val="12"/>
              </w:rPr>
              <w:t>  | "API_KEY"</w:t>
            </w:r>
            <w:r>
              <w:br/>
            </w:r>
            <w:r>
              <w:rPr>
                <w:rFonts w:ascii="Consolas" w:hAnsi="Consolas"/>
                <w:sz w:val="12"/>
              </w:rPr>
              <w:t>  | "BEARER_TOKEN"</w:t>
            </w:r>
            <w:r>
              <w:br/>
            </w:r>
            <w:r>
              <w:rPr>
                <w:rFonts w:ascii="Consolas" w:hAnsi="Consolas"/>
                <w:sz w:val="12"/>
              </w:rPr>
              <w:t>  | "BASIC_AUTH"</w:t>
            </w:r>
            <w:r>
              <w:br/>
            </w:r>
            <w:r>
              <w:rPr>
                <w:rFonts w:ascii="Consolas" w:hAnsi="Consolas"/>
                <w:sz w:val="12"/>
              </w:rPr>
              <w:t>  | "OAUTH2_ACCESS_TOKEN"</w:t>
            </w:r>
            <w:r>
              <w:br/>
            </w:r>
            <w:r>
              <w:rPr>
                <w:rFonts w:ascii="Consolas" w:hAnsi="Consolas"/>
                <w:sz w:val="12"/>
              </w:rPr>
              <w:t>  | "OAUTH2_CLIENT_CREDENTIALS"</w:t>
            </w:r>
            <w:r>
              <w:br/>
            </w:r>
            <w:r>
              <w:rPr>
                <w:rFonts w:ascii="Consolas" w:hAnsi="Consolas"/>
                <w:sz w:val="12"/>
              </w:rPr>
              <w:t>  | "AWS_SIGV4"</w:t>
            </w:r>
            <w:r>
              <w:br/>
            </w:r>
            <w:r>
              <w:rPr>
                <w:rFonts w:ascii="Consolas" w:hAnsi="Consolas"/>
                <w:sz w:val="12"/>
              </w:rPr>
              <w:t>  | "HMAC"</w:t>
            </w:r>
            <w:r>
              <w:br/>
            </w:r>
            <w:r>
              <w:rPr>
                <w:rFonts w:ascii="Consolas" w:hAnsi="Consolas"/>
                <w:sz w:val="12"/>
              </w:rPr>
              <w:t>  | "GCP_SERVICE_ACCOUNT"</w:t>
            </w:r>
            <w:r>
              <w:br/>
            </w:r>
            <w:r>
              <w:rPr>
                <w:rFonts w:ascii="Consolas" w:hAnsi="Consolas"/>
                <w:sz w:val="12"/>
              </w:rPr>
              <w:t>  | "AZURE_API_KEY"</w:t>
            </w:r>
            <w:r>
              <w:br/>
            </w:r>
            <w:r>
              <w:rPr>
                <w:rFonts w:ascii="Consolas" w:hAnsi="Consolas"/>
                <w:sz w:val="12"/>
              </w:rPr>
              <w:t>  | "CONNECTION_URI_LOCAL_ONLY";</w:t>
            </w:r>
            <w:r>
              <w:br/>
            </w:r>
            <w:r>
              <w:rPr>
                <w:rFonts w:ascii="Consolas" w:hAnsi="Consolas"/>
                <w:sz w:val="12"/>
              </w:rPr>
              <w:t/>
            </w:r>
            <w:r>
              <w:br/>
            </w:r>
            <w:r>
              <w:rPr>
                <w:rFonts w:ascii="Consolas" w:hAnsi="Consolas"/>
                <w:sz w:val="12"/>
              </w:rPr>
              <w:t>type Secret = string &amp; { readonly __secret: unique symbol };</w:t>
            </w:r>
            <w:r>
              <w:br/>
            </w:r>
            <w:r>
              <w:rPr>
                <w:rFonts w:ascii="Consolas" w:hAnsi="Consolas"/>
                <w:sz w:val="12"/>
              </w:rPr>
              <w:t/>
            </w:r>
            <w:r>
              <w:br/>
            </w:r>
            <w:r>
              <w:rPr>
                <w:rFonts w:ascii="Consolas" w:hAnsi="Consolas"/>
                <w:sz w:val="12"/>
              </w:rPr>
              <w:t>type CredentialInput =</w:t>
            </w:r>
            <w:r>
              <w:br/>
            </w:r>
            <w:r>
              <w:rPr>
                <w:rFonts w:ascii="Consolas" w:hAnsi="Consolas"/>
                <w:sz w:val="12"/>
              </w:rPr>
              <w:t>  | { method: "API_KEY"; fields: { apiKey: Secret } }</w:t>
            </w:r>
            <w:r>
              <w:br/>
            </w:r>
            <w:r>
              <w:rPr>
                <w:rFonts w:ascii="Consolas" w:hAnsi="Consolas"/>
                <w:sz w:val="12"/>
              </w:rPr>
              <w:t>  | { method: "BEARER_TOKEN"; fields: { token: Secret } }</w:t>
            </w:r>
            <w:r>
              <w:br/>
            </w:r>
            <w:r>
              <w:rPr>
                <w:rFonts w:ascii="Consolas" w:hAnsi="Consolas"/>
                <w:sz w:val="12"/>
              </w:rPr>
              <w:t>  | { method: "BASIC_AUTH"; fields: { username: Secret; password: Secret } }</w:t>
            </w:r>
            <w:r>
              <w:br/>
            </w:r>
            <w:r>
              <w:rPr>
                <w:rFonts w:ascii="Consolas" w:hAnsi="Consolas"/>
                <w:sz w:val="12"/>
              </w:rPr>
              <w:t>  | { method: "OAUTH2_ACCESS_TOKEN"; fields: { accessToken: Secret } }</w:t>
            </w:r>
            <w:r>
              <w:br/>
            </w:r>
            <w:r>
              <w:rPr>
                <w:rFonts w:ascii="Consolas" w:hAnsi="Consolas"/>
                <w:sz w:val="12"/>
              </w:rPr>
              <w:t>  | { method: "OAUTH2_CLIENT_CREDENTIALS";</w:t>
            </w:r>
            <w:r>
              <w:br/>
            </w:r>
            <w:r>
              <w:rPr>
                <w:rFonts w:ascii="Consolas" w:hAnsi="Consolas"/>
                <w:sz w:val="12"/>
              </w:rPr>
              <w:t>      fields: { tenantId?: string; clientId: string; clientSecret: Secret; scope: string } }</w:t>
            </w:r>
            <w:r>
              <w:br/>
            </w:r>
            <w:r>
              <w:rPr>
                <w:rFonts w:ascii="Consolas" w:hAnsi="Consolas"/>
                <w:sz w:val="12"/>
              </w:rPr>
              <w:t>  | { method: "AWS_SIGV4";</w:t>
            </w:r>
            <w:r>
              <w:br/>
            </w:r>
            <w:r>
              <w:rPr>
                <w:rFonts w:ascii="Consolas" w:hAnsi="Consolas"/>
                <w:sz w:val="12"/>
              </w:rPr>
              <w:t>      fields: { accessKeyId: Secret; secretAccessKey: Secret; sessionToken?: Secret } }</w:t>
            </w:r>
            <w:r>
              <w:br/>
            </w:r>
            <w:r>
              <w:rPr>
                <w:rFonts w:ascii="Consolas" w:hAnsi="Consolas"/>
                <w:sz w:val="12"/>
              </w:rPr>
              <w:t>  | { method: "HMAC"; fields: { accessId: Secret; secret: Secret } }</w:t>
            </w:r>
            <w:r>
              <w:br/>
            </w:r>
            <w:r>
              <w:rPr>
                <w:rFonts w:ascii="Consolas" w:hAnsi="Consolas"/>
                <w:sz w:val="12"/>
              </w:rPr>
              <w:t>  | { method: "GCP_SERVICE_ACCOUNT"; fields: { serviceAccountJson: Secret } }</w:t>
            </w:r>
            <w:r>
              <w:br/>
            </w:r>
            <w:r>
              <w:rPr>
                <w:rFonts w:ascii="Consolas" w:hAnsi="Consolas"/>
                <w:sz w:val="12"/>
              </w:rPr>
              <w:t>  | { method: "AZURE_API_KEY"; fields: { apiKey: Secret } }</w:t>
            </w:r>
            <w:r>
              <w:br/>
            </w:r>
            <w:r>
              <w:rPr>
                <w:rFonts w:ascii="Consolas" w:hAnsi="Consolas"/>
                <w:sz w:val="12"/>
              </w:rPr>
              <w:t>  | { method: "CONNECTION_URI_LOCAL_ONLY"; fields: { connectionUri: Secret } };</w:t>
            </w:r>
            <w:r>
              <w:br/>
            </w:r>
            <w:r>
              <w:rPr>
                <w:rFonts w:ascii="Consolas" w:hAnsi="Consolas"/>
                <w:sz w:val="12"/>
              </w:rPr>
              <w:t/>
            </w:r>
            <w:r>
              <w:br/>
            </w:r>
            <w:r>
              <w:rPr>
                <w:rFonts w:ascii="Consolas" w:hAnsi="Consolas"/>
                <w:sz w:val="12"/>
              </w:rPr>
              <w:t>type TargetContext = {</w:t>
            </w:r>
            <w:r>
              <w:br/>
            </w:r>
            <w:r>
              <w:rPr>
                <w:rFonts w:ascii="Consolas" w:hAnsi="Consolas"/>
                <w:sz w:val="12"/>
              </w:rPr>
              <w:t>  endpoint?: string;</w:t>
            </w:r>
            <w:r>
              <w:br/>
            </w:r>
            <w:r>
              <w:rPr>
                <w:rFonts w:ascii="Consolas" w:hAnsi="Consolas"/>
                <w:sz w:val="12"/>
              </w:rPr>
              <w:t>  region?: string;</w:t>
            </w:r>
            <w:r>
              <w:br/>
            </w:r>
            <w:r>
              <w:rPr>
                <w:rFonts w:ascii="Consolas" w:hAnsi="Consolas"/>
                <w:sz w:val="12"/>
              </w:rPr>
              <w:t>  projectId?: string;</w:t>
            </w:r>
            <w:r>
              <w:br/>
            </w:r>
            <w:r>
              <w:rPr>
                <w:rFonts w:ascii="Consolas" w:hAnsi="Consolas"/>
                <w:sz w:val="12"/>
              </w:rPr>
              <w:t>  deployment?: string;</w:t>
            </w:r>
            <w:r>
              <w:br/>
            </w:r>
            <w:r>
              <w:rPr>
                <w:rFonts w:ascii="Consolas" w:hAnsi="Consolas"/>
                <w:sz w:val="12"/>
              </w:rPr>
              <w:t>  model?: string;</w:t>
            </w:r>
            <w:r>
              <w:br/>
            </w:r>
            <w:r>
              <w:rPr>
                <w:rFonts w:ascii="Consolas" w:hAnsi="Consolas"/>
                <w:sz w:val="12"/>
              </w:rPr>
              <w:t>  resource?: string;</w:t>
            </w:r>
            <w:r>
              <w:br/>
            </w:r>
            <w:r>
              <w:rPr>
                <w:rFonts w:ascii="Consolas" w:hAnsi="Consolas"/>
                <w:sz w:val="12"/>
              </w:rPr>
              <w:t>  apiVersion?: string;</w:t>
            </w:r>
            <w:r>
              <w:br/>
            </w:r>
            <w:r>
              <w:rPr>
                <w:rFonts w:ascii="Consolas" w:hAnsi="Consolas"/>
                <w:sz w:val="12"/>
              </w:rPr>
              <w:t>  service?: string;</w:t>
            </w:r>
            <w:r>
              <w:br/>
            </w:r>
            <w:r>
              <w:rPr>
                <w:rFonts w:ascii="Consolas" w:hAnsi="Consolas"/>
                <w:sz w:val="12"/>
              </w:rPr>
              <w:t>};</w:t>
            </w:r>
            <w:r>
              <w:br/>
            </w:r>
            <w:r>
              <w:rPr>
                <w:rFonts w:ascii="Consolas" w:hAnsi="Consolas"/>
                <w:sz w:val="12"/>
              </w:rPr>
              <w:t/>
            </w:r>
            <w:r>
              <w:br/>
            </w:r>
            <w:r>
              <w:rPr>
                <w:rFonts w:ascii="Consolas" w:hAnsi="Consolas"/>
                <w:sz w:val="12"/>
              </w:rPr>
              <w:t>type IntentSpec = {</w:t>
            </w:r>
            <w:r>
              <w:br/>
            </w:r>
            <w:r>
              <w:rPr>
                <w:rFonts w:ascii="Consolas" w:hAnsi="Consolas"/>
                <w:sz w:val="12"/>
              </w:rPr>
              <w:t>  intentId: string;</w:t>
            </w:r>
            <w:r>
              <w:br/>
            </w:r>
            <w:r>
              <w:rPr>
                <w:rFonts w:ascii="Consolas" w:hAnsi="Consolas"/>
                <w:sz w:val="12"/>
              </w:rPr>
              <w:t>  version: string;</w:t>
            </w:r>
            <w:r>
              <w:br/>
            </w:r>
            <w:r>
              <w:rPr>
                <w:rFonts w:ascii="Consolas" w:hAnsi="Consolas"/>
                <w:sz w:val="12"/>
              </w:rPr>
              <w:t>  parameterSchema: object;</w:t>
            </w:r>
            <w:r>
              <w:br/>
            </w:r>
            <w:r>
              <w:rPr>
                <w:rFonts w:ascii="Consolas" w:hAnsi="Consolas"/>
                <w:sz w:val="12"/>
              </w:rPr>
              <w:t>  allowedTargets: string[];</w:t>
            </w:r>
            <w:r>
              <w:br/>
            </w:r>
            <w:r>
              <w:rPr>
                <w:rFonts w:ascii="Consolas" w:hAnsi="Consolas"/>
                <w:sz w:val="12"/>
              </w:rPr>
              <w:t>  defaultCostClass: CostClass;</w:t>
            </w:r>
            <w:r>
              <w:br/>
            </w:r>
            <w:r>
              <w:rPr>
                <w:rFonts w:ascii="Consolas" w:hAnsi="Consolas"/>
                <w:sz w:val="12"/>
              </w:rPr>
              <w:t>  defaultSideEffect: SideEffectClass;</w:t>
            </w:r>
            <w:r>
              <w:br/>
            </w:r>
            <w:r>
              <w:rPr>
                <w:rFonts w:ascii="Consolas" w:hAnsi="Consolas"/>
                <w:sz w:val="12"/>
              </w:rPr>
              <w:t>};</w:t>
            </w:r>
            <w:r>
              <w:br/>
            </w:r>
            <w:r>
              <w:rPr>
                <w:rFonts w:ascii="Consolas" w:hAnsi="Consolas"/>
                <w:sz w:val="12"/>
              </w:rPr>
              <w:t/>
            </w:r>
            <w:r>
              <w:br/>
            </w:r>
            <w:r>
              <w:rPr>
                <w:rFonts w:ascii="Consolas" w:hAnsi="Consolas"/>
                <w:sz w:val="12"/>
              </w:rPr>
              <w:t>type IntentRequest = {</w:t>
            </w:r>
            <w:r>
              <w:br/>
            </w:r>
            <w:r>
              <w:rPr>
                <w:rFonts w:ascii="Consolas" w:hAnsi="Consolas"/>
                <w:sz w:val="12"/>
              </w:rPr>
              <w:t>  intentId: string;</w:t>
            </w:r>
            <w:r>
              <w:br/>
            </w:r>
            <w:r>
              <w:rPr>
                <w:rFonts w:ascii="Consolas" w:hAnsi="Consolas"/>
                <w:sz w:val="12"/>
              </w:rPr>
              <w:t>  params: Record&lt;string, string | number | boolean&gt;;</w:t>
            </w:r>
            <w:r>
              <w:br/>
            </w:r>
            <w:r>
              <w:rPr>
                <w:rFonts w:ascii="Consolas" w:hAnsi="Consolas"/>
                <w:sz w:val="12"/>
              </w:rPr>
              <w:t>};</w:t>
            </w:r>
            <w:r>
              <w:br/>
            </w:r>
            <w:r>
              <w:rPr>
                <w:rFonts w:ascii="Consolas" w:hAnsi="Consolas"/>
                <w:sz w:val="12"/>
              </w:rPr>
              <w:t/>
            </w:r>
            <w:r>
              <w:br/>
            </w:r>
            <w:r>
              <w:rPr>
                <w:rFonts w:ascii="Consolas" w:hAnsi="Consolas"/>
                <w:sz w:val="12"/>
              </w:rPr>
              <w:t>type ExecutionPolicy = {</w:t>
            </w:r>
            <w:r>
              <w:br/>
            </w:r>
            <w:r>
              <w:rPr>
                <w:rFonts w:ascii="Consolas" w:hAnsi="Consolas"/>
                <w:sz w:val="12"/>
              </w:rPr>
              <w:t>  mode: ExecutionMode;</w:t>
            </w:r>
            <w:r>
              <w:br/>
            </w:r>
            <w:r>
              <w:rPr>
                <w:rFonts w:ascii="Consolas" w:hAnsi="Consolas"/>
                <w:sz w:val="12"/>
              </w:rPr>
              <w:t>  credentialRisk: CredentialRisk;</w:t>
            </w:r>
            <w:r>
              <w:br/>
            </w:r>
            <w:r>
              <w:rPr>
                <w:rFonts w:ascii="Consolas" w:hAnsi="Consolas"/>
                <w:sz w:val="12"/>
              </w:rPr>
              <w:t>  costClass: CostClass;</w:t>
            </w:r>
            <w:r>
              <w:br/>
            </w:r>
            <w:r>
              <w:rPr>
                <w:rFonts w:ascii="Consolas" w:hAnsi="Consolas"/>
                <w:sz w:val="12"/>
              </w:rPr>
              <w:t>  sideEffect: SideEffectClass;</w:t>
            </w:r>
            <w:r>
              <w:br/>
            </w:r>
            <w:r>
              <w:rPr>
                <w:rFonts w:ascii="Consolas" w:hAnsi="Consolas"/>
                <w:sz w:val="12"/>
              </w:rPr>
              <w:t>  authorized: boolean;</w:t>
            </w:r>
            <w:r>
              <w:br/>
            </w:r>
            <w:r>
              <w:rPr>
                <w:rFonts w:ascii="Consolas" w:hAnsi="Consolas"/>
                <w:sz w:val="12"/>
              </w:rPr>
              <w:t>  billableAcknowledged?: boolean;</w:t>
            </w:r>
            <w:r>
              <w:br/>
            </w:r>
            <w:r>
              <w:rPr>
                <w:rFonts w:ascii="Consolas" w:hAnsi="Consolas"/>
                <w:sz w:val="12"/>
              </w:rPr>
              <w:t>};</w:t>
            </w:r>
            <w:r>
              <w:br/>
            </w:r>
            <w:r>
              <w:rPr>
                <w:rFonts w:ascii="Consolas" w:hAnsi="Consolas"/>
                <w:sz w:val="12"/>
              </w:rPr>
              <w:t/>
            </w:r>
            <w:r>
              <w:br/>
            </w:r>
            <w:r>
              <w:rPr>
                <w:rFonts w:ascii="Consolas" w:hAnsi="Consolas"/>
                <w:sz w:val="12"/>
              </w:rPr>
              <w:t>type TestRequest = {</w:t>
            </w:r>
            <w:r>
              <w:br/>
            </w:r>
            <w:r>
              <w:rPr>
                <w:rFonts w:ascii="Consolas" w:hAnsi="Consolas"/>
                <w:sz w:val="12"/>
              </w:rPr>
              <w:t>  schemaVersion: "1.0";</w:t>
            </w:r>
            <w:r>
              <w:br/>
            </w:r>
            <w:r>
              <w:rPr>
                <w:rFonts w:ascii="Consolas" w:hAnsi="Consolas"/>
                <w:sz w:val="12"/>
              </w:rPr>
              <w:t>  providerId: string;</w:t>
            </w:r>
            <w:r>
              <w:br/>
            </w:r>
            <w:r>
              <w:rPr>
                <w:rFonts w:ascii="Consolas" w:hAnsi="Consolas"/>
                <w:sz w:val="12"/>
              </w:rPr>
              <w:t>  auth: CredentialInput;</w:t>
            </w:r>
            <w:r>
              <w:br/>
            </w:r>
            <w:r>
              <w:rPr>
                <w:rFonts w:ascii="Consolas" w:hAnsi="Consolas"/>
                <w:sz w:val="12"/>
              </w:rPr>
              <w:t>  target: TargetContext;</w:t>
            </w:r>
            <w:r>
              <w:br/>
            </w:r>
            <w:r>
              <w:rPr>
                <w:rFonts w:ascii="Consolas" w:hAnsi="Consolas"/>
                <w:sz w:val="12"/>
              </w:rPr>
              <w:t>  intent: IntentRequest;</w:t>
            </w:r>
            <w:r>
              <w:br/>
            </w:r>
            <w:r>
              <w:rPr>
                <w:rFonts w:ascii="Consolas" w:hAnsi="Consolas"/>
                <w:sz w:val="12"/>
              </w:rPr>
              <w:t>  execution: ExecutionPolicy;</w:t>
            </w:r>
            <w:r>
              <w:br/>
            </w:r>
            <w:r>
              <w:rPr>
                <w:rFonts w:ascii="Consolas" w:hAnsi="Consolas"/>
                <w:sz w:val="12"/>
              </w:rPr>
              <w:t>  idempotencyKey?: string;</w:t>
            </w:r>
            <w:r>
              <w:br/>
            </w:r>
            <w:r>
              <w:rPr>
                <w:rFonts w:ascii="Consolas" w:hAnsi="Consolas"/>
                <w:sz w:val="12"/>
              </w:rPr>
              <w:t>};</w:t>
            </w:r>
            <w:r>
              <w:br/>
            </w:r>
            <w:r>
              <w:rPr>
                <w:rFonts w:ascii="Consolas" w:hAnsi="Consolas"/>
                <w:sz w:val="12"/>
              </w:rPr>
              <w:t/>
            </w:r>
            <w:r>
              <w:br/>
            </w:r>
            <w:r>
              <w:rPr>
                <w:rFonts w:ascii="Consolas" w:hAnsi="Consolas"/>
                <w:sz w:val="12"/>
              </w:rPr>
              <w:t>type InputBinding = {</w:t>
            </w:r>
            <w:r>
              <w:br/>
            </w:r>
            <w:r>
              <w:rPr>
                <w:rFonts w:ascii="Consolas" w:hAnsi="Consolas"/>
                <w:sz w:val="12"/>
              </w:rPr>
              <w:t>  from: string;</w:t>
            </w:r>
            <w:r>
              <w:br/>
            </w:r>
            <w:r>
              <w:rPr>
                <w:rFonts w:ascii="Consolas" w:hAnsi="Consolas"/>
                <w:sz w:val="12"/>
              </w:rPr>
              <w:t>  to: string;</w:t>
            </w:r>
            <w:r>
              <w:br/>
            </w:r>
            <w:r>
              <w:rPr>
                <w:rFonts w:ascii="Consolas" w:hAnsi="Consolas"/>
                <w:sz w:val="12"/>
              </w:rPr>
              <w:t>  sensitivity: "PUBLIC" | "SECRET";</w:t>
            </w:r>
            <w:r>
              <w:br/>
            </w:r>
            <w:r>
              <w:rPr>
                <w:rFonts w:ascii="Consolas" w:hAnsi="Consolas"/>
                <w:sz w:val="12"/>
              </w:rPr>
              <w:t>};</w:t>
            </w:r>
            <w:r>
              <w:br/>
            </w:r>
            <w:r>
              <w:rPr>
                <w:rFonts w:ascii="Consolas" w:hAnsi="Consolas"/>
                <w:sz w:val="12"/>
              </w:rPr>
              <w:t/>
            </w:r>
            <w:r>
              <w:br/>
            </w:r>
            <w:r>
              <w:rPr>
                <w:rFonts w:ascii="Consolas" w:hAnsi="Consolas"/>
                <w:sz w:val="12"/>
              </w:rPr>
              <w:t>type OutputBinding = {</w:t>
            </w:r>
            <w:r>
              <w:br/>
            </w:r>
            <w:r>
              <w:rPr>
                <w:rFonts w:ascii="Consolas" w:hAnsi="Consolas"/>
                <w:sz w:val="12"/>
              </w:rPr>
              <w:t>  name: string;</w:t>
            </w:r>
            <w:r>
              <w:br/>
            </w:r>
            <w:r>
              <w:rPr>
                <w:rFonts w:ascii="Consolas" w:hAnsi="Consolas"/>
                <w:sz w:val="12"/>
              </w:rPr>
              <w:t>  sensitivity: "PUBLIC" | "SECRET";</w:t>
            </w:r>
            <w:r>
              <w:br/>
            </w:r>
            <w:r>
              <w:rPr>
                <w:rFonts w:ascii="Consolas" w:hAnsi="Consolas"/>
                <w:sz w:val="12"/>
              </w:rPr>
              <w:t>};</w:t>
            </w:r>
            <w:r>
              <w:br/>
            </w:r>
            <w:r>
              <w:rPr>
                <w:rFonts w:ascii="Consolas" w:hAnsi="Consolas"/>
                <w:sz w:val="12"/>
              </w:rPr>
              <w:t/>
            </w:r>
            <w:r>
              <w:br/>
            </w:r>
            <w:r>
              <w:rPr>
                <w:rFonts w:ascii="Consolas" w:hAnsi="Consolas"/>
                <w:sz w:val="12"/>
              </w:rPr>
              <w:t>type ProbeStep = {</w:t>
            </w:r>
            <w:r>
              <w:br/>
            </w:r>
            <w:r>
              <w:rPr>
                <w:rFonts w:ascii="Consolas" w:hAnsi="Consolas"/>
                <w:sz w:val="12"/>
              </w:rPr>
              <w:t>  id: string;</w:t>
            </w:r>
            <w:r>
              <w:br/>
            </w:r>
            <w:r>
              <w:rPr>
                <w:rFonts w:ascii="Consolas" w:hAnsi="Consolas"/>
                <w:sz w:val="12"/>
              </w:rPr>
              <w:t>  probeId: string;</w:t>
            </w:r>
            <w:r>
              <w:br/>
            </w:r>
            <w:r>
              <w:rPr>
                <w:rFonts w:ascii="Consolas" w:hAnsi="Consolas"/>
                <w:sz w:val="12"/>
              </w:rPr>
              <w:t>  after?: string[];</w:t>
            </w:r>
            <w:r>
              <w:br/>
            </w:r>
            <w:r>
              <w:rPr>
                <w:rFonts w:ascii="Consolas" w:hAnsi="Consolas"/>
                <w:sz w:val="12"/>
              </w:rPr>
              <w:t>  inputBindings?: InputBinding[];</w:t>
            </w:r>
            <w:r>
              <w:br/>
            </w:r>
            <w:r>
              <w:rPr>
                <w:rFonts w:ascii="Consolas" w:hAnsi="Consolas"/>
                <w:sz w:val="12"/>
              </w:rPr>
              <w:t>  outputBindings?: OutputBinding[];</w:t>
            </w:r>
            <w:r>
              <w:br/>
            </w:r>
            <w:r>
              <w:rPr>
                <w:rFonts w:ascii="Consolas" w:hAnsi="Consolas"/>
                <w:sz w:val="12"/>
              </w:rPr>
              <w:t>  onFailure?: "STOP" | "CONTINUE";</w:t>
            </w:r>
            <w:r>
              <w:br/>
            </w:r>
            <w:r>
              <w:rPr>
                <w:rFonts w:ascii="Consolas" w:hAnsi="Consolas"/>
                <w:sz w:val="12"/>
              </w:rPr>
              <w:t>};</w:t>
            </w:r>
            <w:r>
              <w:br/>
            </w:r>
            <w:r>
              <w:rPr>
                <w:rFonts w:ascii="Consolas" w:hAnsi="Consolas"/>
                <w:sz w:val="12"/>
              </w:rPr>
              <w:t/>
            </w:r>
            <w:r>
              <w:br/>
            </w:r>
            <w:r>
              <w:rPr>
                <w:rFonts w:ascii="Consolas" w:hAnsi="Consolas"/>
                <w:sz w:val="12"/>
              </w:rPr>
              <w:t>type ProbePlan = {</w:t>
            </w:r>
            <w:r>
              <w:br/>
            </w:r>
            <w:r>
              <w:rPr>
                <w:rFonts w:ascii="Consolas" w:hAnsi="Consolas"/>
                <w:sz w:val="12"/>
              </w:rPr>
              <w:t>  planVersion: "1.0";</w:t>
            </w:r>
            <w:r>
              <w:br/>
            </w:r>
            <w:r>
              <w:rPr>
                <w:rFonts w:ascii="Consolas" w:hAnsi="Consolas"/>
                <w:sz w:val="12"/>
              </w:rPr>
              <w:t>  steps: ProbeStep[];</w:t>
            </w:r>
            <w:r>
              <w:br/>
            </w:r>
            <w:r>
              <w:rPr>
                <w:rFonts w:ascii="Consolas" w:hAnsi="Consolas"/>
                <w:sz w:val="12"/>
              </w:rPr>
              <w:t>  maxSteps: 4;</w:t>
            </w:r>
            <w:r>
              <w:br/>
            </w:r>
            <w:r>
              <w:rPr>
                <w:rFonts w:ascii="Consolas" w:hAnsi="Consolas"/>
                <w:sz w:val="12"/>
              </w:rPr>
              <w:t>  maxSubrequests: 4;</w:t>
            </w:r>
            <w:r>
              <w:br/>
            </w:r>
            <w:r>
              <w:rPr>
                <w:rFonts w:ascii="Consolas" w:hAnsi="Consolas"/>
                <w:sz w:val="12"/>
              </w:rPr>
              <w:t>  timeoutMs: number;</w:t>
            </w:r>
            <w:r>
              <w:br/>
            </w:r>
            <w:r>
              <w:rPr>
                <w:rFonts w:ascii="Consolas" w:hAnsi="Consolas"/>
                <w:sz w:val="12"/>
              </w:rPr>
              <w:t>  costClass: CostClass;</w:t>
            </w:r>
            <w:r>
              <w:br/>
            </w:r>
            <w:r>
              <w:rPr>
                <w:rFonts w:ascii="Consolas" w:hAnsi="Consolas"/>
                <w:sz w:val="12"/>
              </w:rPr>
              <w:t>  sideEffect: SideEffectClass;</w:t>
            </w:r>
            <w:r>
              <w:br/>
            </w:r>
            <w:r>
              <w:rPr>
                <w:rFonts w:ascii="Consolas" w:hAnsi="Consolas"/>
                <w:sz w:val="12"/>
              </w:rPr>
              <w:t>};</w:t>
            </w:r>
            <w:r>
              <w:br/>
            </w:r>
            <w:r>
              <w:rPr>
                <w:rFonts w:ascii="Consolas" w:hAnsi="Consolas"/>
                <w:sz w:val="12"/>
              </w:rPr>
              <w:t/>
            </w:r>
            <w:r>
              <w:br/>
            </w:r>
            <w:r>
              <w:rPr>
                <w:rFonts w:ascii="Consolas" w:hAnsi="Consolas"/>
                <w:sz w:val="12"/>
              </w:rPr>
              <w:t>type Evidence = {</w:t>
            </w:r>
            <w:r>
              <w:br/>
            </w:r>
            <w:r>
              <w:rPr>
                <w:rFonts w:ascii="Consolas" w:hAnsi="Consolas"/>
                <w:sz w:val="12"/>
              </w:rPr>
              <w:t>  type: string;</w:t>
            </w:r>
            <w:r>
              <w:br/>
            </w:r>
            <w:r>
              <w:rPr>
                <w:rFonts w:ascii="Consolas" w:hAnsi="Consolas"/>
                <w:sz w:val="12"/>
              </w:rPr>
              <w:t>  sourceType: "PROVIDER_RESPONSE" | "TRANSPORT" | "LOCAL_RUNTIME" | "PROVIDER_STATUS";</w:t>
            </w:r>
            <w:r>
              <w:br/>
            </w:r>
            <w:r>
              <w:rPr>
                <w:rFonts w:ascii="Consolas" w:hAnsi="Consolas"/>
                <w:sz w:val="12"/>
              </w:rPr>
              <w:t>  sourceLocator: string;</w:t>
            </w:r>
            <w:r>
              <w:br/>
            </w:r>
            <w:r>
              <w:rPr>
                <w:rFonts w:ascii="Consolas" w:hAnsi="Consolas"/>
                <w:sz w:val="12"/>
              </w:rPr>
              <w:t>  observedValue: string | number | boolean;</w:t>
            </w:r>
            <w:r>
              <w:br/>
            </w:r>
            <w:r>
              <w:rPr>
                <w:rFonts w:ascii="Consolas" w:hAnsi="Consolas"/>
                <w:sz w:val="12"/>
              </w:rPr>
              <w:t>  evidenceStrength: EvidenceStrength;</w:t>
            </w:r>
            <w:r>
              <w:br/>
            </w:r>
            <w:r>
              <w:rPr>
                <w:rFonts w:ascii="Consolas" w:hAnsi="Consolas"/>
                <w:sz w:val="12"/>
              </w:rPr>
              <w:t>  verifiedAt: string;</w:t>
            </w:r>
            <w:r>
              <w:br/>
            </w:r>
            <w:r>
              <w:rPr>
                <w:rFonts w:ascii="Consolas" w:hAnsi="Consolas"/>
                <w:sz w:val="12"/>
              </w:rPr>
              <w:t>};</w:t>
            </w:r>
            <w:r>
              <w:br/>
            </w:r>
            <w:r>
              <w:rPr>
                <w:rFonts w:ascii="Consolas" w:hAnsi="Consolas"/>
                <w:sz w:val="12"/>
              </w:rPr>
              <w:t/>
            </w:r>
            <w:r>
              <w:br/>
            </w:r>
            <w:r>
              <w:rPr>
                <w:rFonts w:ascii="Consolas" w:hAnsi="Consolas"/>
                <w:sz w:val="12"/>
              </w:rPr>
              <w:t>type StepState = "PASS" | "FAIL" | "SKIPPED" | "INCONCLUSIVE";</w:t>
            </w:r>
            <w:r>
              <w:br/>
            </w:r>
            <w:r>
              <w:rPr>
                <w:rFonts w:ascii="Consolas" w:hAnsi="Consolas"/>
                <w:sz w:val="12"/>
              </w:rPr>
              <w:t/>
            </w:r>
            <w:r>
              <w:br/>
            </w:r>
            <w:r>
              <w:rPr>
                <w:rFonts w:ascii="Consolas" w:hAnsi="Consolas"/>
                <w:sz w:val="12"/>
              </w:rPr>
              <w:t>type DiagnosticStatus =</w:t>
            </w:r>
            <w:r>
              <w:br/>
            </w:r>
            <w:r>
              <w:rPr>
                <w:rFonts w:ascii="Consolas" w:hAnsi="Consolas"/>
                <w:sz w:val="12"/>
              </w:rPr>
              <w:t>  | "HEALTHY" | "INVALID_CREDENTIAL" | "KEY_TYPE_MISMATCH"</w:t>
            </w:r>
            <w:r>
              <w:br/>
            </w:r>
            <w:r>
              <w:rPr>
                <w:rFonts w:ascii="Consolas" w:hAnsi="Consolas"/>
                <w:sz w:val="12"/>
              </w:rPr>
              <w:t>  | "PERMISSION_DENIED" | "INSUFFICIENT_SCOPE" | "QUOTA_EXHAUSTED"</w:t>
            </w:r>
            <w:r>
              <w:br/>
            </w:r>
            <w:r>
              <w:rPr>
                <w:rFonts w:ascii="Consolas" w:hAnsi="Consolas"/>
                <w:sz w:val="12"/>
              </w:rPr>
              <w:t>  | "RATE_LIMITED" | "ORIGIN_RESTRICTED" | "REGION_BLOCKED"</w:t>
            </w:r>
            <w:r>
              <w:br/>
            </w:r>
            <w:r>
              <w:rPr>
                <w:rFonts w:ascii="Consolas" w:hAnsi="Consolas"/>
                <w:sz w:val="12"/>
              </w:rPr>
              <w:t>  | "MODEL_UNAVAILABLE" | "ENDPOINT_MISCONFIGURED" | "BILLING_REQUIRED"</w:t>
            </w:r>
            <w:r>
              <w:br/>
            </w:r>
            <w:r>
              <w:rPr>
                <w:rFonts w:ascii="Consolas" w:hAnsi="Consolas"/>
                <w:sz w:val="12"/>
              </w:rPr>
              <w:t>  | "NETWORK_TIMEOUT" | "TRANSIENT_PROVIDER_ERROR" | "REDIRECT_BLOCKED"</w:t>
            </w:r>
            <w:r>
              <w:br/>
            </w:r>
            <w:r>
              <w:rPr>
                <w:rFonts w:ascii="Consolas" w:hAnsi="Consolas"/>
                <w:sz w:val="12"/>
              </w:rPr>
              <w:t>  | "UNSUPPORTED_INTENT" | "PROVIDER_DISABLED" | "UNKNOWN";</w:t>
            </w:r>
            <w:r>
              <w:br/>
            </w:r>
            <w:r>
              <w:rPr>
                <w:rFonts w:ascii="Consolas" w:hAnsi="Consolas"/>
                <w:sz w:val="12"/>
              </w:rPr>
              <w:t/>
            </w:r>
            <w:r>
              <w:br/>
            </w:r>
            <w:r>
              <w:rPr>
                <w:rFonts w:ascii="Consolas" w:hAnsi="Consolas"/>
                <w:sz w:val="12"/>
              </w:rPr>
              <w:t>type ProviderHealthSignal = {</w:t>
            </w:r>
            <w:r>
              <w:br/>
            </w:r>
            <w:r>
              <w:rPr>
                <w:rFonts w:ascii="Consolas" w:hAnsi="Consolas"/>
                <w:sz w:val="12"/>
              </w:rPr>
              <w:t>  signal: "OPERATIONAL" | "DEGRADED" | "INCIDENT" | "UNKNOWN";</w:t>
            </w:r>
            <w:r>
              <w:br/>
            </w:r>
            <w:r>
              <w:rPr>
                <w:rFonts w:ascii="Consolas" w:hAnsi="Consolas"/>
                <w:sz w:val="12"/>
              </w:rPr>
              <w:t>  sourceUrl?: string;</w:t>
            </w:r>
            <w:r>
              <w:br/>
            </w:r>
            <w:r>
              <w:rPr>
                <w:rFonts w:ascii="Consolas" w:hAnsi="Consolas"/>
                <w:sz w:val="12"/>
              </w:rPr>
              <w:t>  observedAt: string;</w:t>
            </w:r>
            <w:r>
              <w:br/>
            </w:r>
            <w:r>
              <w:rPr>
                <w:rFonts w:ascii="Consolas" w:hAnsi="Consolas"/>
                <w:sz w:val="12"/>
              </w:rPr>
              <w:t>};</w:t>
            </w:r>
            <w:r>
              <w:br/>
            </w:r>
            <w:r>
              <w:rPr>
                <w:rFonts w:ascii="Consolas" w:hAnsi="Consolas"/>
                <w:sz w:val="12"/>
              </w:rPr>
              <w:t/>
            </w:r>
            <w:r>
              <w:br/>
            </w:r>
            <w:r>
              <w:rPr>
                <w:rFonts w:ascii="Consolas" w:hAnsi="Consolas"/>
                <w:sz w:val="12"/>
              </w:rPr>
              <w:t>type StepResult = {</w:t>
            </w:r>
            <w:r>
              <w:br/>
            </w:r>
            <w:r>
              <w:rPr>
                <w:rFonts w:ascii="Consolas" w:hAnsi="Consolas"/>
                <w:sz w:val="12"/>
              </w:rPr>
              <w:t>  stepId: string;</w:t>
            </w:r>
            <w:r>
              <w:br/>
            </w:r>
            <w:r>
              <w:rPr>
                <w:rFonts w:ascii="Consolas" w:hAnsi="Consolas"/>
                <w:sz w:val="12"/>
              </w:rPr>
              <w:t>  state: StepState;</w:t>
            </w:r>
            <w:r>
              <w:br/>
            </w:r>
            <w:r>
              <w:rPr>
                <w:rFonts w:ascii="Consolas" w:hAnsi="Consolas"/>
                <w:sz w:val="12"/>
              </w:rPr>
              <w:t>  status?: DiagnosticStatus;</w:t>
            </w:r>
            <w:r>
              <w:br/>
            </w:r>
            <w:r>
              <w:rPr>
                <w:rFonts w:ascii="Consolas" w:hAnsi="Consolas"/>
                <w:sz w:val="12"/>
              </w:rPr>
              <w:t>  reasonCode?: string;</w:t>
            </w:r>
            <w:r>
              <w:br/>
            </w:r>
            <w:r>
              <w:rPr>
                <w:rFonts w:ascii="Consolas" w:hAnsi="Consolas"/>
                <w:sz w:val="12"/>
              </w:rPr>
              <w:t>  evidence: Evidence[];</w:t>
            </w:r>
            <w:r>
              <w:br/>
            </w:r>
            <w:r>
              <w:rPr>
                <w:rFonts w:ascii="Consolas" w:hAnsi="Consolas"/>
                <w:sz w:val="12"/>
              </w:rPr>
              <w:t>  startedAt: string;</w:t>
            </w:r>
            <w:r>
              <w:br/>
            </w:r>
            <w:r>
              <w:rPr>
                <w:rFonts w:ascii="Consolas" w:hAnsi="Consolas"/>
                <w:sz w:val="12"/>
              </w:rPr>
              <w:t>  completedAt?: string;</w:t>
            </w:r>
            <w:r>
              <w:br/>
            </w:r>
            <w:r>
              <w:rPr>
                <w:rFonts w:ascii="Consolas" w:hAnsi="Consolas"/>
                <w:sz w:val="12"/>
              </w:rPr>
              <w:t>  durationMs?: number;</w:t>
            </w:r>
            <w:r>
              <w:br/>
            </w:r>
            <w:r>
              <w:rPr>
                <w:rFonts w:ascii="Consolas" w:hAnsi="Consolas"/>
                <w:sz w:val="12"/>
              </w:rPr>
              <w:t>};</w:t>
            </w:r>
            <w:r>
              <w:br/>
            </w:r>
            <w:r>
              <w:rPr>
                <w:rFonts w:ascii="Consolas" w:hAnsi="Consolas"/>
                <w:sz w:val="12"/>
              </w:rPr>
              <w:t/>
            </w:r>
            <w:r>
              <w:br/>
            </w:r>
            <w:r>
              <w:rPr>
                <w:rFonts w:ascii="Consolas" w:hAnsi="Consolas"/>
                <w:sz w:val="12"/>
              </w:rPr>
              <w:t>type RunResult = {</w:t>
            </w:r>
            <w:r>
              <w:br/>
            </w:r>
            <w:r>
              <w:rPr>
                <w:rFonts w:ascii="Consolas" w:hAnsi="Consolas"/>
                <w:sz w:val="12"/>
              </w:rPr>
              <w:t>  resultSchemaVersion: "1.0";</w:t>
            </w:r>
            <w:r>
              <w:br/>
            </w:r>
            <w:r>
              <w:rPr>
                <w:rFonts w:ascii="Consolas" w:hAnsi="Consolas"/>
                <w:sz w:val="12"/>
              </w:rPr>
              <w:t>  aggregationPolicyVersion: "1.0";</w:t>
            </w:r>
            <w:r>
              <w:br/>
            </w:r>
            <w:r>
              <w:rPr>
                <w:rFonts w:ascii="Consolas" w:hAnsi="Consolas"/>
                <w:sz w:val="12"/>
              </w:rPr>
              <w:t>  engineVersion: string;</w:t>
            </w:r>
            <w:r>
              <w:br/>
            </w:r>
            <w:r>
              <w:rPr>
                <w:rFonts w:ascii="Consolas" w:hAnsi="Consolas"/>
                <w:sz w:val="12"/>
              </w:rPr>
              <w:t>  providerManifestVersion: string;</w:t>
            </w:r>
            <w:r>
              <w:br/>
            </w:r>
            <w:r>
              <w:rPr>
                <w:rFonts w:ascii="Consolas" w:hAnsi="Consolas"/>
                <w:sz w:val="12"/>
              </w:rPr>
              <w:t>  overall: "HEALTHY" | "FAILED" | "INCONCLUSIVE" | "SKIPPED";</w:t>
            </w:r>
            <w:r>
              <w:br/>
            </w:r>
            <w:r>
              <w:rPr>
                <w:rFonts w:ascii="Consolas" w:hAnsi="Consolas"/>
                <w:sz w:val="12"/>
              </w:rPr>
              <w:t>  runState: "COMPLETED" | "BLOCKED" | "ABORTED";</w:t>
            </w:r>
            <w:r>
              <w:br/>
            </w:r>
            <w:r>
              <w:rPr>
                <w:rFonts w:ascii="Consolas" w:hAnsi="Consolas"/>
                <w:sz w:val="12"/>
              </w:rPr>
              <w:t>  primaryStatus?: DiagnosticStatus;</w:t>
            </w:r>
            <w:r>
              <w:br/>
            </w:r>
            <w:r>
              <w:rPr>
                <w:rFonts w:ascii="Consolas" w:hAnsi="Consolas"/>
                <w:sz w:val="12"/>
              </w:rPr>
              <w:t>  providerHealth?: ProviderHealthSignal;</w:t>
            </w:r>
            <w:r>
              <w:br/>
            </w:r>
            <w:r>
              <w:rPr>
                <w:rFonts w:ascii="Consolas" w:hAnsi="Consolas"/>
                <w:sz w:val="12"/>
              </w:rPr>
              <w:t>  steps: StepResult[];</w:t>
            </w:r>
            <w:r>
              <w:br/>
            </w:r>
            <w:r>
              <w:rPr>
                <w:rFonts w:ascii="Consolas" w:hAnsi="Consolas"/>
                <w:sz w:val="12"/>
              </w:rPr>
              <w:t>};</w:t>
            </w:r>
            <w:r>
              <w:br/>
            </w:r>
            <w:r>
              <w:rPr>
                <w:rFonts w:ascii="Consolas" w:hAnsi="Consolas"/>
                <w:sz w:val="12"/>
              </w:rPr>
              <w:t/>
            </w:r>
            <w:r>
              <w:br/>
            </w:r>
            <w:r>
              <w:rPr>
                <w:rFonts w:ascii="Consolas" w:hAnsi="Consolas"/>
                <w:sz w:val="12"/>
              </w:rPr>
              <w:t>type AggregationPolicy = {</w:t>
            </w:r>
            <w:r>
              <w:br/>
            </w:r>
            <w:r>
              <w:rPr>
                <w:rFonts w:ascii="Consolas" w:hAnsi="Consolas"/>
                <w:sz w:val="12"/>
              </w:rPr>
              <w:t>  version: "1.0";</w:t>
            </w:r>
            <w:r>
              <w:br/>
            </w:r>
            <w:r>
              <w:rPr>
                <w:rFonts w:ascii="Consolas" w:hAnsi="Consolas"/>
                <w:sz w:val="12"/>
              </w:rPr>
              <w:t>  defaultOverallByStatus: Record&lt;</w:t>
            </w:r>
            <w:r>
              <w:br/>
            </w:r>
            <w:r>
              <w:rPr>
                <w:rFonts w:ascii="Consolas" w:hAnsi="Consolas"/>
                <w:sz w:val="12"/>
              </w:rPr>
              <w:t>    DiagnosticStatus,</w:t>
            </w:r>
            <w:r>
              <w:br/>
            </w:r>
            <w:r>
              <w:rPr>
                <w:rFonts w:ascii="Consolas" w:hAnsi="Consolas"/>
                <w:sz w:val="12"/>
              </w:rPr>
              <w:t>    "HEALTHY" | "FAILED" | "INCONCLUSIVE" | "SKIPPED"</w:t>
            </w:r>
            <w:r>
              <w:br/>
            </w:r>
            <w:r>
              <w:rPr>
                <w:rFonts w:ascii="Consolas" w:hAnsi="Consolas"/>
                <w:sz w:val="12"/>
              </w:rPr>
              <w:t>  &gt;;</w:t>
            </w:r>
            <w:r>
              <w:br/>
            </w:r>
            <w:r>
              <w:rPr>
                <w:rFonts w:ascii="Consolas" w:hAnsi="Consolas"/>
                <w:sz w:val="12"/>
              </w:rPr>
              <w:t>};</w:t>
            </w:r>
          </w:p>
        </w:tc>
      </w:tr>
    </w:tbl>
    <w:p>
      <w:pPr>
        <w:spacing w:after="20"/>
      </w:pPr>
    </w:p>
    <w:p>
      <w:pPr>
        <w:pStyle w:val="Heading1"/>
        <w:spacing w:before="240" w:after="120"/>
      </w:pPr>
      <w:r>
        <w:rPr>
          <w:rFonts w:ascii="Aptos Display" w:hAnsi="Aptos Display"/>
          <w:color w:val="17324D"/>
        </w:rPr>
        <w:t>Appendix B. Manifest v1 Canonical Example</w:t>
      </w:r>
    </w:p>
    <w:tbl>
      <w:tblPr>
        <w:tblW w:type="auto" w:w="0"/>
        <w:tblLook w:firstColumn="1" w:firstRow="1" w:lastColumn="0" w:lastRow="0" w:noHBand="0" w:noVBand="1" w:val="04A0"/>
      </w:tblPr>
      <w:tblGrid>
        <w:gridCol w:w="9994"/>
      </w:tblGrid>
      <w:tr>
        <w:tc>
          <w:tcPr>
            <w:tcW w:type="dxa" w:w="9994"/>
            <w:shd w:fill="F5F7F9"/>
            <w:tcMar>
              <w:top w:w="100" w:type="dxa"/>
              <w:start w:w="110" w:type="dxa"/>
              <w:bottom w:w="100" w:type="dxa"/>
              <w:end w:w="110" w:type="dxa"/>
            </w:tcMar>
          </w:tcPr>
          <w:p>
            <w:pPr>
              <w:spacing w:after="0"/>
            </w:pPr>
            <w:r>
              <w:rPr>
                <w:rFonts w:ascii="Consolas" w:hAnsi="Consolas"/>
                <w:color w:val="334155"/>
                <w:sz w:val="13"/>
              </w:rPr>
              <w:t>{</w:t>
            </w:r>
            <w:r>
              <w:br/>
            </w:r>
            <w:r>
              <w:rPr>
                <w:rFonts w:ascii="Consolas" w:hAnsi="Consolas"/>
                <w:color w:val="334155"/>
                <w:sz w:val="13"/>
              </w:rPr>
              <w:t xml:space="preserve">  "schemaVersion": "1.0",</w:t>
            </w:r>
            <w:r>
              <w:br/>
            </w:r>
            <w:r>
              <w:rPr>
                <w:rFonts w:ascii="Consolas" w:hAnsi="Consolas"/>
                <w:color w:val="334155"/>
                <w:sz w:val="13"/>
              </w:rPr>
              <w:t xml:space="preserve">  "id": "groq",</w:t>
            </w:r>
            <w:r>
              <w:br/>
            </w:r>
            <w:r>
              <w:rPr>
                <w:rFonts w:ascii="Consolas" w:hAnsi="Consolas"/>
                <w:color w:val="334155"/>
                <w:sz w:val="13"/>
              </w:rPr>
              <w:t xml:space="preserve">  "providerId": "groq",</w:t>
            </w:r>
            <w:r>
              <w:br/>
            </w:r>
            <w:r>
              <w:rPr>
                <w:rFonts w:ascii="Consolas" w:hAnsi="Consolas"/>
                <w:color w:val="334155"/>
                <w:sz w:val="13"/>
              </w:rPr>
              <w:t xml:space="preserve">  "extends": "openai-compatible",</w:t>
            </w:r>
            <w:r>
              <w:br/>
            </w:r>
            <w:r>
              <w:rPr>
                <w:rFonts w:ascii="Consolas" w:hAnsi="Consolas"/>
                <w:color w:val="334155"/>
                <w:sz w:val="13"/>
              </w:rPr>
              <w:t xml:space="preserve">  "lifecycle": "active",</w:t>
            </w:r>
            <w:r>
              <w:br/>
            </w:r>
            <w:r>
              <w:rPr>
                <w:rFonts w:ascii="Consolas" w:hAnsi="Consolas"/>
                <w:color w:val="334155"/>
                <w:sz w:val="13"/>
              </w:rPr>
              <w:t xml:space="preserve">  "verifiedOn": "2026-10-01",</w:t>
            </w:r>
            <w:r>
              <w:br/>
            </w:r>
            <w:r>
              <w:rPr>
                <w:rFonts w:ascii="Consolas" w:hAnsi="Consolas"/>
                <w:color w:val="334155"/>
                <w:sz w:val="13"/>
              </w:rPr>
              <w:t xml:space="preserve">  "termsUrl": "https://console.groq.com/docs/terms",</w:t>
            </w:r>
            <w:r>
              <w:br/>
            </w:r>
            <w:r>
              <w:rPr>
                <w:rFonts w:ascii="Consolas" w:hAnsi="Consolas"/>
                <w:color w:val="334155"/>
                <w:sz w:val="13"/>
              </w:rPr>
              <w:t xml:space="preserve">  "docsUrl": "https://console.groq.com/docs",</w:t>
            </w:r>
            <w:r>
              <w:br/>
            </w:r>
            <w:r>
              <w:rPr>
                <w:rFonts w:ascii="Consolas" w:hAnsi="Consolas"/>
                <w:color w:val="334155"/>
                <w:sz w:val="13"/>
              </w:rPr>
              <w:t xml:space="preserve">  "hostPolicy": {</w:t>
            </w:r>
            <w:r>
              <w:br/>
            </w:r>
            <w:r>
              <w:rPr>
                <w:rFonts w:ascii="Consolas" w:hAnsi="Consolas"/>
                <w:color w:val="334155"/>
                <w:sz w:val="13"/>
              </w:rPr>
              <w:t xml:space="preserve">    "type": "exact",</w:t>
            </w:r>
            <w:r>
              <w:br/>
            </w:r>
            <w:r>
              <w:rPr>
                <w:rFonts w:ascii="Consolas" w:hAnsi="Consolas"/>
                <w:color w:val="334155"/>
                <w:sz w:val="13"/>
              </w:rPr>
              <w:t xml:space="preserve">    "hosts": ["api.groq.com"]</w:t>
            </w:r>
            <w:r>
              <w:br/>
            </w:r>
            <w:r>
              <w:rPr>
                <w:rFonts w:ascii="Consolas" w:hAnsi="Consolas"/>
                <w:color w:val="334155"/>
                <w:sz w:val="13"/>
              </w:rPr>
              <w:t xml:space="preserve">  },</w:t>
            </w:r>
            <w:r>
              <w:br/>
            </w:r>
            <w:r>
              <w:rPr>
                <w:rFonts w:ascii="Consolas" w:hAnsi="Consolas"/>
                <w:color w:val="334155"/>
                <w:sz w:val="13"/>
              </w:rPr>
              <w:t xml:space="preserve">  "auth": [{</w:t>
            </w:r>
            <w:r>
              <w:br/>
            </w:r>
            <w:r>
              <w:rPr>
                <w:rFonts w:ascii="Consolas" w:hAnsi="Consolas"/>
                <w:color w:val="334155"/>
                <w:sz w:val="13"/>
              </w:rPr>
              <w:t xml:space="preserve">    "method": "BEARER_TOKEN",</w:t>
            </w:r>
            <w:r>
              <w:br/>
            </w:r>
            <w:r>
              <w:rPr>
                <w:rFonts w:ascii="Consolas" w:hAnsi="Consolas"/>
                <w:color w:val="334155"/>
                <w:sz w:val="13"/>
              </w:rPr>
              <w:t xml:space="preserve">    "field": "apiKey",</w:t>
            </w:r>
            <w:r>
              <w:br/>
            </w:r>
            <w:r>
              <w:rPr>
                <w:rFonts w:ascii="Consolas" w:hAnsi="Consolas"/>
                <w:color w:val="334155"/>
                <w:sz w:val="13"/>
              </w:rPr>
              <w:t xml:space="preserve">    "location": "header",</w:t>
            </w:r>
            <w:r>
              <w:br/>
            </w:r>
            <w:r>
              <w:rPr>
                <w:rFonts w:ascii="Consolas" w:hAnsi="Consolas"/>
                <w:color w:val="334155"/>
                <w:sz w:val="13"/>
              </w:rPr>
              <w:t xml:space="preserve">    "headerName": "Authorization",</w:t>
            </w:r>
            <w:r>
              <w:br/>
            </w:r>
            <w:r>
              <w:rPr>
                <w:rFonts w:ascii="Consolas" w:hAnsi="Consolas"/>
                <w:color w:val="334155"/>
                <w:sz w:val="13"/>
              </w:rPr>
              <w:t xml:space="preserve">    "template": "Bearer {{apiKey}}"</w:t>
            </w:r>
            <w:r>
              <w:br/>
            </w:r>
            <w:r>
              <w:rPr>
                <w:rFonts w:ascii="Consolas" w:hAnsi="Consolas"/>
                <w:color w:val="334155"/>
                <w:sz w:val="13"/>
              </w:rPr>
              <w:t xml:space="preserve">  }],</w:t>
            </w:r>
            <w:r>
              <w:br/>
            </w:r>
            <w:r>
              <w:rPr>
                <w:rFonts w:ascii="Consolas" w:hAnsi="Consolas"/>
                <w:color w:val="334155"/>
                <w:sz w:val="13"/>
              </w:rPr>
              <w:t xml:space="preserve">  "intents": {</w:t>
            </w:r>
            <w:r>
              <w:br/>
            </w:r>
            <w:r>
              <w:rPr>
                <w:rFonts w:ascii="Consolas" w:hAnsi="Consolas"/>
                <w:color w:val="334155"/>
                <w:sz w:val="13"/>
              </w:rPr>
              <w:t xml:space="preserve">    "LIST_MODELS": {</w:t>
            </w:r>
            <w:r>
              <w:br/>
            </w:r>
            <w:r>
              <w:rPr>
                <w:rFonts w:ascii="Consolas" w:hAnsi="Consolas"/>
                <w:color w:val="334155"/>
                <w:sz w:val="13"/>
              </w:rPr>
              <w:t xml:space="preserve">      "category": "METADATA",</w:t>
            </w:r>
            <w:r>
              <w:br/>
            </w:r>
            <w:r>
              <w:rPr>
                <w:rFonts w:ascii="Consolas" w:hAnsi="Consolas"/>
                <w:color w:val="334155"/>
                <w:sz w:val="13"/>
              </w:rPr>
              <w:t xml:space="preserve">      "costClass": "FREE",</w:t>
            </w:r>
            <w:r>
              <w:br/>
            </w:r>
            <w:r>
              <w:rPr>
                <w:rFonts w:ascii="Consolas" w:hAnsi="Consolas"/>
                <w:color w:val="334155"/>
                <w:sz w:val="13"/>
              </w:rPr>
              <w:t xml:space="preserve">      "sideEffect": "NONE",</w:t>
            </w:r>
            <w:r>
              <w:br/>
            </w:r>
            <w:r>
              <w:rPr>
                <w:rFonts w:ascii="Consolas" w:hAnsi="Consolas"/>
                <w:color w:val="334155"/>
                <w:sz w:val="13"/>
              </w:rPr>
              <w:t xml:space="preserve">      "request": {</w:t>
            </w:r>
            <w:r>
              <w:br/>
            </w:r>
            <w:r>
              <w:rPr>
                <w:rFonts w:ascii="Consolas" w:hAnsi="Consolas"/>
                <w:color w:val="334155"/>
                <w:sz w:val="13"/>
              </w:rPr>
              <w:t xml:space="preserve">        "method": "GET",</w:t>
            </w:r>
            <w:r>
              <w:br/>
            </w:r>
            <w:r>
              <w:rPr>
                <w:rFonts w:ascii="Consolas" w:hAnsi="Consolas"/>
                <w:color w:val="334155"/>
                <w:sz w:val="13"/>
              </w:rPr>
              <w:t xml:space="preserve">        "path": "/openai/v1/models",</w:t>
            </w:r>
            <w:r>
              <w:br/>
            </w:r>
            <w:r>
              <w:rPr>
                <w:rFonts w:ascii="Consolas" w:hAnsi="Consolas"/>
                <w:color w:val="334155"/>
                <w:sz w:val="13"/>
              </w:rPr>
              <w:t xml:space="preserve">        "headers": {</w:t>
            </w:r>
            <w:r>
              <w:br/>
            </w:r>
            <w:r>
              <w:rPr>
                <w:rFonts w:ascii="Consolas" w:hAnsi="Consolas"/>
                <w:color w:val="334155"/>
                <w:sz w:val="13"/>
              </w:rPr>
              <w:t xml:space="preserve">          "Accept": "application/json",</w:t>
            </w:r>
            <w:r>
              <w:br/>
            </w:r>
            <w:r>
              <w:rPr>
                <w:rFonts w:ascii="Consolas" w:hAnsi="Consolas"/>
                <w:color w:val="334155"/>
                <w:sz w:val="13"/>
              </w:rPr>
              <w:t xml:space="preserve">          "User-Agent": "API-HealthLab/0.1"</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"expect": [</w:t>
            </w:r>
            <w:r>
              <w:br/>
            </w:r>
            <w:r>
              <w:rPr>
                <w:rFonts w:ascii="Consolas" w:hAnsi="Consolas"/>
                <w:color w:val="334155"/>
                <w:sz w:val="13"/>
              </w:rPr>
              <w:t xml:space="preserve">        { "type": "httpStatus", "op": "in", "value": [200] },</w:t>
            </w:r>
            <w:r>
              <w:br/>
            </w:r>
            <w:r>
              <w:rPr>
                <w:rFonts w:ascii="Consolas" w:hAnsi="Consolas"/>
                <w:color w:val="334155"/>
                <w:sz w:val="13"/>
              </w:rPr>
              <w:t xml:space="preserve">        { "type": "jsonPointerType", "pointer": "/data", "value": "array" }</w:t>
            </w:r>
            <w:r>
              <w:br/>
            </w:r>
            <w:r>
              <w:rPr>
                <w:rFonts w:ascii="Consolas" w:hAnsi="Consolas"/>
                <w:color w:val="334155"/>
                <w:sz w:val="13"/>
              </w:rPr>
              <w:t xml:space="preserve">      ],</w:t>
            </w:r>
            <w:r>
              <w:br/>
            </w:r>
            <w:r>
              <w:rPr>
                <w:rFonts w:ascii="Consolas" w:hAnsi="Consolas"/>
                <w:color w:val="334155"/>
                <w:sz w:val="13"/>
              </w:rPr>
              <w:t xml:space="preserve">      "extract": {</w:t>
            </w:r>
            <w:r>
              <w:br/>
            </w:r>
            <w:r>
              <w:rPr>
                <w:rFonts w:ascii="Consolas" w:hAnsi="Consolas"/>
                <w:color w:val="334155"/>
                <w:sz w:val="13"/>
              </w:rPr>
              <w:t xml:space="preserve">        "models": [{</w:t>
            </w:r>
            <w:r>
              <w:br/>
            </w:r>
            <w:r>
              <w:rPr>
                <w:rFonts w:ascii="Consolas" w:hAnsi="Consolas"/>
                <w:color w:val="334155"/>
                <w:sz w:val="13"/>
              </w:rPr>
              <w:t xml:space="preserve">          "source": "jsonPointerArray",</w:t>
            </w:r>
            <w:r>
              <w:br/>
            </w:r>
            <w:r>
              <w:rPr>
                <w:rFonts w:ascii="Consolas" w:hAnsi="Consolas"/>
                <w:color w:val="334155"/>
                <w:sz w:val="13"/>
              </w:rPr>
              <w:t xml:space="preserve">          "pointer": "/data/*/id",</w:t>
            </w:r>
            <w:r>
              <w:br/>
            </w:r>
            <w:r>
              <w:rPr>
                <w:rFonts w:ascii="Consolas" w:hAnsi="Consolas"/>
                <w:color w:val="334155"/>
                <w:sz w:val="13"/>
              </w:rPr>
              <w:t xml:space="preserve">          "type": "string",</w:t>
            </w:r>
            <w:r>
              <w:br/>
            </w:r>
            <w:r>
              <w:rPr>
                <w:rFonts w:ascii="Consolas" w:hAnsi="Consolas"/>
                <w:color w:val="334155"/>
                <w:sz w:val="13"/>
              </w:rPr>
              <w:t xml:space="preserve">          "maxItems": 256,</w:t>
            </w:r>
            <w:r>
              <w:br/>
            </w:r>
            <w:r>
              <w:rPr>
                <w:rFonts w:ascii="Consolas" w:hAnsi="Consolas"/>
                <w:color w:val="334155"/>
                <w:sz w:val="13"/>
              </w:rPr>
              <w:t xml:space="preserve">          "maxStringLength": 128,</w:t>
            </w:r>
            <w:r>
              <w:br/>
            </w:r>
            <w:r>
              <w:rPr>
                <w:rFonts w:ascii="Consolas" w:hAnsi="Consolas"/>
                <w:color w:val="334155"/>
                <w:sz w:val="13"/>
              </w:rPr>
              <w:t xml:space="preserve">          "unique": true,</w:t>
            </w:r>
            <w:r>
              <w:br/>
            </w:r>
            <w:r>
              <w:rPr>
                <w:rFonts w:ascii="Consolas" w:hAnsi="Consolas"/>
                <w:color w:val="334155"/>
                <w:sz w:val="13"/>
              </w:rPr>
              <w:t xml:space="preserve">          "sort": "lexicographic"</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"errorMatchers": [</w:t>
            </w:r>
            <w:r>
              <w:br/>
            </w:r>
            <w:r>
              <w:rPr>
                <w:rFonts w:ascii="Consolas" w:hAnsi="Consolas"/>
                <w:color w:val="334155"/>
                <w:sz w:val="13"/>
              </w:rPr>
              <w:t xml:space="preserve">    {</w:t>
            </w:r>
            <w:r>
              <w:br/>
            </w:r>
            <w:r>
              <w:rPr>
                <w:rFonts w:ascii="Consolas" w:hAnsi="Consolas"/>
                <w:color w:val="334155"/>
                <w:sz w:val="13"/>
              </w:rPr>
              <w:t xml:space="preserve">      "type": "jsonPointerEquals",</w:t>
            </w:r>
            <w:r>
              <w:br/>
            </w:r>
            <w:r>
              <w:rPr>
                <w:rFonts w:ascii="Consolas" w:hAnsi="Consolas"/>
                <w:color w:val="334155"/>
                <w:sz w:val="13"/>
              </w:rPr>
              <w:t xml:space="preserve">      "pointer": "/error/code",</w:t>
            </w:r>
            <w:r>
              <w:br/>
            </w:r>
            <w:r>
              <w:rPr>
                <w:rFonts w:ascii="Consolas" w:hAnsi="Consolas"/>
                <w:color w:val="334155"/>
                <w:sz w:val="13"/>
              </w:rPr>
              <w:t xml:space="preserve">      "value": "invalid_api_key",</w:t>
            </w:r>
            <w:r>
              <w:br/>
            </w:r>
            <w:r>
              <w:rPr>
                <w:rFonts w:ascii="Consolas" w:hAnsi="Consolas"/>
                <w:color w:val="334155"/>
                <w:sz w:val="13"/>
              </w:rPr>
              <w:t xml:space="preserve">      "status": "INVALID_CREDENTIAL",</w:t>
            </w:r>
            <w:r>
              <w:br/>
            </w:r>
            <w:r>
              <w:rPr>
                <w:rFonts w:ascii="Consolas" w:hAnsi="Consolas"/>
                <w:color w:val="334155"/>
                <w:sz w:val="13"/>
              </w:rPr>
              <w:t xml:space="preserve">      "priority": 100,</w:t>
            </w:r>
            <w:r>
              <w:br/>
            </w:r>
            <w:r>
              <w:rPr>
                <w:rFonts w:ascii="Consolas" w:hAnsi="Consolas"/>
                <w:color w:val="334155"/>
                <w:sz w:val="13"/>
              </w:rPr>
              <w:t xml:space="preserve">      "evidenceStrength": "HIGH",</w:t>
            </w:r>
            <w:r>
              <w:br/>
            </w:r>
            <w:r>
              <w:rPr>
                <w:rFonts w:ascii="Consolas" w:hAnsi="Consolas"/>
                <w:color w:val="334155"/>
                <w:sz w:val="13"/>
              </w:rPr>
              <w:t xml:space="preserve">      "retryable": false,</w:t>
            </w:r>
            <w:r>
              <w:br/>
            </w:r>
            <w:r>
              <w:rPr>
                <w:rFonts w:ascii="Consolas" w:hAnsi="Consolas"/>
                <w:color w:val="334155"/>
                <w:sz w:val="13"/>
              </w:rPr>
              <w:t xml:space="preserve">      "remediation": {</w:t>
            </w:r>
            <w:r>
              <w:br/>
            </w:r>
            <w:r>
              <w:rPr>
                <w:rFonts w:ascii="Consolas" w:hAnsi="Consolas"/>
                <w:color w:val="334155"/>
                <w:sz w:val="13"/>
              </w:rPr>
              <w:t xml:space="preserve">        "actionId": "ROTATE_OR_RECHECK_CREDENTIAL",</w:t>
            </w:r>
            <w:r>
              <w:br/>
            </w:r>
            <w:r>
              <w:rPr>
                <w:rFonts w:ascii="Consolas" w:hAnsi="Consolas"/>
                <w:color w:val="334155"/>
                <w:sz w:val="13"/>
              </w:rPr>
              <w:t xml:space="preserve">        "message": "Verify the credential in the provider console."</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"type": "jsonPointerEquals",</w:t>
            </w:r>
            <w:r>
              <w:br/>
            </w:r>
            <w:r>
              <w:rPr>
                <w:rFonts w:ascii="Consolas" w:hAnsi="Consolas"/>
                <w:color w:val="334155"/>
                <w:sz w:val="13"/>
              </w:rPr>
              <w:t xml:space="preserve">      "pointer": "/error/code",</w:t>
            </w:r>
            <w:r>
              <w:br/>
            </w:r>
            <w:r>
              <w:rPr>
                <w:rFonts w:ascii="Consolas" w:hAnsi="Consolas"/>
                <w:color w:val="334155"/>
                <w:sz w:val="13"/>
              </w:rPr>
              <w:t xml:space="preserve">      "value": "permission_denied",</w:t>
            </w:r>
            <w:r>
              <w:br/>
            </w:r>
            <w:r>
              <w:rPr>
                <w:rFonts w:ascii="Consolas" w:hAnsi="Consolas"/>
                <w:color w:val="334155"/>
                <w:sz w:val="13"/>
              </w:rPr>
              <w:t xml:space="preserve">      "status": "PERMISSION_DENIED",</w:t>
            </w:r>
            <w:r>
              <w:br/>
            </w:r>
            <w:r>
              <w:rPr>
                <w:rFonts w:ascii="Consolas" w:hAnsi="Consolas"/>
                <w:color w:val="334155"/>
                <w:sz w:val="13"/>
              </w:rPr>
              <w:t xml:space="preserve">      "priority": 100,</w:t>
            </w:r>
            <w:r>
              <w:br/>
            </w:r>
            <w:r>
              <w:rPr>
                <w:rFonts w:ascii="Consolas" w:hAnsi="Consolas"/>
                <w:color w:val="334155"/>
                <w:sz w:val="13"/>
              </w:rPr>
              <w:t xml:space="preserve">      "evidenceStrength": "HIGH",</w:t>
            </w:r>
            <w:r>
              <w:br/>
            </w:r>
            <w:r>
              <w:rPr>
                <w:rFonts w:ascii="Consolas" w:hAnsi="Consolas"/>
                <w:color w:val="334155"/>
                <w:sz w:val="13"/>
              </w:rPr>
              <w:t xml:space="preserve">      "retryable": false,</w:t>
            </w:r>
            <w:r>
              <w:br/>
            </w:r>
            <w:r>
              <w:rPr>
                <w:rFonts w:ascii="Consolas" w:hAnsi="Consolas"/>
                <w:color w:val="334155"/>
                <w:sz w:val="13"/>
              </w:rPr>
              <w:t xml:space="preserve">      "remediation": {</w:t>
            </w:r>
            <w:r>
              <w:br/>
            </w:r>
            <w:r>
              <w:rPr>
                <w:rFonts w:ascii="Consolas" w:hAnsi="Consolas"/>
                <w:color w:val="334155"/>
                <w:sz w:val="13"/>
              </w:rPr>
              <w:t xml:space="preserve">        "actionId": "CHECK_SCOPE_OR_PROJECT",</w:t>
            </w:r>
            <w:r>
              <w:br/>
            </w:r>
            <w:r>
              <w:rPr>
                <w:rFonts w:ascii="Consolas" w:hAnsi="Consolas"/>
                <w:color w:val="334155"/>
                <w:sz w:val="13"/>
              </w:rPr>
              <w:t xml:space="preserve">        "message": "Check credential scope/project restrictions."</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"type": "httpStatus",</w:t>
            </w:r>
            <w:r>
              <w:br/>
            </w:r>
            <w:r>
              <w:rPr>
                <w:rFonts w:ascii="Consolas" w:hAnsi="Consolas"/>
                <w:color w:val="334155"/>
                <w:sz w:val="13"/>
              </w:rPr>
              <w:t xml:space="preserve">      "value": 429,</w:t>
            </w:r>
            <w:r>
              <w:br/>
            </w:r>
            <w:r>
              <w:rPr>
                <w:rFonts w:ascii="Consolas" w:hAnsi="Consolas"/>
                <w:color w:val="334155"/>
                <w:sz w:val="13"/>
              </w:rPr>
              <w:t xml:space="preserve">      "status": "RATE_LIMITED",</w:t>
            </w:r>
            <w:r>
              <w:br/>
            </w:r>
            <w:r>
              <w:rPr>
                <w:rFonts w:ascii="Consolas" w:hAnsi="Consolas"/>
                <w:color w:val="334155"/>
                <w:sz w:val="13"/>
              </w:rPr>
              <w:t xml:space="preserve">      "priority": 10,</w:t>
            </w:r>
            <w:r>
              <w:br/>
            </w:r>
            <w:r>
              <w:rPr>
                <w:rFonts w:ascii="Consolas" w:hAnsi="Consolas"/>
                <w:color w:val="334155"/>
                <w:sz w:val="13"/>
              </w:rPr>
              <w:t xml:space="preserve">      "evidenceStrength": "LOW",</w:t>
            </w:r>
            <w:r>
              <w:br/>
            </w:r>
            <w:r>
              <w:rPr>
                <w:rFonts w:ascii="Consolas" w:hAnsi="Consolas"/>
                <w:color w:val="334155"/>
                <w:sz w:val="13"/>
              </w:rPr>
              <w:t xml:space="preserve">      "retryable": true,</w:t>
            </w:r>
            <w:r>
              <w:br/>
            </w:r>
            <w:r>
              <w:rPr>
                <w:rFonts w:ascii="Consolas" w:hAnsi="Consolas"/>
                <w:color w:val="334155"/>
                <w:sz w:val="13"/>
              </w:rPr>
              <w:t xml:space="preserve">      "remediation": {</w:t>
            </w:r>
            <w:r>
              <w:br/>
            </w:r>
            <w:r>
              <w:rPr>
                <w:rFonts w:ascii="Consolas" w:hAnsi="Consolas"/>
                <w:color w:val="334155"/>
                <w:sz w:val="13"/>
              </w:rPr>
              <w:t xml:space="preserve">        "actionId": "WAIT_AND_RETRY_LOCALLY",</w:t>
            </w:r>
            <w:r>
              <w:br/>
            </w:r>
            <w:r>
              <w:rPr>
                <w:rFonts w:ascii="Consolas" w:hAnsi="Consolas"/>
                <w:color w:val="334155"/>
                <w:sz w:val="13"/>
              </w:rPr>
              <w:t xml:space="preserve">        "message": "The provider may be throttling requests."</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w:t>
            </w:r>
            <w:r>
              <w:br/>
            </w:r>
            <w:r>
              <w:rPr>
                <w:rFonts w:ascii="Consolas" w:hAnsi="Consolas"/>
                <w:color w:val="334155"/>
                <w:sz w:val="13"/>
              </w:rPr>
              <w:t xml:space="preserve">  "rateLimitHeaders": {</w:t>
            </w:r>
            <w:r>
              <w:br/>
            </w:r>
            <w:r>
              <w:rPr>
                <w:rFonts w:ascii="Consolas" w:hAnsi="Consolas"/>
                <w:color w:val="334155"/>
                <w:sz w:val="13"/>
              </w:rPr>
              <w:t xml:space="preserve">    "remaining": ["x-ratelimit-remaining-requests"],</w:t>
            </w:r>
            <w:r>
              <w:br/>
            </w:r>
            <w:r>
              <w:rPr>
                <w:rFonts w:ascii="Consolas" w:hAnsi="Consolas"/>
                <w:color w:val="334155"/>
                <w:sz w:val="13"/>
              </w:rPr>
              <w:t xml:space="preserve">    "reset": ["x-ratelimit-reset-requests"]</w:t>
            </w:r>
            <w:r>
              <w:br/>
            </w:r>
            <w:r>
              <w:rPr>
                <w:rFonts w:ascii="Consolas" w:hAnsi="Consolas"/>
                <w:color w:val="334155"/>
                <w:sz w:val="13"/>
              </w:rPr>
              <w:t xml:space="preserve">  }</w:t>
            </w:r>
            <w:r>
              <w:br/>
            </w:r>
            <w:r>
              <w:rPr>
                <w:rFonts w:ascii="Consolas" w:hAnsi="Consolas"/>
                <w:color w:val="334155"/>
                <w:sz w:val="13"/>
              </w:rPr>
              <w:t>}</w:t>
            </w:r>
          </w:p>
        </w:tc>
      </w:tr>
    </w:tbl>
    <w:p>
      <w:pPr>
        <w:spacing w:after="20"/>
      </w:pPr>
    </w:p>
    <w:p>
      <w:pPr>
        <w:pStyle w:val="Heading2"/>
        <w:spacing w:before="180" w:after="80"/>
      </w:pPr>
      <w:r>
        <w:rPr>
          <w:rFonts w:ascii="Aptos" w:hAnsi="Aptos"/>
          <w:color w:val="0F766E"/>
        </w:rPr>
        <w:t>Manifest lint requirements</w:t>
      </w:r>
    </w:p>
    <w:p>
      <w:pPr>
        <w:pStyle w:val="ListBullet"/>
        <w:spacing w:after="40"/>
      </w:pPr>
      <w:r>
        <w:rPr>
          <w:rFonts w:ascii="Aptos" w:hAnsi="Aptos"/>
          <w:color w:val="243342"/>
          <w:sz w:val="18"/>
        </w:rPr>
        <w:t>Manifest JSON must satisfy the repository schema before loading.</w:t>
      </w:r>
    </w:p>
    <w:p>
      <w:pPr>
        <w:pStyle w:val="ListBullet"/>
        <w:spacing w:after="40"/>
      </w:pPr>
      <w:r>
        <w:rPr>
          <w:rFonts w:ascii="Aptos" w:hAnsi="Aptos"/>
          <w:color w:val="243342"/>
          <w:sz w:val="18"/>
        </w:rPr>
        <w:t>No unknown security-critical fields are accepted.</w:t>
      </w:r>
    </w:p>
    <w:p>
      <w:pPr>
        <w:pStyle w:val="ListBullet"/>
        <w:spacing w:after="40"/>
      </w:pPr>
      <w:r>
        <w:rPr>
          <w:rFonts w:ascii="Aptos" w:hAnsi="Aptos"/>
          <w:color w:val="243342"/>
          <w:sz w:val="18"/>
        </w:rPr>
        <w:t>No child manifest may widen parent host/auth/request policy.</w:t>
      </w:r>
    </w:p>
    <w:p>
      <w:pPr>
        <w:pStyle w:val="ListBullet"/>
        <w:spacing w:after="40"/>
      </w:pPr>
      <w:r>
        <w:rPr>
          <w:rFonts w:ascii="Aptos" w:hAnsi="Aptos"/>
          <w:color w:val="243342"/>
          <w:sz w:val="18"/>
        </w:rPr>
        <w:t>All paths must begin with `/` and may not contain `..`, control characters or authority syntax.</w:t>
      </w:r>
    </w:p>
    <w:p>
      <w:pPr>
        <w:pStyle w:val="ListBullet"/>
        <w:spacing w:after="40"/>
      </w:pPr>
      <w:r>
        <w:rPr>
          <w:rFonts w:ascii="Aptos" w:hAnsi="Aptos"/>
          <w:color w:val="243342"/>
          <w:sz w:val="18"/>
        </w:rPr>
        <w:t>All provider requests send an honest product `User-Agent` such as `API-HealthLab/&lt;version&gt;`.</w:t>
      </w:r>
    </w:p>
    <w:p>
      <w:pPr>
        <w:pStyle w:val="ListBullet"/>
        <w:spacing w:after="40"/>
      </w:pPr>
      <w:r>
        <w:rPr>
          <w:rFonts w:ascii="Aptos" w:hAnsi="Aptos"/>
          <w:color w:val="243342"/>
          <w:sz w:val="18"/>
        </w:rPr>
        <w:t>Billable `CHAT_MINIMAL`/`EMBED_MINIMAL` probes must declare explicit output cap and safe request-body template.</w:t>
      </w:r>
    </w:p>
    <w:p>
      <w:pPr>
        <w:pStyle w:val="Heading1"/>
        <w:spacing w:before="240" w:after="120"/>
      </w:pPr>
      <w:r>
        <w:rPr>
          <w:rFonts w:ascii="Aptos Display" w:hAnsi="Aptos Display"/>
          <w:color w:val="17324D"/>
        </w:rPr>
        <w:t>Appendix C. 128-Combination Policy Test Matrix</w:t>
      </w:r>
    </w:p>
    <w:p>
      <w:pPr>
        <w:spacing w:after="100" w:line="252" w:lineRule="auto"/>
      </w:pPr>
      <w:r>
        <w:rPr>
          <w:rFonts w:ascii="Aptos" w:hAnsi="Aptos"/>
          <w:color w:val="243342"/>
          <w:sz w:val="18"/>
        </w:rPr>
        <w:t>The policy function is a total function over CredentialRisk × SideEffectClass × CostClass × ExecutionMode = 4 × 4 × 4 × 2 = 128 combinations. Production code must test every row. The default decision is DENY unless the specific combination is allowed below.</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Risk</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Side effect</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Cost</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Mode</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Decision</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ALLOW_WITH_CONSENT</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R0</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ALLOW_WITH_CONSENT</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bl>
    <w:p>
      <w:r>
        <w:br w:type="page"/>
      </w:r>
    </w:p>
    <w:p>
      <w:pPr>
        <w:pStyle w:val="Heading2"/>
        <w:spacing w:before="180" w:after="80"/>
      </w:pPr>
      <w:r>
        <w:rPr>
          <w:rFonts w:ascii="Aptos" w:hAnsi="Aptos"/>
          <w:color w:val="0F766E"/>
        </w:rPr>
        <w:t>Appendix C continued — combinations 65–128</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Risk</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Side effect</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Cost</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Mode</w:t>
            </w:r>
          </w:p>
        </w:tc>
        <w:tc>
          <w:tcPr>
            <w:tcW w:type="dxa" w:w="1999"/>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Decision</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R2</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NONE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READ_ONLY</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ALLOW</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SANDBOX_MUTATION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FREE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LOW</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POSSIBLE_CHARGE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w:t>
            </w:r>
          </w:p>
        </w:tc>
        <w:tc>
          <w:tcPr>
            <w:tcW w:type="dxa" w:w="1999"/>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DENY</w:t>
            </w:r>
          </w:p>
        </w:tc>
      </w:tr>
      <w:tr>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REAL_WORLD_MUTATION</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HIGH_CHARGE</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w:t>
            </w:r>
          </w:p>
        </w:tc>
        <w:tc>
          <w:tcPr>
            <w:tcW w:type="dxa" w:w="1999"/>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DENY</w:t>
            </w:r>
          </w:p>
        </w:tc>
      </w:tr>
    </w:tbl>
    <w:p>
      <w:pPr>
        <w:spacing w:after="100" w:line="252" w:lineRule="auto"/>
      </w:pPr>
      <w:r>
        <w:rPr>
          <w:rFonts w:ascii="Aptos" w:hAnsi="Aptos"/>
          <w:color w:val="243342"/>
          <w:sz w:val="18"/>
        </w:rPr>
        <w:t>Automation requirement: the exact cartesian product above must be generated in a unit-test fixture rather than hand-coded as 128 independent assertions.</w:t>
      </w:r>
    </w:p>
    <w:p>
      <w:pPr>
        <w:pStyle w:val="Heading1"/>
        <w:spacing w:before="240" w:after="120"/>
      </w:pPr>
      <w:r>
        <w:rPr>
          <w:rFonts w:ascii="Aptos Display" w:hAnsi="Aptos Display"/>
          <w:color w:val="17324D"/>
        </w:rPr>
        <w:t>Appendix D. Provider Capability Matrix</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blHeader w:val="true"/>
        </w:trPr>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Provider</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Auth</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Risk</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Models</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Identity</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Chat</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Embed</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Resource read</w:t>
            </w:r>
          </w:p>
        </w:tc>
        <w:tc>
          <w:tcPr>
            <w:tcW w:type="dxa" w:w="1110"/>
            <w:vAlign w:val="center"/>
            <w:shd w:fill="17324D"/>
            <w:tcMar>
              <w:top w:w="70" w:type="dxa"/>
              <w:start w:w="70" w:type="dxa"/>
              <w:bottom w:w="70" w:type="dxa"/>
              <w:end w:w="70" w:type="dxa"/>
            </w:tcMar>
          </w:tcPr>
          <w:p>
            <w:pPr>
              <w:spacing w:after="0" w:before="0"/>
            </w:pPr>
            <w:r>
              <w:rPr>
                <w:rFonts w:ascii="Aptos" w:hAnsi="Aptos"/>
                <w:b/>
                <w:color w:val="FFFFFF"/>
                <w:sz w:val="13"/>
              </w:rPr>
            </w:r>
            <w:r>
              <w:rPr>
                <w:rFonts w:ascii="Aptos" w:hAnsi="Aptos"/>
                <w:b/>
                <w:color w:val="FFFFFF"/>
                <w:sz w:val="13"/>
              </w:rPr>
              <w:t>Mode</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OpenAI</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Google Gemini</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t>No</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Anthropic</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Mistral</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t>No</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Groq</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BEARER_TOKEN</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OpenRouter</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R1</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t>Optional</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Provider-dependent</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Hosted + Local</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GitHub</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BEARER_TOKEN</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R2</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t>Local-first / hosted denied in MVP</w:t>
            </w:r>
          </w:p>
        </w:tc>
      </w:tr>
      <w:tr>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AWS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AWS_SIGV4</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 only</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Azure</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AZURE_API_KEY</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Local only</w:t>
            </w:r>
          </w:p>
        </w:tc>
      </w:tr>
      <w:tr>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Vertex</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GCP_SERVICE_ACCOUNT</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R3</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Roadmap</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shd w:fill="F7FAFC"/>
          </w:tcPr>
          <w:p>
            <w:pPr>
              <w:spacing w:after="0" w:before="0"/>
            </w:pPr>
            <w:r>
              <w:rPr>
                <w:rFonts w:ascii="Aptos" w:hAnsi="Aptos"/>
                <w:sz w:val="13"/>
              </w:rPr>
            </w:r>
            <w:r>
              <w:rPr>
                <w:rFonts w:ascii="Aptos" w:hAnsi="Aptos"/>
                <w:b w:val="0"/>
                <w:color w:val="243342"/>
                <w:sz w:val="13"/>
              </w:rPr>
              <w:t>Local only</w:t>
            </w:r>
          </w:p>
        </w:tc>
      </w:tr>
      <w:tr>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Stripe</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API_KEY</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R3</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Yes</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No</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Test-only</w:t>
            </w:r>
          </w:p>
        </w:tc>
        <w:tc>
          <w:tcPr>
            <w:tcW w:type="dxa" w:w="1110"/>
            <w:vAlign w:val="center"/>
            <w:tcMar>
              <w:top w:w="70" w:type="dxa"/>
              <w:start w:w="70" w:type="dxa"/>
              <w:bottom w:w="70" w:type="dxa"/>
              <w:end w:w="70" w:type="dxa"/>
            </w:tcMar>
          </w:tcPr>
          <w:p>
            <w:pPr>
              <w:spacing w:after="0" w:before="0"/>
            </w:pPr>
            <w:r>
              <w:rPr>
                <w:rFonts w:ascii="Aptos" w:hAnsi="Aptos"/>
                <w:sz w:val="13"/>
              </w:rPr>
            </w:r>
            <w:r>
              <w:rPr>
                <w:rFonts w:ascii="Aptos" w:hAnsi="Aptos"/>
                <w:b w:val="0"/>
                <w:color w:val="243342"/>
                <w:sz w:val="13"/>
              </w:rPr>
              <w:t>Local/sandbox</w:t>
            </w:r>
          </w:p>
        </w:tc>
      </w:tr>
    </w:tbl>
    <w:p>
      <w:pPr>
        <w:spacing w:after="100" w:line="252" w:lineRule="auto"/>
      </w:pPr>
      <w:r>
        <w:rPr>
          <w:rFonts w:ascii="Aptos" w:hAnsi="Aptos"/>
          <w:color w:val="243342"/>
          <w:sz w:val="18"/>
        </w:rPr>
        <w:t>The matrix is generated from provider manifests at release time. “No” for AI identity means no safe MVP identity probe is assumed; it is not a claim that the provider cannot identify an account through other authenticated product surfaces.</w:t>
      </w:r>
    </w:p>
    <w:p>
      <w:pPr>
        <w:pStyle w:val="Heading1"/>
        <w:spacing w:before="240" w:after="120"/>
      </w:pPr>
      <w:r>
        <w:rPr>
          <w:rFonts w:ascii="Aptos Display" w:hAnsi="Aptos Display"/>
          <w:color w:val="17324D"/>
        </w:rPr>
        <w:t>Appendix E. CLI Exit Codes &amp; Reason Codes</w:t>
      </w:r>
    </w:p>
    <w:p>
      <w:pPr>
        <w:pStyle w:val="Heading2"/>
        <w:spacing w:before="180" w:after="80"/>
      </w:pPr>
      <w:r>
        <w:rPr>
          <w:rFonts w:ascii="Aptos" w:hAnsi="Aptos"/>
          <w:color w:val="0F766E"/>
        </w:rPr>
        <w:t>E.1 Reason codes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Code</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5"/>
              </w:rPr>
            </w:r>
            <w:r>
              <w:rPr>
                <w:rFonts w:ascii="Aptos" w:hAnsi="Aptos"/>
                <w:b/>
                <w:color w:val="FFFFFF"/>
                <w:sz w:val="15"/>
              </w:rPr>
              <w:t>Meaning</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UNSUPPORTED_INTENT</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 does not advertise the selected intent.</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MISSING_REQUIRED_FIELD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Required non-secret target/context field is absent.</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PREREQUISITE_FAILED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Dependent step skipped because prerequisite failed.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HOSTED_RISK_BLOCK</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Credential/operation is not eligible for hosted execution.</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BILLABLE_CONSENT_REQUIRED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Billable/possibly billable probe lacks explicit acknowledgement.</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CUSTOM_HOST_BLOCKED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Hosted mode rejects custom/tenant host.</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REDIRECT_BLOCKED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 returned redirect; engine did not follow.</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CLIENT_ABORTED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Client disconnected or aborted.</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PROVIDER_BUDGET_EXHAUSTED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Hosted provider admission budget reached.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SOURCE_RATE_LIMITED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Per-source hosted rate limit reached.</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TURNSTILE_FAILED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Turnstile Siteverify failed.</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CANARY_DISABLED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 has no approved invalid-key canary.</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MANIFEST_INVALID</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Manifest failed schema/security validation.</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PROVIDER_DISABLED</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Provider adapter lifecycle is disabled.</w:t>
            </w:r>
          </w:p>
        </w:tc>
      </w:tr>
      <w:tr>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OUTPUT_SAFETY_FAILURE</w:t>
            </w:r>
          </w:p>
        </w:tc>
        <w:tc>
          <w:tcPr>
            <w:tcW w:type="dxa" w:w="4997"/>
            <w:vAlign w:val="center"/>
            <w:tcMar>
              <w:top w:w="70" w:type="dxa"/>
              <w:start w:w="70" w:type="dxa"/>
              <w:bottom w:w="70" w:type="dxa"/>
              <w:end w:w="70" w:type="dxa"/>
            </w:tcMar>
          </w:tcPr>
          <w:p>
            <w:pPr>
              <w:spacing w:after="0" w:before="0"/>
            </w:pPr>
            <w:r>
              <w:rPr>
                <w:rFonts w:ascii="Aptos" w:hAnsi="Aptos"/>
                <w:sz w:val="15"/>
              </w:rPr>
            </w:r>
            <w:r>
              <w:rPr>
                <w:rFonts w:ascii="Aptos" w:hAnsi="Aptos"/>
                <w:b w:val="0"/>
                <w:color w:val="243342"/>
                <w:sz w:val="15"/>
              </w:rPr>
              <w:t>Safe output/redaction pipeline could not initialize.</w:t>
            </w:r>
          </w:p>
        </w:tc>
      </w:tr>
      <w:tr>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INVALID_INPUT</w:t>
            </w:r>
          </w:p>
        </w:tc>
        <w:tc>
          <w:tcPr>
            <w:tcW w:type="dxa" w:w="4997"/>
            <w:vAlign w:val="center"/>
            <w:tcMar>
              <w:top w:w="70" w:type="dxa"/>
              <w:start w:w="70" w:type="dxa"/>
              <w:bottom w:w="70" w:type="dxa"/>
              <w:end w:w="70" w:type="dxa"/>
            </w:tcMar>
            <w:shd w:fill="F7FAFC"/>
          </w:tcPr>
          <w:p>
            <w:pPr>
              <w:spacing w:after="0" w:before="0"/>
            </w:pPr>
            <w:r>
              <w:rPr>
                <w:rFonts w:ascii="Aptos" w:hAnsi="Aptos"/>
                <w:sz w:val="15"/>
              </w:rPr>
            </w:r>
            <w:r>
              <w:rPr>
                <w:rFonts w:ascii="Aptos" w:hAnsi="Aptos"/>
                <w:b w:val="0"/>
                <w:color w:val="243342"/>
                <w:sz w:val="15"/>
              </w:rPr>
              <w:t>Request or CLI input failed schema validation.</w:t>
            </w:r>
          </w:p>
        </w:tc>
      </w:tr>
    </w:tbl>
    <w:p>
      <w:pPr>
        <w:pStyle w:val="Heading1"/>
        <w:spacing w:before="240" w:after="120"/>
      </w:pPr>
      <w:r>
        <w:rPr>
          <w:rFonts w:ascii="Aptos Display" w:hAnsi="Aptos Display"/>
          <w:color w:val="17324D"/>
        </w:rPr>
        <w:t>Appendix F. Interview / Experiment Template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Field</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Required content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Hypothesis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Intent-first diagnostics reduce diagnosis/fix time compared with the participant's current workflow.</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Population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Developer segment and sample size.</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Task</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Specific broken API setup and provider.</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Variant A</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Participant's normal workflow.</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Variant B</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API HealthLab CLI/hosted workflow.</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Primary metric</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Time to diagnosis and time to first fix.</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Secondary metrics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Completion, trust, preference for local mode, willingness to reuse.</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Decision rule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Predeclared numeric threshold and action: proceed / revise / stop.</w:t>
            </w:r>
          </w:p>
        </w:tc>
      </w:tr>
    </w:tbl>
    <w:p>
      <w:pPr>
        <w:pStyle w:val="Heading2"/>
        <w:spacing w:before="180" w:after="80"/>
      </w:pPr>
      <w:r>
        <w:rPr>
          <w:rFonts w:ascii="Aptos" w:hAnsi="Aptos"/>
          <w:color w:val="0F766E"/>
        </w:rPr>
        <w:t>Suggested interview questions</w:t>
      </w:r>
    </w:p>
    <w:p>
      <w:pPr>
        <w:pStyle w:val="ListNumber"/>
        <w:spacing w:after="40"/>
      </w:pPr>
      <w:r>
        <w:rPr>
          <w:rFonts w:ascii="Aptos" w:hAnsi="Aptos"/>
          <w:sz w:val="18"/>
        </w:rPr>
        <w:t>Tell me about the last API credential or integration failure you debugged.</w:t>
      </w:r>
    </w:p>
    <w:p>
      <w:pPr>
        <w:pStyle w:val="ListNumber"/>
        <w:spacing w:after="40"/>
      </w:pPr>
      <w:r>
        <w:rPr>
          <w:rFonts w:ascii="Aptos" w:hAnsi="Aptos"/>
          <w:sz w:val="18"/>
        </w:rPr>
        <w:t>What evidence did you have, and what evidence was missing?</w:t>
      </w:r>
    </w:p>
    <w:p>
      <w:pPr>
        <w:pStyle w:val="ListNumber"/>
        <w:spacing w:after="40"/>
      </w:pPr>
      <w:r>
        <w:rPr>
          <w:rFonts w:ascii="Aptos" w:hAnsi="Aptos"/>
          <w:sz w:val="18"/>
        </w:rPr>
        <w:t>What tools did you use?</w:t>
      </w:r>
    </w:p>
    <w:p>
      <w:pPr>
        <w:pStyle w:val="ListNumber"/>
        <w:spacing w:after="40"/>
      </w:pPr>
      <w:r>
        <w:rPr>
          <w:rFonts w:ascii="Aptos" w:hAnsi="Aptos"/>
          <w:sz w:val="18"/>
        </w:rPr>
        <w:t>Did you hesitate to paste a credential into a third-party site?</w:t>
      </w:r>
    </w:p>
    <w:p>
      <w:pPr>
        <w:pStyle w:val="ListNumber"/>
        <w:spacing w:after="40"/>
      </w:pPr>
      <w:r>
        <w:rPr>
          <w:rFonts w:ascii="Aptos" w:hAnsi="Aptos"/>
          <w:sz w:val="18"/>
        </w:rPr>
        <w:t>What was the smallest test that would have answered the question?</w:t>
      </w:r>
    </w:p>
    <w:p>
      <w:pPr>
        <w:pStyle w:val="ListNumber"/>
        <w:spacing w:after="40"/>
      </w:pPr>
      <w:r>
        <w:rPr>
          <w:rFonts w:ascii="Aptos" w:hAnsi="Aptos"/>
          <w:sz w:val="18"/>
        </w:rPr>
        <w:t>Would you prefer local CLI, hosted web, or both?</w:t>
      </w:r>
    </w:p>
    <w:p>
      <w:pPr>
        <w:pStyle w:val="ListNumber"/>
        <w:spacing w:after="40"/>
      </w:pPr>
      <w:r>
        <w:rPr>
          <w:rFonts w:ascii="Aptos" w:hAnsi="Aptos"/>
          <w:sz w:val="18"/>
        </w:rPr>
        <w:t>What result would you consider convincing enough to act on?</w:t>
      </w:r>
    </w:p>
    <w:p>
      <w:pPr>
        <w:pStyle w:val="ListNumber"/>
        <w:spacing w:after="40"/>
      </w:pPr>
      <w:r>
        <w:rPr>
          <w:rFonts w:ascii="Aptos" w:hAnsi="Aptos"/>
          <w:sz w:val="18"/>
        </w:rPr>
        <w:t>Which providers matter most in your work?</w:t>
      </w:r>
    </w:p>
    <w:p>
      <w:pPr>
        <w:pStyle w:val="ListNumber"/>
        <w:spacing w:after="40"/>
      </w:pPr>
      <w:r>
        <w:rPr>
          <w:rFonts w:ascii="Aptos" w:hAnsi="Aptos"/>
          <w:sz w:val="18"/>
        </w:rPr>
        <w:t>What would make you use the tool twice in a month?</w:t>
      </w:r>
    </w:p>
    <w:p>
      <w:pPr>
        <w:pStyle w:val="ListNumber"/>
        <w:spacing w:after="40"/>
      </w:pPr>
      <w:r>
        <w:rPr>
          <w:rFonts w:ascii="Aptos" w:hAnsi="Aptos"/>
          <w:sz w:val="18"/>
        </w:rPr>
        <w:t>What would make you refuse to use it?</w:t>
      </w:r>
    </w:p>
    <w:p>
      <w:pPr>
        <w:pStyle w:val="Heading1"/>
        <w:spacing w:before="240" w:after="120"/>
      </w:pPr>
      <w:r>
        <w:rPr>
          <w:rFonts w:ascii="Aptos Display" w:hAnsi="Aptos Display"/>
          <w:color w:val="17324D"/>
        </w:rPr>
        <w:t>Appendix G. Source Register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2498"/>
            <w:vAlign w:val="center"/>
            <w:shd w:fill="17324D"/>
            <w:tcMar>
              <w:top w:w="70" w:type="dxa"/>
              <w:start w:w="70" w:type="dxa"/>
              <w:bottom w:w="70" w:type="dxa"/>
              <w:end w:w="70" w:type="dxa"/>
            </w:tcMar>
          </w:tcPr>
          <w:p>
            <w:pPr>
              <w:spacing w:after="0" w:before="0"/>
            </w:pPr>
            <w:r>
              <w:rPr>
                <w:rFonts w:ascii="Aptos" w:hAnsi="Aptos"/>
                <w:b/>
                <w:color w:val="FFFFFF"/>
                <w:sz w:val="12"/>
              </w:rPr>
            </w:r>
            <w:r>
              <w:rPr>
                <w:rFonts w:ascii="Aptos" w:hAnsi="Aptos"/>
                <w:b/>
                <w:color w:val="FFFFFF"/>
                <w:sz w:val="12"/>
              </w:rPr>
              <w:t>ID</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2"/>
              </w:rPr>
            </w:r>
            <w:r>
              <w:rPr>
                <w:rFonts w:ascii="Aptos" w:hAnsi="Aptos"/>
                <w:b/>
                <w:color w:val="FFFFFF"/>
                <w:sz w:val="12"/>
              </w:rPr>
              <w:t>Source</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2"/>
              </w:rPr>
            </w:r>
            <w:r>
              <w:rPr>
                <w:rFonts w:ascii="Aptos" w:hAnsi="Aptos"/>
                <w:b/>
                <w:color w:val="FFFFFF"/>
                <w:sz w:val="12"/>
              </w:rPr>
              <w:t>URL</w:t>
            </w:r>
          </w:p>
        </w:tc>
        <w:tc>
          <w:tcPr>
            <w:tcW w:type="dxa" w:w="2498"/>
            <w:vAlign w:val="center"/>
            <w:shd w:fill="17324D"/>
            <w:tcMar>
              <w:top w:w="70" w:type="dxa"/>
              <w:start w:w="70" w:type="dxa"/>
              <w:bottom w:w="70" w:type="dxa"/>
              <w:end w:w="70" w:type="dxa"/>
            </w:tcMar>
          </w:tcPr>
          <w:p>
            <w:pPr>
              <w:spacing w:after="0" w:before="0"/>
            </w:pPr>
            <w:r>
              <w:rPr>
                <w:rFonts w:ascii="Aptos" w:hAnsi="Aptos"/>
                <w:b/>
                <w:color w:val="FFFFFF"/>
                <w:sz w:val="12"/>
              </w:rPr>
            </w:r>
            <w:r>
              <w:rPr>
                <w:rFonts w:ascii="Aptos" w:hAnsi="Aptos"/>
                <w:b/>
                <w:color w:val="FFFFFF"/>
                <w:sz w:val="12"/>
              </w:rPr>
              <w:t>Use</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S1</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Cloudflare Workers Limits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https://developers.cloudflare.com/workers/platform/limits/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Current platform limits used for Worker sizing;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S2</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Cloudflare Durable Objects Pricing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https://developers.cloudflare.com/durable-objects/platform/pricing/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Free-tier DO requests/duration and billing behavior;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S3</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Cloudflare Durable Objects Limits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https://developers.cloudflare.com/durable-objects/platform/limits/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DO storage/object/CPU limits;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S4</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Cloudflare Turnstile server-side validation</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https://developers.cloudflare.com/turnstile/get-started/server-side-validation/</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Server-side Siteverify, five-minute/single-use token behavior;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S5</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Cloudflare Workers Cache</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https://developers.cloudflare.com/workers/runtime-apis/cache/</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Cache locality/replication behavior;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S6</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Cloudflare Workers caching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https://developers.cloudflare.com/workers/cache/</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Workers caching behavior;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S7</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npm trusted publishing</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https://docs.npmjs.com/trusted-publishers/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OIDC trusted publishing;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M1</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Postman 2025 State of the API</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https://www.postman.com/state-of-api/2025/</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Current market signals and developer/API adoption;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M2</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Postman pricing</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https://www.postman.com/pricing/</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Current product/plan positioning;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M3</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Postman API debugging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https://learning.postman.com/docs/use/send-requests/response-data/troubleshooting-api-requests</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Current Agent Mode/API debugging capability;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M4</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TruffleHog repository</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https://github.com/trufflesecurity/trufflehog</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Live credential verification and 800+ secret types;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M5</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Bugatsec API Key Validator</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https://github.com/Bugatsec/API-Key-Validator</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Adjacent local credential validation project identified in market review; verify project state before publication.</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M6</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KeyHacks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https://github.com/streaak/keyhacks</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Adjacent credential-testing/security research project; current popularity should be rechecked before public publication.</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S8</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Cloudflare Durable Objects Limits</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https://developers.cloudflare.com/durable-objects/platform/limits/</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Current DO request/object/CPU limits;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M11</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Postman 2025 State of the API</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https://www.postman.com/state-of-api/2025/</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API-first/AI/security ecosystem figures;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M12</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Postman API request troubleshooting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https://learning.postman.com/docs/use/send-requests/response-data/troubleshooting-api-requests</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Current Agent Mode debugging capability; accessed 1 Oct 2026.</w:t>
            </w:r>
          </w:p>
        </w:tc>
      </w:tr>
      <w:tr>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M13</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TruffleHog repository</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https://github.com/trufflesecurity/trufflehog</w:t>
            </w:r>
          </w:p>
        </w:tc>
        <w:tc>
          <w:tcPr>
            <w:tcW w:type="dxa" w:w="2498"/>
            <w:vAlign w:val="center"/>
            <w:tcMar>
              <w:top w:w="70" w:type="dxa"/>
              <w:start w:w="70" w:type="dxa"/>
              <w:bottom w:w="70" w:type="dxa"/>
              <w:end w:w="70" w:type="dxa"/>
            </w:tcMar>
          </w:tcPr>
          <w:p>
            <w:pPr>
              <w:spacing w:after="0" w:before="0"/>
            </w:pPr>
            <w:r>
              <w:rPr>
                <w:rFonts w:ascii="Aptos" w:hAnsi="Aptos"/>
                <w:sz w:val="12"/>
              </w:rPr>
            </w:r>
            <w:r>
              <w:rPr>
                <w:rFonts w:ascii="Aptos" w:hAnsi="Aptos"/>
                <w:b w:val="0"/>
                <w:color w:val="243342"/>
                <w:sz w:val="12"/>
              </w:rPr>
              <w:t>800+ secret types and active credential verification; accessed 1 Oct 2026.</w:t>
            </w:r>
          </w:p>
        </w:tc>
      </w:tr>
      <w:tr>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M14</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Postman pricing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https://www.postman.com/pricing/</w:t>
            </w:r>
          </w:p>
        </w:tc>
        <w:tc>
          <w:tcPr>
            <w:tcW w:type="dxa" w:w="2498"/>
            <w:vAlign w:val="center"/>
            <w:tcMar>
              <w:top w:w="70" w:type="dxa"/>
              <w:start w:w="70" w:type="dxa"/>
              <w:bottom w:w="70" w:type="dxa"/>
              <w:end w:w="70" w:type="dxa"/>
            </w:tcMar>
            <w:shd w:fill="F7FAFC"/>
          </w:tcPr>
          <w:p>
            <w:pPr>
              <w:spacing w:after="0" w:before="0"/>
            </w:pPr>
            <w:r>
              <w:rPr>
                <w:rFonts w:ascii="Aptos" w:hAnsi="Aptos"/>
                <w:sz w:val="12"/>
              </w:rPr>
            </w:r>
            <w:r>
              <w:rPr>
                <w:rFonts w:ascii="Aptos" w:hAnsi="Aptos"/>
                <w:b w:val="0"/>
                <w:color w:val="243342"/>
                <w:sz w:val="12"/>
              </w:rPr>
              <w:t>Current API development/testing/monitoring product positioning; accessed 1 Oct 2026.</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Source hygiene  </w:t>
            </w:r>
            <w:r>
              <w:rPr>
                <w:color w:val="243342"/>
                <w:sz w:val="18"/>
              </w:rPr>
              <w:t>Provider plans, model catalogs, free-tier limits and third-party product capabilities change. Reverify all public-facing claims immediately before publication. Do not treat free-tier availability as a business dependency.</w:t>
            </w:r>
          </w:p>
        </w:tc>
      </w:tr>
    </w:tbl>
    <w:p>
      <w:pPr>
        <w:spacing w:after="20"/>
      </w:pPr>
    </w:p>
    <w:p>
      <w:r>
        <w:br w:type="page"/>
      </w:r>
    </w:p>
    <w:p>
      <w:pPr>
        <w:pStyle w:val="Heading1"/>
        <w:spacing w:before="240" w:after="120"/>
      </w:pPr>
      <w:r>
        <w:rPr>
          <w:rFonts w:ascii="Aptos Display" w:hAnsi="Aptos Display"/>
          <w:color w:val="17324D"/>
        </w:rPr>
        <w:t>Final Implementation Sign-Off</w:t>
      </w:r>
    </w:p>
    <w:p>
      <w:pPr>
        <w:spacing w:after="100" w:line="252" w:lineRule="auto"/>
      </w:pPr>
      <w:r>
        <w:rPr>
          <w:rFonts w:ascii="Aptos" w:hAnsi="Aptos"/>
          <w:color w:val="243342"/>
          <w:sz w:val="18"/>
        </w:rPr>
        <w:t>The v2.3 blueprint resolves the identified v2.2 gaps at the specification level and converts the most important design decisions into testable contracts, policies and launch gates.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Decision</w:t>
            </w:r>
          </w:p>
        </w:tc>
        <w:tc>
          <w:tcPr>
            <w:tcW w:type="dxa" w:w="4997"/>
            <w:vAlign w:val="center"/>
            <w:shd w:fill="17324D"/>
            <w:tcMar>
              <w:top w:w="70" w:type="dxa"/>
              <w:start w:w="70" w:type="dxa"/>
              <w:bottom w:w="70" w:type="dxa"/>
              <w:end w:w="70" w:type="dxa"/>
            </w:tcMar>
          </w:tcPr>
          <w:p>
            <w:pPr>
              <w:spacing w:after="0" w:before="0"/>
            </w:pPr>
            <w:r>
              <w:rPr>
                <w:rFonts w:ascii="Aptos" w:hAnsi="Aptos"/>
                <w:b/>
                <w:color w:val="FFFFFF"/>
                <w:sz w:val="16"/>
              </w:rPr>
            </w:r>
            <w:r>
              <w:rPr>
                <w:rFonts w:ascii="Aptos" w:hAnsi="Aptos"/>
                <w:b/>
                <w:color w:val="FFFFFF"/>
                <w:sz w:val="16"/>
              </w:rPr>
              <w:t>Status</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the project be implemented without guessing at the core domain model?</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 — canonical contracts and runtime schemas are specified.</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the policy engine return a deterministic answer for every input combination?</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 — total function + 128-case test requirement.</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a manifest silently widen its security permissions?</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 — inheritance is non-widening and runtime-validated.</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an adapter bypass network controls?</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No — all provider requests go through controlled fetch.</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multi-step auth flows be represented safely?</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 — bounded code-based ProbePlans with secret intermediate bindings.</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Can hosted abuse controls be implemented on Cloudflare Free?</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 within the documented MVP budget, with explicit degrade-to-CLI behavior.</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Can local execution keep secrets out of API HealthLab infrastructure?</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Yes, by design, unless the user explicitly invokes a hosted status lookup.</w:t>
            </w:r>
          </w:p>
        </w:tc>
      </w:tr>
      <w:tr>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Does the MVP remain solo-builder sized?</w:t>
            </w:r>
          </w:p>
        </w:tc>
        <w:tc>
          <w:tcPr>
            <w:tcW w:type="dxa" w:w="4997"/>
            <w:vAlign w:val="center"/>
            <w:tcMar>
              <w:top w:w="70" w:type="dxa"/>
              <w:start w:w="70" w:type="dxa"/>
              <w:bottom w:w="70" w:type="dxa"/>
              <w:end w:w="70" w:type="dxa"/>
            </w:tcMar>
            <w:shd w:fill="F7FAFC"/>
          </w:tcPr>
          <w:p>
            <w:pPr>
              <w:spacing w:after="0" w:before="0"/>
            </w:pPr>
            <w:r>
              <w:rPr>
                <w:rFonts w:ascii="Aptos" w:hAnsi="Aptos"/>
                <w:sz w:val="16"/>
              </w:rPr>
            </w:r>
            <w:r>
              <w:rPr>
                <w:rFonts w:ascii="Aptos" w:hAnsi="Aptos"/>
                <w:b w:val="0"/>
                <w:color w:val="243342"/>
                <w:sz w:val="16"/>
              </w:rPr>
              <w:t>Yes — CLI/core first, seven providers, five intents, hosted after local proof.</w:t>
            </w:r>
          </w:p>
        </w:tc>
      </w:tr>
      <w:tr>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Is market fit proven?</w:t>
            </w:r>
          </w:p>
        </w:tc>
        <w:tc>
          <w:tcPr>
            <w:tcW w:type="dxa" w:w="4997"/>
            <w:vAlign w:val="center"/>
            <w:tcMar>
              <w:top w:w="70" w:type="dxa"/>
              <w:start w:w="70" w:type="dxa"/>
              <w:bottom w:w="70" w:type="dxa"/>
              <w:end w:w="70" w:type="dxa"/>
            </w:tcMar>
          </w:tcPr>
          <w:p>
            <w:pPr>
              <w:spacing w:after="0" w:before="0"/>
            </w:pPr>
            <w:r>
              <w:rPr>
                <w:rFonts w:ascii="Aptos" w:hAnsi="Aptos"/>
                <w:sz w:val="16"/>
              </w:rPr>
            </w:r>
            <w:r>
              <w:rPr>
                <w:rFonts w:ascii="Aptos" w:hAnsi="Aptos"/>
                <w:b w:val="0"/>
                <w:color w:val="243342"/>
                <w:sz w:val="16"/>
              </w:rPr>
              <w:t>No — it remains a hypothesis and must be validated with the defined experiments.</w:t>
            </w:r>
          </w:p>
        </w:tc>
      </w:tr>
    </w:tbl>
    <w:tbl>
      <w:tblPr>
        <w:tblW w:type="auto" w:w="0"/>
        <w:jc w:val="center"/>
        <w:tblLook w:firstColumn="1" w:firstRow="1" w:lastColumn="0" w:lastRow="0" w:noHBand="0" w:noVBand="1" w:val="04A0"/>
      </w:tblPr>
      <w:tblGrid>
        <w:gridCol w:w="9994"/>
      </w:tblGrid>
      <w:tr>
        <w:tc>
          <w:tcPr>
            <w:tcW w:type="dxa" w:w="9994"/>
            <w:shd w:fill="FBF4E5"/>
            <w:tcMar>
              <w:top w:w="110" w:type="dxa"/>
              <w:start w:w="110" w:type="dxa"/>
              <w:bottom w:w="110" w:type="dxa"/>
              <w:end w:w="110" w:type="dxa"/>
            </w:tcMar>
          </w:tcPr>
          <w:p>
            <w:r>
              <w:rPr>
                <w:b/>
                <w:color w:val="B7791F"/>
                <w:sz w:val="18"/>
              </w:rPr>
              <w:t xml:space="preserve">Implementation gate  </w:t>
            </w:r>
            <w:r>
              <w:rPr>
                <w:color w:val="243342"/>
                <w:sz w:val="18"/>
              </w:rPr>
              <w:t>Start with Phase 0 vertical slice. Do not begin broad provider expansion until the contract, policy, fetch, classifier, evidence and redaction tests are green.</w:t>
            </w:r>
          </w:p>
        </w:tc>
      </w:tr>
    </w:tbl>
    <w:p>
      <w:pPr>
        <w:spacing w:after="20"/>
      </w:pPr>
    </w:p>
    <w:p>
      <w:pPr>
        <w:spacing w:after="100" w:line="252" w:lineRule="auto"/>
      </w:pPr>
      <w:r>
        <w:rPr>
          <w:rFonts w:ascii="Aptos" w:hAnsi="Aptos"/>
          <w:color w:val="243342"/>
          <w:sz w:val="18"/>
        </w:rPr>
        <w:t>Document owner: API HealthLab project maintainer. This blueprint is an engineering specification, not legal advice and not a guarantee of provider terms, quotas or behavior. External facts should be reverified at release time.</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Confidential project blueprint • 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6"/>
        <w:sz w:val="16"/>
      </w:rPr>
      <w:t>API HealthLab | v2.4 | Implementation-Ready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HealthLab v2.4 - Architecture and Engineering Specification</dc:title>
  <dc:subject>Implementation-ready API HealthLab product, architecture, database, integration, security and coding specification</dc:subject>
  <dc:creator>python-docx</dc:creator>
  <cp:keywords>API HealthLab, architecture, database design, integrations, security, coding standards</cp:keywords>
  <dc:description>generated by python-docx</dc:description>
  <cp:lastModifiedBy/>
  <cp:revision>1</cp:revision>
  <dcterms:created xsi:type="dcterms:W3CDTF">2013-12-23T23:15:00Z</dcterms:created>
  <dcterms:modified xsi:type="dcterms:W3CDTF">2013-12-23T23:15:00Z</dcterms:modified>
  <cp:category/>
</cp:coreProperties>
</file>