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45920" cy="1645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p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0F172A"/>
          <w:sz w:val="48"/>
        </w:rPr>
        <w:t>RetentionIQ</w:t>
        <w:br/>
      </w:r>
      <w:r>
        <w:rPr>
          <w:color w:val="475569"/>
          <w:sz w:val="20"/>
        </w:rPr>
        <w:t>An Apache Spark and Scikit-Learn Web Platform for Customer Retention Prediction and Churn Intelligence</w:t>
        <w:br/>
      </w:r>
    </w:p>
    <w:p>
      <w:pPr>
        <w:jc w:val="center"/>
      </w:pPr>
      <w:r>
        <w:rPr>
          <w:b/>
          <w:sz w:val="22"/>
        </w:rPr>
        <w:t>Course: INT315 - Cluster Computing</w:t>
        <w:br/>
      </w:r>
      <w:r>
        <w:rPr>
          <w:sz w:val="20"/>
        </w:rPr>
        <w:t>Assessment: CA2</w:t>
        <w:br/>
        <w:br/>
      </w:r>
      <w:r>
        <w:rPr>
          <w:b/>
          <w:color w:val="0284C7"/>
          <w:sz w:val="28"/>
        </w:rPr>
        <w:t>Project 44: Customer Retention Prediction</w:t>
        <w:br/>
      </w:r>
    </w:p>
    <w:p>
      <w:r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</w:tcPr>
          <w:p>
            <w:r>
              <w:rPr>
                <w:b/>
              </w:rPr>
              <w:t>Submitted to:</w:t>
            </w:r>
          </w:p>
        </w:tc>
        <w:tc>
          <w:tcPr>
            <w:tcW w:type="dxa" w:w="5472"/>
          </w:tcPr>
          <w:p>
            <w:r>
              <w:t>Dr. Rajinder Vir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Submitted by:</w:t>
            </w:r>
          </w:p>
        </w:tc>
        <w:tc>
          <w:tcPr>
            <w:tcW w:type="dxa" w:w="5472"/>
          </w:tcPr>
          <w:p>
            <w:r>
              <w:t>Parth Tripathi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Registration No.:</w:t>
            </w:r>
          </w:p>
        </w:tc>
        <w:tc>
          <w:tcPr>
            <w:tcW w:type="dxa" w:w="5472"/>
          </w:tcPr>
          <w:p>
            <w:r>
              <w:t>12306364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Section:</w:t>
            </w:r>
          </w:p>
        </w:tc>
        <w:tc>
          <w:tcPr>
            <w:tcW w:type="dxa" w:w="5472"/>
          </w:tcPr>
          <w:p>
            <w:r>
              <w:t>RK2M2348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School:</w:t>
            </w:r>
          </w:p>
        </w:tc>
        <w:tc>
          <w:tcPr>
            <w:tcW w:type="dxa" w:w="5472"/>
          </w:tcPr>
          <w:p>
            <w:r>
              <w:t>School of Computer Science and Engineering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Date of Submission:</w:t>
            </w:r>
          </w:p>
        </w:tc>
        <w:tc>
          <w:tcPr>
            <w:tcW w:type="dxa" w:w="5472"/>
          </w:tcPr>
          <w:p>
            <w:r>
              <w:t>24/10/2026</w:t>
            </w:r>
          </w:p>
        </w:tc>
      </w:tr>
    </w:tbl>
    <w:p>
      <w:r>
        <w:br w:type="page"/>
      </w:r>
    </w:p>
    <w:p>
      <w:pPr>
        <w:pStyle w:val="Heading1"/>
      </w:pPr>
      <w:r>
        <w:t>Acknowledgement</w:t>
      </w:r>
    </w:p>
    <w:p>
      <w:r>
        <w:t>I would like to express my sincere gratitude to Dr. Rajinder Vir, my course instructor for INT315 - Cluster Computing, for his guidance, clear explanations of distributed computing concepts, and constructive feedback throughout this project. His teaching helped me understand how a cluster computing framework such as Apache Spark divides work across cores and cluster worker nodes, which shaped the architecture of this predictive retention system.</w:t>
        <w:br/>
        <w:br/>
        <w:t>I am also deeply thankful to Lovely Professional University for providing the academic environment and computing infrastructure needed to complete this work. I acknowledge the Apache Spark, PySpark, Scikit-learn, Streamlit, Matplotlib and pandas open-source developer communities, whose documentation and software packages made the pipeline design and web interface possible. Finally, I thank my family and classmates for their constant support and encouragement throughout this coursework.</w:t>
      </w:r>
    </w:p>
    <w:p>
      <w:r>
        <w:br w:type="page"/>
      </w:r>
    </w:p>
    <w:p>
      <w:pPr>
        <w:pStyle w:val="Heading1"/>
      </w:pPr>
      <w:r>
        <w:t>Table of Contents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Acknowledgement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b/>
              </w:rPr>
              <w:t>2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Table of Contents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b/>
              </w:rPr>
              <w:t>3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List of Tables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b/>
              </w:rPr>
              <w:t>4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List of Figures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b/>
              </w:rPr>
              <w:t>4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Abstract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b/>
              </w:rPr>
              <w:t>5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1. Project Title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b/>
              </w:rPr>
              <w:t>5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2. Problem Statement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b/>
              </w:rPr>
              <w:t>5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3. Objective of the Project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b/>
              </w:rPr>
              <w:t>6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4. Dataset Description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b/>
              </w:rPr>
              <w:t>6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5. Dataset Source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b/>
              </w:rPr>
              <w:t>6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6. Tools &amp; Technologies Used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b/>
              </w:rPr>
              <w:t>7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7. Implementation / Methodology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b/>
              </w:rPr>
              <w:t>8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8. Complete Code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b/>
              </w:rPr>
              <w:t>10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9. Execution Screenshots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b/>
              </w:rPr>
              <w:t>13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10. Output / Result Screenshots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b/>
              </w:rPr>
              <w:t>15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11. Result Analysis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b/>
              </w:rPr>
              <w:t>18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12. Conclusion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b/>
              </w:rPr>
              <w:t>18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References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b/>
              </w:rPr>
              <w:t>18</w:t>
            </w:r>
          </w:p>
        </w:tc>
      </w:tr>
    </w:tbl>
    <w:p>
      <w:r>
        <w:br w:type="page"/>
      </w:r>
    </w:p>
    <w:p>
      <w:pPr>
        <w:pStyle w:val="Heading1"/>
      </w:pPr>
      <w:r>
        <w:t>List of Tables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Table 1: Dataset description and schema attributes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t>6</w:t>
            </w:r>
          </w:p>
        </w:tc>
      </w:tr>
      <w:tr>
        <w:tc>
          <w:tcPr>
            <w:tcW w:type="dxa" w:w="5040"/>
          </w:tcPr>
          <w:p>
            <w:r>
              <w:t>Table 2: Sample customer records and features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t>6</w:t>
            </w:r>
          </w:p>
        </w:tc>
      </w:tr>
      <w:tr>
        <w:tc>
          <w:tcPr>
            <w:tcW w:type="dxa" w:w="5040"/>
          </w:tcPr>
          <w:p>
            <w:r>
              <w:t>Table 3: Technology stack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t>7</w:t>
            </w:r>
          </w:p>
        </w:tc>
      </w:tr>
      <w:tr>
        <w:tc>
          <w:tcPr>
            <w:tcW w:type="dxa" w:w="5040"/>
          </w:tcPr>
          <w:p>
            <w:r>
              <w:t>Table 4: Pipeline stages and modular components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t>8</w:t>
            </w:r>
          </w:p>
        </w:tc>
      </w:tr>
      <w:tr>
        <w:tc>
          <w:tcPr>
            <w:tcW w:type="dxa" w:w="5040"/>
          </w:tcPr>
          <w:p>
            <w:r>
              <w:t>Table 5: Mapping of assignment tasks to implementation and web pages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t>9</w:t>
            </w:r>
          </w:p>
        </w:tc>
      </w:tr>
      <w:tr>
        <w:tc>
          <w:tcPr>
            <w:tcW w:type="dxa" w:w="5040"/>
          </w:tcPr>
          <w:p>
            <w:r>
              <w:t>Table 6: Model evaluation metrics and retention by tier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t>18</w:t>
            </w:r>
          </w:p>
        </w:tc>
      </w:tr>
    </w:tbl>
    <w:p>
      <w:pPr>
        <w:pStyle w:val="Heading1"/>
      </w:pPr>
      <w:r>
        <w:t>List of Figures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Figure 1: End-to-end pipeline map of the RetentionIQ platform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t>8</w:t>
            </w:r>
          </w:p>
        </w:tc>
      </w:tr>
      <w:tr>
        <w:tc>
          <w:tcPr>
            <w:tcW w:type="dxa" w:w="5040"/>
          </w:tcPr>
          <w:p>
            <w:r>
              <w:t>Figure 2: Layered architecture: data, distributed Spark processing, cache and presentation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t>9</w:t>
            </w:r>
          </w:p>
        </w:tc>
      </w:tr>
      <w:tr>
        <w:tc>
          <w:tcPr>
            <w:tcW w:type="dxa" w:w="5040"/>
          </w:tcPr>
          <w:p>
            <w:r>
              <w:t>Figure 3: Execution of Task 1 (Load Data) and Task 2 (Missing Values)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t>13</w:t>
            </w:r>
          </w:p>
        </w:tc>
      </w:tr>
      <w:tr>
        <w:tc>
          <w:tcPr>
            <w:tcW w:type="dxa" w:w="5040"/>
          </w:tcPr>
          <w:p>
            <w:r>
              <w:t>Figure 4: Execution of Task 3 (Encode Categorical) and Task 4 (Train Model)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t>13</w:t>
            </w:r>
          </w:p>
        </w:tc>
      </w:tr>
      <w:tr>
        <w:tc>
          <w:tcPr>
            <w:tcW w:type="dxa" w:w="5040"/>
          </w:tcPr>
          <w:p>
            <w:r>
              <w:t>Figure 5: Execution of Task 5 (Evaluate Model) and Task 6 (Visualize Retention)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t>14</w:t>
            </w:r>
          </w:p>
        </w:tc>
      </w:tr>
      <w:tr>
        <w:tc>
          <w:tcPr>
            <w:tcW w:type="dxa" w:w="5040"/>
          </w:tcPr>
          <w:p>
            <w:r>
              <w:t>Figure 6: Execution of Apache Spark distributed processing engine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t>14</w:t>
            </w:r>
          </w:p>
        </w:tc>
      </w:tr>
      <w:tr>
        <w:tc>
          <w:tcPr>
            <w:tcW w:type="dxa" w:w="5040"/>
          </w:tcPr>
          <w:p>
            <w:r>
              <w:t>Figure 7: Output of Task 1 - Route frequency and airline market share distribution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t>15</w:t>
            </w:r>
          </w:p>
        </w:tc>
      </w:tr>
      <w:tr>
        <w:tc>
          <w:tcPr>
            <w:tcW w:type="dxa" w:w="5040"/>
          </w:tcPr>
          <w:p>
            <w:r>
              <w:t>Figure 8: Output of Task 2 - Imputation audit and clean distribution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t>15</w:t>
            </w:r>
          </w:p>
        </w:tc>
      </w:tr>
      <w:tr>
        <w:tc>
          <w:tcPr>
            <w:tcW w:type="dxa" w:w="5040"/>
          </w:tcPr>
          <w:p>
            <w:r>
              <w:t>Figure 9: Output of Task 3 - Categorical attributes balance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t>16</w:t>
            </w:r>
          </w:p>
        </w:tc>
      </w:tr>
      <w:tr>
        <w:tc>
          <w:tcPr>
            <w:tcW w:type="dxa" w:w="5040"/>
          </w:tcPr>
          <w:p>
            <w:r>
              <w:t>Figure 10: Output of Task 4 - Decision Tree feature importances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t>16</w:t>
            </w:r>
          </w:p>
        </w:tc>
      </w:tr>
      <w:tr>
        <w:tc>
          <w:tcPr>
            <w:tcW w:type="dxa" w:w="5040"/>
          </w:tcPr>
          <w:p>
            <w:r>
              <w:t>Figure 11: Output of Task 5 - Confusion matrix and evaluation metrics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t>17</w:t>
            </w:r>
          </w:p>
        </w:tc>
      </w:tr>
      <w:tr>
        <w:tc>
          <w:tcPr>
            <w:tcW w:type="dxa" w:w="5040"/>
          </w:tcPr>
          <w:p>
            <w:r>
              <w:t>Figure 12: Output of Task 6 - Retention rate by membership level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t>17</w:t>
            </w:r>
          </w:p>
        </w:tc>
      </w:tr>
    </w:tbl>
    <w:p>
      <w:r>
        <w:br w:type="page"/>
      </w:r>
    </w:p>
    <w:p>
      <w:pPr>
        <w:pStyle w:val="Heading1"/>
      </w:pPr>
      <w:r>
        <w:t>Abstract</w:t>
      </w:r>
    </w:p>
    <w:p>
      <w:r>
        <w:t>In competitive e-commerce and retail ecosystems, retaining existing customers is fundamentally more cost-effective than acquiring new ones, with customer acquisition estimated to cost 5 to 7 times more. Predicting churn through distributed machine learning allows enterprises to implement preemptive retention campaigns. This project presents RetentionIQ, a distributed analytics and decision intelligence platform built with Apache Spark (PySpark), Scikit-learn, and Streamlit. The system analyzes customer transaction histories comprising 1,000 commercial customer accounts across 7 primary urban hubs and 3 loyalty tiers. The analytical workflow handles missing transaction features using mean imputation, encodes high-cardinality categorical fields, assembles dense feature vectors, and trains a Decision Tree Classifier (max_depth=5). The model achieves 81.5% classification accuracy, with feature importance demonstrating that customer inactivity (days since last order) and satisfaction score are the primary drivers of churn. Cross-tier retention analysis reveals that Gold tier members maintain an 84.5% retention rate compared to 54.1% in Bronze accounts. The solution is deployed as a responsive, interactive web application featuring modular task-by-task execution.</w:t>
        <w:br/>
        <w:br/>
        <w:t>Keywords: Apache Spark, PySpark, Decision Tree, Churn Prediction, Customer Retention, Streamlit, Cluster Computing.</w:t>
      </w:r>
    </w:p>
    <w:p>
      <w:pPr>
        <w:pStyle w:val="Heading1"/>
      </w:pPr>
      <w:r>
        <w:t>1. Project Title</w:t>
      </w:r>
    </w:p>
    <w:p>
      <w:r>
        <w:t>RetentionIQ: Customer Retention Prediction &amp; Churn Intelligence</w:t>
        <w:br/>
        <w:t>A distributed big data predictive pipeline and interactive web platform analyzing customer transactional behavior to forecast churn risk using Apache Spark and Decision Tree Classification.</w:t>
      </w:r>
    </w:p>
    <w:p>
      <w:pPr>
        <w:pStyle w:val="Heading1"/>
      </w:pPr>
      <w:r>
        <w:t>2. Problem Statement</w:t>
      </w:r>
    </w:p>
    <w:p>
      <w:r>
        <w:t>• Asymmetric Cost of Attrition: Acquiring new customers requires heavy marketing outlay, whereas improving retention rates by just 5% can increase enterprise profits by 25% to 95%.</w:t>
        <w:br/>
        <w:t>• Data Sparsity &amp; Missing Attributes: Behavioral logs frequently exhibit missing frequency and spend records due to intermittent tracking or third-party checkouts.</w:t>
        <w:br/>
        <w:t>• Scalability Bottlenecks in Traditional RDBMS: Tabular relational databases cannot execute distributed feature transformations and iterative tree partitioning across millions of customer transactions.</w:t>
      </w:r>
    </w:p>
    <w:p>
      <w:r>
        <w:br w:type="page"/>
      </w:r>
    </w:p>
    <w:p>
      <w:pPr>
        <w:pStyle w:val="Heading1"/>
      </w:pPr>
      <w:r>
        <w:t>3. Objective of the Project</w:t>
      </w:r>
    </w:p>
    <w:p>
      <w:r>
        <w:t>1. Ingest customer transaction history into an Apache Spark DataFrame and inspect schema properties.</w:t>
        <w:br/>
        <w:t>2. Identify and handle missing values in order_frequency and total_order_value via mean substitution.</w:t>
        <w:br/>
        <w:t>3. Encode categorical attributes (location, membership_type, gender) into numerical indices using StringIndexer.</w:t>
        <w:br/>
        <w:t>4. Assemble multi-dimensional feature vectors and train a Decision Tree Classifier with maxDepth=5 on an 80/20 split.</w:t>
        <w:br/>
        <w:t>5. Evaluate classification performance rigorously using Accuracy, Weighted Precision, and Weighted Recall.</w:t>
        <w:br/>
        <w:t>6. Calculate and visualize retention rates across Gold, Silver, and Bronze membership tiers on an interactive dashboard.</w:t>
      </w:r>
    </w:p>
    <w:p>
      <w:pPr>
        <w:pStyle w:val="Heading1"/>
      </w:pPr>
      <w:r>
        <w:t>4. Dataset Description</w:t>
      </w:r>
    </w:p>
    <w:p>
      <w:r>
        <w:t>Table 1: Dataset description and schema attributes (customer_data.csv - 1,000 records, 11 features)</w:t>
      </w:r>
    </w:p>
    <w:p>
      <w:pPr>
        <w:pStyle w:val="Heading1"/>
      </w:pPr>
      <w:r>
        <w:t>5. Dataset Source</w:t>
      </w:r>
    </w:p>
    <w:p>
      <w:r>
        <w:t>1. E-Commerce Customer Analytics Repository (IBM Telco Churn Framework benchmark).</w:t>
        <w:br/>
        <w:t>2. Open Government Data (OGD) Platform India - Commercial Retail Benchmarks.</w:t>
        <w:br/>
        <w:t>3. Ministry of Consumer Affairs, E-Commerce Consumer Behavioral Survey Data.</w:t>
        <w:br/>
        <w:t>4. Kaggle Predictive Analytics Repository: Retail Customer Retention Records (2020-2025).</w:t>
      </w:r>
    </w:p>
    <w:p>
      <w:r>
        <w:br w:type="page"/>
      </w:r>
    </w:p>
    <w:p>
      <w:pPr>
        <w:pStyle w:val="Heading1"/>
      </w:pPr>
      <w:r>
        <w:t>6. Tools &amp; Technologies Used</w:t>
      </w:r>
    </w:p>
    <w:p>
      <w:r>
        <w:t>• Apache Spark 3.5.7 (PySpark): Parallel RDD transformations, distributed DataFrame computation, and cluster pipeline execution.</w:t>
        <w:br/>
        <w:t>• Python 3.10+ / Scala 2.12: Core programming runtime for script execution and Spark ML abstraction.</w:t>
        <w:br/>
        <w:t>• PySpark ML / Scikit-learn: StringIndexer, VectorAssembler, DecisionTreeClassifier, and MulticlassClassificationEvaluator.</w:t>
        <w:br/>
        <w:t>• pandas, NumPy: Tabular aggregation, null checking, categorical mappings, and CSV serialization.</w:t>
        <w:br/>
        <w:t>• Streamlit 1.28+: Interactive dashboard application with reactive state caching (@st.cache_data) and sidebar routing.</w:t>
        <w:br/>
        <w:t>• Matplotlib 3.8+: High-resolution confusion matrix heatmaps, feature importance charts, and tier bar graphs.</w:t>
        <w:br/>
        <w:t>• Jupyter Notebook 7.x: Interactive literate programming interface for reproducible exploratory data science.</w:t>
      </w:r>
    </w:p>
    <w:p>
      <w:r>
        <w:br w:type="page"/>
      </w:r>
    </w:p>
    <w:p>
      <w:pPr>
        <w:pStyle w:val="Heading1"/>
      </w:pPr>
      <w:r>
        <w:t>Output &amp; Result Figures</w:t>
      </w:r>
    </w:p>
    <w:p>
      <w:r>
        <w:t>Figure 1: End-to-end pipeline map of the RetentionIQ platform</w:t>
      </w:r>
    </w:p>
    <w:p>
      <w:r>
        <w:drawing>
          <wp:inline xmlns:a="http://schemas.openxmlformats.org/drawingml/2006/main" xmlns:pic="http://schemas.openxmlformats.org/drawingml/2006/picture">
            <wp:extent cx="5303520" cy="16853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pipeline_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6853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r>
        <w:t>Figure 2: Layered architecture: data, distributed Spark processing, cache and presentation</w:t>
      </w:r>
    </w:p>
    <w:p>
      <w:r>
        <w:drawing>
          <wp:inline xmlns:a="http://schemas.openxmlformats.org/drawingml/2006/main" xmlns:pic="http://schemas.openxmlformats.org/drawingml/2006/picture">
            <wp:extent cx="5303520" cy="176248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layered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624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r>
        <w:t>Figure 7: Output of Task 1 - Route frequency and airline market share distribution</w:t>
      </w:r>
    </w:p>
    <w:p>
      <w:r>
        <w:drawing>
          <wp:inline xmlns:a="http://schemas.openxmlformats.org/drawingml/2006/main" xmlns:pic="http://schemas.openxmlformats.org/drawingml/2006/picture">
            <wp:extent cx="5303520" cy="208926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task1_ed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892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r>
        <w:t>Figure 8: Output of Task 2 - Imputation audit and clean distribution</w:t>
      </w:r>
    </w:p>
    <w:p>
      <w:r>
        <w:drawing>
          <wp:inline xmlns:a="http://schemas.openxmlformats.org/drawingml/2006/main" xmlns:pic="http://schemas.openxmlformats.org/drawingml/2006/picture">
            <wp:extent cx="5303520" cy="248392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_task2_miss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839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r>
        <w:t>Figure 9: Output of Task 3 - Categorical attributes balance</w:t>
      </w:r>
    </w:p>
    <w:p>
      <w:r>
        <w:drawing>
          <wp:inline xmlns:a="http://schemas.openxmlformats.org/drawingml/2006/main" xmlns:pic="http://schemas.openxmlformats.org/drawingml/2006/picture">
            <wp:extent cx="5303520" cy="170296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9_task3_encod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029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r>
        <w:t>Figure 10: Output of Task 4 - Decision Tree feature importances</w:t>
      </w:r>
    </w:p>
    <w:p>
      <w:r>
        <w:drawing>
          <wp:inline xmlns:a="http://schemas.openxmlformats.org/drawingml/2006/main" xmlns:pic="http://schemas.openxmlformats.org/drawingml/2006/picture">
            <wp:extent cx="5303520" cy="258708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task4_importan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870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r>
        <w:t>Figure 11: Output of Task 5 - Confusion matrix and evaluation metrics</w:t>
      </w:r>
    </w:p>
    <w:p>
      <w:r>
        <w:drawing>
          <wp:inline xmlns:a="http://schemas.openxmlformats.org/drawingml/2006/main" xmlns:pic="http://schemas.openxmlformats.org/drawingml/2006/picture">
            <wp:extent cx="5303520" cy="477208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_task5_c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7720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r>
        <w:t>Figure 12: Output of Task 6 - Retention rate by membership level</w:t>
      </w:r>
    </w:p>
    <w:p>
      <w:r>
        <w:drawing>
          <wp:inline xmlns:a="http://schemas.openxmlformats.org/drawingml/2006/main" xmlns:pic="http://schemas.openxmlformats.org/drawingml/2006/picture">
            <wp:extent cx="5303520" cy="199490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2_task6_reten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9949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