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320"/>
      </w:pPr>
      <w:r>
        <w:rPr>
          <w:sz w:val="22"/>
          <w:szCs w:val="22"/>
        </w:rPr>
        <w:t xml:space="preserve"/>
      </w:r>
    </w:p>
    <w:p>
      <w:pPr>
        <w:spacing w:before="0" w:after="60"/>
        <w:jc w:val="center"/>
      </w:pPr>
      <w:r>
        <w:rPr>
          <w:rFonts w:ascii="Arial" w:cs="Arial" w:eastAsia="Arial" w:hAnsi="Arial"/>
          <w:b/>
          <w:bCs/>
          <w:color w:val="1F4E79"/>
          <w:sz w:val="72"/>
          <w:szCs w:val="72"/>
        </w:rPr>
        <w:t xml:space="preserve">BHOOMI</w:t>
      </w:r>
    </w:p>
    <w:p>
      <w:pPr>
        <w:spacing w:before="0" w:after="200"/>
        <w:jc w:val="center"/>
      </w:pPr>
      <w:r>
        <w:rPr>
          <w:rFonts w:ascii="Arial" w:cs="Arial" w:eastAsia="Arial" w:hAnsi="Arial"/>
          <w:i/>
          <w:iCs/>
          <w:color w:val="2E75B6"/>
          <w:sz w:val="26"/>
          <w:szCs w:val="26"/>
        </w:rPr>
        <w:t xml:space="preserve">Bharat Holistic Orbital &amp; Urban Management Intelligence</w:t>
      </w:r>
    </w:p>
    <w:p>
      <w:pPr>
        <w:pBdr>
          <w:bottom w:val="single" w:color="2E75B6" w:sz="8" w:space="4"/>
        </w:pBdr>
        <w:spacing w:before="0" w:after="200"/>
        <w:jc w:val="center"/>
      </w:pPr>
      <w:r>
        <w:rPr>
          <w:sz w:val="22"/>
          <w:szCs w:val="22"/>
        </w:rPr>
        <w:t xml:space="preserve"/>
      </w:r>
    </w:p>
    <w:p>
      <w:pPr>
        <w:spacing w:before="0" w:after="80"/>
      </w:pPr>
      <w:r>
        <w:rPr>
          <w:sz w:val="22"/>
          <w:szCs w:val="22"/>
        </w:rPr>
        <w:t xml:space="preserve"/>
      </w:r>
    </w:p>
    <w:p>
      <w:pPr>
        <w:spacing w:before="0" w:after="80"/>
        <w:jc w:val="center"/>
      </w:pPr>
      <w:r>
        <w:rPr>
          <w:rFonts w:ascii="Arial" w:cs="Arial" w:eastAsia="Arial" w:hAnsi="Arial"/>
          <w:b/>
          <w:bCs/>
          <w:color w:val="404040"/>
          <w:sz w:val="36"/>
          <w:szCs w:val="36"/>
        </w:rPr>
        <w:t xml:space="preserve">GEE Data Extraction — Technical Reference</w:t>
      </w:r>
    </w:p>
    <w:p>
      <w:pPr>
        <w:spacing w:before="0" w:after="400"/>
        <w:jc w:val="center"/>
      </w:pPr>
      <w:r>
        <w:rPr>
          <w:rFonts w:ascii="Arial" w:cs="Arial" w:eastAsia="Arial" w:hAnsi="Arial"/>
          <w:i/>
          <w:iCs/>
          <w:color w:val="666666"/>
          <w:sz w:val="24"/>
          <w:szCs w:val="24"/>
        </w:rPr>
        <w:t xml:space="preserve">Satellite Sources, Metrics, Processing Methods &amp; Data Specifications</w:t>
      </w:r>
    </w:p>
    <w:p>
      <w:pPr>
        <w:spacing w:before="0" w:after="160"/>
      </w:pPr>
      <w:r>
        <w:rPr>
          <w:sz w:val="22"/>
          <w:szCs w:val="22"/>
        </w:rP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Study Area</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Ahmedabad, Gujarat, India</w:t>
            </w:r>
          </w:p>
        </w:tc>
      </w:tr>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Coverage</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100 km x 100 km bounding box</w:t>
            </w:r>
          </w:p>
        </w:tc>
      </w:tr>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Grid Resolution</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 km x 3 km cells — 1,183 grids total</w:t>
            </w:r>
          </w:p>
        </w:tc>
      </w:tr>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Date Range</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2021-01-01 to 2025-12-31</w:t>
            </w:r>
          </w:p>
        </w:tc>
      </w:tr>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GEE Modules</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7 (LST, Pollution, Vegetation, Drought, Weather, LULC, Water)</w:t>
            </w:r>
          </w:p>
        </w:tc>
      </w:tr>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Coordinate System</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WGS84 decimal degrees (EPSG:4326)</w:t>
            </w:r>
          </w:p>
        </w:tc>
      </w:tr>
    </w:tbl>
    <w:p>
      <w:r>
        <w:br w:type="page"/>
      </w:r>
    </w:p>
    <w:p>
      <w:pPr>
        <w:pStyle w:val="Heading1"/>
        <w:pBdr>
          <w:bottom w:val="single" w:color="2E75B6" w:sz="6" w:space="4"/>
        </w:pBdr>
        <w:spacing w:before="360" w:after="120"/>
      </w:pPr>
      <w:r>
        <w:rPr>
          <w:rFonts w:ascii="Arial" w:cs="Arial" w:eastAsia="Arial" w:hAnsi="Arial"/>
          <w:b/>
          <w:bCs/>
          <w:color w:val="1F4E79"/>
          <w:sz w:val="32"/>
          <w:szCs w:val="32"/>
        </w:rPr>
        <w:t xml:space="preserve">1. System Overview</w:t>
      </w:r>
    </w:p>
    <w:p>
      <w:pPr>
        <w:spacing w:before="60" w:after="100"/>
      </w:pPr>
      <w:r>
        <w:rPr>
          <w:rFonts w:ascii="Arial" w:cs="Arial" w:eastAsia="Arial" w:hAnsi="Arial"/>
          <w:color w:val="222222"/>
          <w:sz w:val="22"/>
          <w:szCs w:val="22"/>
        </w:rPr>
        <w:t xml:space="preserve">BHOOMI ingests multi-mission satellite data from Google Earth Engine (GEE) to build a comprehensive environmental intelligence database for Ahmedabad, Gujarat. Seven GEE extraction modules cover land surface temperature, air pollution, vegetation health, soil moisture and drought, meteorological conditions, land use classification, and surface water presence.</w:t>
      </w:r>
    </w:p>
    <w:p>
      <w:pPr>
        <w:spacing w:before="0" w:after="80"/>
      </w:pPr>
      <w:r>
        <w:rPr>
          <w:sz w:val="22"/>
          <w:szCs w:val="22"/>
        </w:rPr>
        <w:t xml:space="preserve"/>
      </w:r>
    </w:p>
    <w:p>
      <w:pPr>
        <w:spacing w:before="60" w:after="100"/>
      </w:pPr>
      <w:r>
        <w:rPr>
          <w:rFonts w:ascii="Arial" w:cs="Arial" w:eastAsia="Arial" w:hAnsi="Arial"/>
          <w:color w:val="222222"/>
          <w:sz w:val="22"/>
          <w:szCs w:val="22"/>
        </w:rPr>
        <w:t xml:space="preserve">All data is extracted at a 3 km x 3 km grid resolution over a 100 km x 100 km bounding box, yielding 1,183 active grid cells. The extraction pipeline samples data in 15-day windows (two per month) across the full five-year period from 2021 to 2025, producing approximately 141,960 observations per module. The sole exception is LST, which is extracted at daily cadence, and LULC, which is annual.</w:t>
      </w:r>
    </w:p>
    <w:p>
      <w:pPr>
        <w:spacing w:before="0" w:after="80"/>
      </w:pPr>
      <w:r>
        <w:rPr>
          <w:sz w:val="22"/>
          <w:szCs w:val="22"/>
        </w:rPr>
        <w:t xml:space="preserve"/>
      </w:r>
    </w:p>
    <w:p>
      <w:pPr>
        <w:pStyle w:val="Heading2"/>
        <w:spacing w:before="280" w:after="80"/>
      </w:pPr>
      <w:r>
        <w:rPr>
          <w:rFonts w:ascii="Arial" w:cs="Arial" w:eastAsia="Arial" w:hAnsi="Arial"/>
          <w:b/>
          <w:bCs/>
          <w:color w:val="2E75B6"/>
          <w:sz w:val="26"/>
          <w:szCs w:val="26"/>
        </w:rPr>
        <w:t xml:space="preserve">1.1 Bounding Box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West longitude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72.057 E</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East longitude</w:t>
            </w:r>
          </w:p>
        </w:tc>
        <w:tc>
          <w:tcPr>
            <w:tcW w:type="dxa" w:w="6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73.084 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South latitude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22.544 N</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North latitude</w:t>
            </w:r>
          </w:p>
        </w:tc>
        <w:tc>
          <w:tcPr>
            <w:tcW w:type="dxa" w:w="6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23.502 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Total area</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approximately 100 km x 100 km</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Tile coverage</w:t>
            </w:r>
          </w:p>
        </w:tc>
        <w:tc>
          <w:tcPr>
            <w:tcW w:type="dxa" w:w="6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Two MGRS tiles: 42Q (west) and 43Q (east) — mosaic required</w:t>
            </w:r>
          </w:p>
        </w:tc>
      </w:tr>
    </w:tbl>
    <w:p>
      <w:pPr>
        <w:spacing w:before="0" w:after="80"/>
      </w:pPr>
      <w:r>
        <w:rPr>
          <w:sz w:val="22"/>
          <w:szCs w:val="22"/>
        </w:rPr>
        <w:t xml:space="preserve"/>
      </w:r>
    </w:p>
    <w:p>
      <w:pPr>
        <w:pStyle w:val="Heading2"/>
        <w:spacing w:before="280" w:after="80"/>
      </w:pPr>
      <w:r>
        <w:rPr>
          <w:rFonts w:ascii="Arial" w:cs="Arial" w:eastAsia="Arial" w:hAnsi="Arial"/>
          <w:b/>
          <w:bCs/>
          <w:color w:val="2E75B6"/>
          <w:sz w:val="26"/>
          <w:szCs w:val="26"/>
        </w:rPr>
        <w:t xml:space="preserve">1.2 Grid Architecture</w:t>
      </w:r>
    </w:p>
    <w:p>
      <w:pPr>
        <w:spacing w:before="60" w:after="100"/>
      </w:pPr>
      <w:r>
        <w:rPr>
          <w:rFonts w:ascii="Arial" w:cs="Arial" w:eastAsia="Arial" w:hAnsi="Arial"/>
          <w:color w:val="222222"/>
          <w:sz w:val="22"/>
          <w:szCs w:val="22"/>
        </w:rPr>
        <w:t xml:space="preserve">Each grid cell is defined as a square polygon of approximately 3 km x 3 km, centered on a pre-computed centroid stored in the grid reference table. Cell boundaries are derived using 0.0135 degrees (approximately 1.5 km) as the half-width in each direction. Grid IDs follow the convention GJ_AHM_RYYY_CXXX where YYY is the row index and XXX is the column index.</w:t>
      </w:r>
    </w:p>
    <w:p>
      <w:pPr>
        <w:spacing w:before="0" w:after="80"/>
      </w:pPr>
      <w:r>
        <w:rPr>
          <w:sz w:val="22"/>
          <w:szCs w:val="22"/>
        </w:rPr>
        <w:t xml:space="preserve"/>
      </w:r>
    </w:p>
    <w:p>
      <w:pPr>
        <w:pStyle w:val="Heading2"/>
        <w:spacing w:before="280" w:after="80"/>
      </w:pPr>
      <w:r>
        <w:rPr>
          <w:rFonts w:ascii="Arial" w:cs="Arial" w:eastAsia="Arial" w:hAnsi="Arial"/>
          <w:b/>
          <w:bCs/>
          <w:color w:val="2E75B6"/>
          <w:sz w:val="26"/>
          <w:szCs w:val="26"/>
        </w:rPr>
        <w:t xml:space="preserve">1.3 Sampling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2000"/>
        <w:gridCol w:w="306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Cadence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Windows / Year</w:t>
            </w:r>
          </w:p>
        </w:tc>
        <w:tc>
          <w:tcPr>
            <w:tcW w:type="dxa" w:w="3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Total Rows (Full Dataset)</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LST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Daily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365</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431,695</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Pollution</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15-day</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24</w:t>
            </w:r>
          </w:p>
        </w:tc>
        <w:tc>
          <w:tcPr>
            <w:tcW w:type="dxa" w:w="3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28,392</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Vegetation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15-day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24</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28,392</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Drought</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15-day</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24</w:t>
            </w:r>
          </w:p>
        </w:tc>
        <w:tc>
          <w:tcPr>
            <w:tcW w:type="dxa" w:w="3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28,392</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ERA5 Weather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15-day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24</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28,392</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LULC</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Annual</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1</w:t>
            </w:r>
          </w:p>
        </w:tc>
        <w:tc>
          <w:tcPr>
            <w:tcW w:type="dxa" w:w="3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4,732 (4 years)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Water Presence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15-day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24</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28,392</w:t>
            </w:r>
          </w:p>
        </w:tc>
      </w:tr>
    </w:tbl>
    <w:p>
      <w:r>
        <w:br w:type="page"/>
      </w:r>
    </w:p>
    <w:p>
      <w:pPr>
        <w:pStyle w:val="Heading1"/>
        <w:pBdr>
          <w:bottom w:val="single" w:color="2E75B6" w:sz="6" w:space="4"/>
        </w:pBdr>
        <w:spacing w:before="360" w:after="120"/>
      </w:pPr>
      <w:r>
        <w:rPr>
          <w:rFonts w:ascii="Arial" w:cs="Arial" w:eastAsia="Arial" w:hAnsi="Arial"/>
          <w:b/>
          <w:bCs/>
          <w:color w:val="1F4E79"/>
          <w:sz w:val="32"/>
          <w:szCs w:val="32"/>
        </w:rPr>
        <w:t xml:space="preserve">2. Module Technical Specifications</w:t>
      </w:r>
    </w:p>
    <w:p>
      <w:pPr>
        <w:pStyle w:val="Heading2"/>
        <w:spacing w:before="280" w:after="80"/>
      </w:pPr>
      <w:r>
        <w:rPr>
          <w:rFonts w:ascii="Arial" w:cs="Arial" w:eastAsia="Arial" w:hAnsi="Arial"/>
          <w:b/>
          <w:bCs/>
          <w:color w:val="2E75B6"/>
          <w:sz w:val="26"/>
          <w:szCs w:val="26"/>
        </w:rPr>
        <w:t xml:space="preserve">2.1 Land Surface Temperature (LST)</w:t>
      </w:r>
    </w:p>
    <w:p>
      <w:pPr>
        <w:spacing w:before="60" w:after="100"/>
      </w:pPr>
      <w:r>
        <w:rPr>
          <w:rFonts w:ascii="Arial" w:cs="Arial" w:eastAsia="Arial" w:hAnsi="Arial"/>
          <w:b/>
          <w:bCs/>
          <w:color w:val="222222"/>
          <w:sz w:val="22"/>
          <w:szCs w:val="22"/>
        </w:rPr>
        <w:t xml:space="preserve">Primary satellite: </w:t>
      </w:r>
      <w:r>
        <w:rPr>
          <w:rFonts w:ascii="Arial" w:cs="Arial" w:eastAsia="Arial" w:hAnsi="Arial"/>
          <w:color w:val="222222"/>
          <w:sz w:val="22"/>
          <w:szCs w:val="22"/>
        </w:rPr>
        <w:t xml:space="preserve">Terra (MODIS) — MOD11A1 daily product</w:t>
      </w:r>
    </w:p>
    <w:p>
      <w:pPr>
        <w:spacing w:before="60" w:after="100"/>
      </w:pPr>
      <w:r>
        <w:rPr>
          <w:rFonts w:ascii="Arial" w:cs="Arial" w:eastAsia="Arial" w:hAnsi="Arial"/>
          <w:b/>
          <w:bCs/>
          <w:color w:val="222222"/>
          <w:sz w:val="22"/>
          <w:szCs w:val="22"/>
        </w:rPr>
        <w:t xml:space="preserve">GEE collection ID: </w:t>
      </w:r>
      <w:r>
        <w:rPr>
          <w:rFonts w:ascii="Arial" w:cs="Arial" w:eastAsia="Arial" w:hAnsi="Arial"/>
          <w:color w:val="222222"/>
          <w:sz w:val="22"/>
          <w:szCs w:val="22"/>
        </w:rPr>
        <w:t xml:space="preserve">MODIS/061/MOD11A1</w:t>
      </w:r>
    </w:p>
    <w:p>
      <w:pPr>
        <w:spacing w:before="60" w:after="100"/>
      </w:pPr>
      <w:r>
        <w:rPr>
          <w:rFonts w:ascii="Arial" w:cs="Arial" w:eastAsia="Arial" w:hAnsi="Arial"/>
          <w:color w:val="222222"/>
          <w:sz w:val="22"/>
          <w:szCs w:val="22"/>
        </w:rPr>
        <w:t xml:space="preserve">MODIS Terra overflies the same ground track every 1 to 2 days. The MOD11A1 product delivers daytime LST composited to a 1 km native spatial resolution using the generalised split-window algorithm applied to thermal infrared bands 31 and 32. Each pixel carries a quality control flag; the extraction script applies a bitmask to retain only pixels where bits 0 and 1 of the QC_Day band equal 00, indicating good retrieval quality.</w:t>
      </w:r>
    </w:p>
    <w:p>
      <w:pPr>
        <w:spacing w:before="0" w:after="80"/>
      </w:pPr>
      <w:r>
        <w:rPr>
          <w:sz w:val="22"/>
          <w:szCs w:val="22"/>
        </w:rPr>
        <w:t xml:space="preserve"/>
      </w:r>
    </w:p>
    <w:p>
      <w:pPr>
        <w:pStyle w:val="Heading3"/>
        <w:spacing w:before="200" w:after="60"/>
      </w:pPr>
      <w:r>
        <w:rPr>
          <w:rFonts w:ascii="Arial" w:cs="Arial" w:eastAsia="Arial" w:hAnsi="Arial"/>
          <w:b/>
          <w:bCs/>
          <w:color w:val="404040"/>
          <w:sz w:val="22"/>
          <w:szCs w:val="22"/>
        </w:rPr>
        <w:t xml:space="preserve">Metrics extracted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800"/>
        <w:gridCol w:w="3200"/>
        <w:gridCol w:w="356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Unit</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Processing</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lst_celsius</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°C</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Daytime land surface temperature</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Raw DN x 0.02 − 273.15; QC-masked</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lst_anomaly_c</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°C</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Deviation from 5-year same-month mean</w:t>
            </w:r>
          </w:p>
        </w:tc>
        <w:tc>
          <w:tcPr>
            <w:tcW w:type="dxa" w:w="3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Computed in GEE against 2021–2025 baseline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data_quality</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0–1</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Fraction of valid pixels in 3 km cell</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Valid pixel count / 9 (max at 1 km scale)</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pixel_count</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integer</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Number of valid 1 km pixels per cell</w:t>
            </w:r>
          </w:p>
        </w:tc>
        <w:tc>
          <w:tcPr>
            <w:tcW w:type="dxa" w:w="3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Count of unmasked pixels</w:t>
            </w:r>
          </w:p>
        </w:tc>
      </w:tr>
    </w:tbl>
    <w:p>
      <w:pPr>
        <w:spacing w:before="0" w:after="80"/>
      </w:pPr>
      <w:r>
        <w:rPr>
          <w:sz w:val="22"/>
          <w:szCs w:val="22"/>
        </w:rPr>
        <w:t xml:space="preserve"/>
      </w:r>
    </w:p>
    <w:p>
      <w:pPr>
        <w:pStyle w:val="Heading3"/>
        <w:spacing w:before="200" w:after="60"/>
      </w:pPr>
      <w:r>
        <w:rPr>
          <w:rFonts w:ascii="Arial" w:cs="Arial" w:eastAsia="Arial" w:hAnsi="Arial"/>
          <w:b/>
          <w:bCs/>
          <w:color w:val="404040"/>
          <w:sz w:val="22"/>
          <w:szCs w:val="22"/>
        </w:rPr>
        <w:t xml:space="preserve">Key technical notes</w:t>
      </w:r>
    </w:p>
    <w:p>
      <w:pPr>
        <w:pStyle w:val="ListParagraph"/>
        <w:numPr>
          <w:ilvl w:val="0"/>
          <w:numId w:val="2"/>
        </w:numPr>
        <w:spacing w:before="40" w:after="40"/>
      </w:pPr>
      <w:r>
        <w:rPr>
          <w:rFonts w:ascii="Arial" w:cs="Arial" w:eastAsia="Arial" w:hAnsi="Arial"/>
          <w:color w:val="222222"/>
          <w:sz w:val="22"/>
          <w:szCs w:val="22"/>
        </w:rPr>
        <w:t xml:space="preserve">Native resolution is 1 km; each 3 km grid cell contains up to 9 MODIS pixels. The grid-level value is the mean of all unmasked pixels.</w:t>
      </w:r>
    </w:p>
    <w:p>
      <w:pPr>
        <w:pStyle w:val="ListParagraph"/>
        <w:numPr>
          <w:ilvl w:val="0"/>
          <w:numId w:val="2"/>
        </w:numPr>
        <w:spacing w:before="40" w:after="40"/>
      </w:pPr>
      <w:r>
        <w:rPr>
          <w:rFonts w:ascii="Arial" w:cs="Arial" w:eastAsia="Arial" w:hAnsi="Arial"/>
          <w:color w:val="222222"/>
          <w:sz w:val="22"/>
          <w:szCs w:val="22"/>
        </w:rPr>
        <w:t xml:space="preserve">Cloudy days produce zero valid pixels. These rows are exported with an empty lst_celsius field, not -9999. The pipeline handles this via pd.to_numeric(errors='coerce').</w:t>
      </w:r>
    </w:p>
    <w:p>
      <w:pPr>
        <w:pStyle w:val="ListParagraph"/>
        <w:numPr>
          <w:ilvl w:val="0"/>
          <w:numId w:val="2"/>
        </w:numPr>
        <w:spacing w:before="40" w:after="40"/>
      </w:pPr>
      <w:r>
        <w:rPr>
          <w:rFonts w:ascii="Arial" w:cs="Arial" w:eastAsia="Arial" w:hAnsi="Arial"/>
          <w:color w:val="222222"/>
          <w:sz w:val="22"/>
          <w:szCs w:val="22"/>
        </w:rPr>
        <w:t xml:space="preserve">MODIS daytime overpass over Ahmedabad occurs approximately at 10:30 local solar time, meaning LST reflects late-morning surface heating — not peak afternoon temperature.</w:t>
      </w:r>
    </w:p>
    <w:p>
      <w:pPr>
        <w:pStyle w:val="ListParagraph"/>
        <w:numPr>
          <w:ilvl w:val="0"/>
          <w:numId w:val="2"/>
        </w:numPr>
        <w:spacing w:before="40" w:after="40"/>
      </w:pPr>
      <w:r>
        <w:rPr>
          <w:rFonts w:ascii="Arial" w:cs="Arial" w:eastAsia="Arial" w:hAnsi="Arial"/>
          <w:color w:val="222222"/>
          <w:sz w:val="22"/>
          <w:szCs w:val="22"/>
        </w:rPr>
        <w:t xml:space="preserve">The data_quality field is used as a weight in monthly aggregation so cloudy-day observations contribute proportionally less than clear-sky observations.</w:t>
      </w:r>
    </w:p>
    <w:p>
      <w:pPr>
        <w:spacing w:before="0" w:after="80"/>
      </w:pPr>
      <w:r>
        <w:rPr>
          <w:sz w:val="22"/>
          <w:szCs w:val="22"/>
        </w:rPr>
        <w:t xml:space="preserve"/>
      </w:r>
    </w:p>
    <w:p>
      <w:pPr>
        <w:pStyle w:val="Heading2"/>
        <w:spacing w:before="280" w:after="80"/>
      </w:pPr>
      <w:r>
        <w:rPr>
          <w:rFonts w:ascii="Arial" w:cs="Arial" w:eastAsia="Arial" w:hAnsi="Arial"/>
          <w:b/>
          <w:bCs/>
          <w:color w:val="2E75B6"/>
          <w:sz w:val="26"/>
          <w:szCs w:val="26"/>
        </w:rPr>
        <w:t xml:space="preserve">2.2 Air Pollution (NO2, SO2, CO, AQI Proxy)</w:t>
      </w:r>
    </w:p>
    <w:p>
      <w:pPr>
        <w:spacing w:before="60" w:after="100"/>
      </w:pPr>
      <w:r>
        <w:rPr>
          <w:rFonts w:ascii="Arial" w:cs="Arial" w:eastAsia="Arial" w:hAnsi="Arial"/>
          <w:b/>
          <w:bCs/>
          <w:color w:val="222222"/>
          <w:sz w:val="22"/>
          <w:szCs w:val="22"/>
        </w:rPr>
        <w:t xml:space="preserve">Primary satellite: </w:t>
      </w:r>
      <w:r>
        <w:rPr>
          <w:rFonts w:ascii="Arial" w:cs="Arial" w:eastAsia="Arial" w:hAnsi="Arial"/>
          <w:color w:val="222222"/>
          <w:sz w:val="22"/>
          <w:szCs w:val="22"/>
        </w:rPr>
        <w:t xml:space="preserve">Sentinel-5P TROPOMI — ESA Copernicus Programme</w:t>
      </w:r>
    </w:p>
    <w:p>
      <w:pPr>
        <w:spacing w:before="60" w:after="100"/>
      </w:pPr>
      <w:r>
        <w:rPr>
          <w:rFonts w:ascii="Arial" w:cs="Arial" w:eastAsia="Arial" w:hAnsi="Arial"/>
          <w:b/>
          <w:bCs/>
          <w:color w:val="222222"/>
          <w:sz w:val="22"/>
          <w:szCs w:val="22"/>
        </w:rPr>
        <w:t xml:space="preserve">GEE collection IDs: </w:t>
      </w:r>
      <w:r>
        <w:rPr>
          <w:rFonts w:ascii="Arial" w:cs="Arial" w:eastAsia="Arial" w:hAnsi="Arial"/>
          <w:color w:val="222222"/>
          <w:sz w:val="22"/>
          <w:szCs w:val="22"/>
        </w:rPr>
        <w:t xml:space="preserve">COPERNICUS/S5P/OFFL/L3_NO2, COPERNICUS/S5P/OFFL/L3_SO2, COPERNICUS/S5P/OFFL/L3_CO</w:t>
      </w:r>
    </w:p>
    <w:p>
      <w:pPr>
        <w:spacing w:before="60" w:after="100"/>
      </w:pPr>
      <w:r>
        <w:rPr>
          <w:rFonts w:ascii="Arial" w:cs="Arial" w:eastAsia="Arial" w:hAnsi="Arial"/>
          <w:color w:val="222222"/>
          <w:sz w:val="22"/>
          <w:szCs w:val="22"/>
        </w:rPr>
        <w:t xml:space="preserve">Sentinel-5P carries the TROPOMI (TROPOspheric Monitoring Instrument) spectrometer, which measures backscattered solar radiation in ultraviolet, visible, near-infrared, and shortwave infrared spectral windows. TROPOMI has a swath width of 2,600 km, achieving near-daily global coverage at 3.5 km x 5.5 km nadir resolution. The OFFL (offline) product used here undergoes additional quality screening compared to the near-real-time NRTI product, making it the preferred choice for historical analysis.</w:t>
      </w:r>
    </w:p>
    <w:p>
      <w:pPr>
        <w:spacing w:before="0" w:after="80"/>
      </w:pPr>
      <w:r>
        <w:rPr>
          <w:sz w:val="22"/>
          <w:szCs w:val="22"/>
        </w:rPr>
        <w:t xml:space="preserve"/>
      </w:r>
    </w:p>
    <w:p>
      <w:pPr>
        <w:pStyle w:val="Heading3"/>
        <w:spacing w:before="200" w:after="60"/>
      </w:pPr>
      <w:r>
        <w:rPr>
          <w:rFonts w:ascii="Arial" w:cs="Arial" w:eastAsia="Arial" w:hAnsi="Arial"/>
          <w:b/>
          <w:bCs/>
          <w:color w:val="404040"/>
          <w:sz w:val="22"/>
          <w:szCs w:val="22"/>
        </w:rPr>
        <w:t xml:space="preserve">Metrics extracted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1000"/>
        <w:gridCol w:w="356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Source Band</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Unit</w:t>
            </w:r>
          </w:p>
        </w:tc>
        <w:tc>
          <w:tcPr>
            <w:tcW w:type="dxa" w:w="3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no2_ugm3</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tropospheric_NO2_column_number_density</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µg/m²</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Total tropospheric NO2 column (proxy, not surface)</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so2_ugm3</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SO2_column_number_density</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µg/m²</w:t>
            </w:r>
          </w:p>
        </w:tc>
        <w:tc>
          <w:tcPr>
            <w:tcW w:type="dxa" w:w="3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Total SO2 column — point source industrial indicator</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co_ugm3</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CO_column_number_density</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µg/m²</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Total CO column — combustion and biomass burning proxy</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aqi_proxy</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Computed</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0–500 integer</w:t>
            </w:r>
          </w:p>
        </w:tc>
        <w:tc>
          <w:tcPr>
            <w:tcW w:type="dxa" w:w="3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Composite air quality index from cleaned NO2/SO2/CO</w:t>
            </w:r>
          </w:p>
        </w:tc>
      </w:tr>
    </w:tbl>
    <w:p>
      <w:pPr>
        <w:spacing w:before="0" w:after="80"/>
      </w:pPr>
      <w:r>
        <w:rPr>
          <w:sz w:val="22"/>
          <w:szCs w:val="22"/>
        </w:rPr>
        <w:t xml:space="preserve"/>
      </w:r>
    </w:p>
    <w:p>
      <w:pPr>
        <w:pStyle w:val="Heading3"/>
        <w:spacing w:before="200" w:after="60"/>
      </w:pPr>
      <w:r>
        <w:rPr>
          <w:rFonts w:ascii="Arial" w:cs="Arial" w:eastAsia="Arial" w:hAnsi="Arial"/>
          <w:b/>
          <w:bCs/>
          <w:color w:val="404040"/>
          <w:sz w:val="22"/>
          <w:szCs w:val="22"/>
        </w:rPr>
        <w:t xml:space="preserve">Unit conversion</w:t>
      </w:r>
    </w:p>
    <w:p>
      <w:pPr>
        <w:spacing w:before="60" w:after="100"/>
      </w:pPr>
      <w:r>
        <w:rPr>
          <w:rFonts w:ascii="Arial" w:cs="Arial" w:eastAsia="Arial" w:hAnsi="Arial"/>
          <w:color w:val="222222"/>
          <w:sz w:val="22"/>
          <w:szCs w:val="22"/>
        </w:rPr>
        <w:t xml:space="preserve">Raw S5P values are in mol/m² (moles per square metre of atmospheric column). These are converted to µg/m² using molar mass scaling factors: NO2 x 1e6 x 46.0055, SO2 x 1e6 x 64.066, CO x 1e6 x 28.01. These represent total column densities, not surface concentrations, and are labelled as proxies throughout the system.</w:t>
      </w:r>
    </w:p>
    <w:p>
      <w:pPr>
        <w:spacing w:before="0" w:after="80"/>
      </w:pPr>
      <w:r>
        <w:rPr>
          <w:sz w:val="22"/>
          <w:szCs w:val="22"/>
        </w:rPr>
        <w:t xml:space="preserve"/>
      </w:r>
    </w:p>
    <w:p>
      <w:pPr>
        <w:pStyle w:val="Heading3"/>
        <w:spacing w:before="200" w:after="60"/>
      </w:pPr>
      <w:r>
        <w:rPr>
          <w:rFonts w:ascii="Arial" w:cs="Arial" w:eastAsia="Arial" w:hAnsi="Arial"/>
          <w:b/>
          <w:bCs/>
          <w:color w:val="404040"/>
          <w:sz w:val="22"/>
          <w:szCs w:val="22"/>
        </w:rPr>
        <w:t xml:space="preserve">AQI proxy computation</w:t>
      </w:r>
    </w:p>
    <w:p>
      <w:pPr>
        <w:spacing w:before="60" w:after="100"/>
      </w:pPr>
      <w:r>
        <w:rPr>
          <w:rFonts w:ascii="Arial" w:cs="Arial" w:eastAsia="Arial" w:hAnsi="Arial"/>
          <w:color w:val="222222"/>
          <w:sz w:val="22"/>
          <w:szCs w:val="22"/>
        </w:rPr>
        <w:t xml:space="preserve">The original GEE formula applied CPCB surface-concentration limits to column density values, causing the AQI to saturate at 500 for every observation. The pipeline recomputes AQI by normalising each pollutant against its own 95th percentile across the dataset: AQI = (NO2_norm x 0.5 + SO2_norm x 0.3 + CO_norm x 0.2) x 500. This produces a relative index meaningful for spatial and temporal comparison within the Ahmedabad dataset.</w:t>
      </w:r>
    </w:p>
    <w:p>
      <w:pPr>
        <w:spacing w:before="0" w:after="80"/>
      </w:pPr>
      <w:r>
        <w:rPr>
          <w:sz w:val="22"/>
          <w:szCs w:val="22"/>
        </w:rPr>
        <w:t xml:space="preserve"/>
      </w:r>
    </w:p>
    <w:p>
      <w:pPr>
        <w:pStyle w:val="Heading3"/>
        <w:spacing w:before="200" w:after="60"/>
      </w:pPr>
      <w:r>
        <w:rPr>
          <w:rFonts w:ascii="Arial" w:cs="Arial" w:eastAsia="Arial" w:hAnsi="Arial"/>
          <w:b/>
          <w:bCs/>
          <w:color w:val="404040"/>
          <w:sz w:val="22"/>
          <w:szCs w:val="22"/>
        </w:rPr>
        <w:t xml:space="preserve">Key technical notes</w:t>
      </w:r>
    </w:p>
    <w:p>
      <w:pPr>
        <w:pStyle w:val="ListParagraph"/>
        <w:numPr>
          <w:ilvl w:val="0"/>
          <w:numId w:val="2"/>
        </w:numPr>
        <w:spacing w:before="40" w:after="40"/>
      </w:pPr>
      <w:r>
        <w:rPr>
          <w:rFonts w:ascii="Arial" w:cs="Arial" w:eastAsia="Arial" w:hAnsi="Arial"/>
          <w:color w:val="222222"/>
          <w:sz w:val="22"/>
          <w:szCs w:val="22"/>
        </w:rPr>
        <w:t xml:space="preserve">Sentinel-5P OFFL data has a processing delay of approximately 2 weeks. For dates in late 2025, the NRTI collection may be substituted.</w:t>
      </w:r>
    </w:p>
    <w:p>
      <w:pPr>
        <w:pStyle w:val="ListParagraph"/>
        <w:numPr>
          <w:ilvl w:val="0"/>
          <w:numId w:val="2"/>
        </w:numPr>
        <w:spacing w:before="40" w:after="40"/>
      </w:pPr>
      <w:r>
        <w:rPr>
          <w:rFonts w:ascii="Arial" w:cs="Arial" w:eastAsia="Arial" w:hAnsi="Arial"/>
          <w:color w:val="222222"/>
          <w:sz w:val="22"/>
          <w:szCs w:val="22"/>
        </w:rPr>
        <w:t xml:space="preserve">The S5P OFFL collection was split at version boundary: S5P/OFFL covers up to approximately December 2023, beyond which newer processing versions apply. The pipeline handles this via date-filtered merging.</w:t>
      </w:r>
    </w:p>
    <w:p>
      <w:pPr>
        <w:pStyle w:val="ListParagraph"/>
        <w:numPr>
          <w:ilvl w:val="0"/>
          <w:numId w:val="2"/>
        </w:numPr>
        <w:spacing w:before="40" w:after="40"/>
      </w:pPr>
      <w:r>
        <w:rPr>
          <w:rFonts w:ascii="Arial" w:cs="Arial" w:eastAsia="Arial" w:hAnsi="Arial"/>
          <w:color w:val="222222"/>
          <w:sz w:val="22"/>
          <w:szCs w:val="22"/>
        </w:rPr>
        <w:t xml:space="preserve">SO2 values can be negative due to atmospheric retrieval artefacts (noise in the spectral inversion). These are clipped to zero in the pipeline.</w:t>
      </w:r>
    </w:p>
    <w:p>
      <w:pPr>
        <w:pStyle w:val="ListParagraph"/>
        <w:numPr>
          <w:ilvl w:val="0"/>
          <w:numId w:val="2"/>
        </w:numPr>
        <w:spacing w:before="40" w:after="40"/>
      </w:pPr>
      <w:r>
        <w:rPr>
          <w:rFonts w:ascii="Arial" w:cs="Arial" w:eastAsia="Arial" w:hAnsi="Arial"/>
          <w:color w:val="222222"/>
          <w:sz w:val="22"/>
          <w:szCs w:val="22"/>
        </w:rPr>
        <w:t xml:space="preserve">An inner join on all three pollutant collections is used to ensure that AQI is only computed on dates where all three bands have valid overpasses. Approximately 250 to 300 observation dates per year are retained after the join.</w:t>
      </w:r>
    </w:p>
    <w:p>
      <w:pPr>
        <w:pStyle w:val="ListParagraph"/>
        <w:numPr>
          <w:ilvl w:val="0"/>
          <w:numId w:val="2"/>
        </w:numPr>
        <w:spacing w:before="40" w:after="40"/>
      </w:pPr>
      <w:r>
        <w:rPr>
          <w:rFonts w:ascii="Arial" w:cs="Arial" w:eastAsia="Arial" w:hAnsi="Arial"/>
          <w:color w:val="222222"/>
          <w:sz w:val="22"/>
          <w:szCs w:val="22"/>
        </w:rPr>
        <w:t xml:space="preserve">The extraction aggregates 15 days of daily S5P images into a mean composite per window, which smooths out single-day retrieval noise and cloud-related gaps.</w:t>
      </w:r>
    </w:p>
    <w:p>
      <w:pPr>
        <w:spacing w:before="0" w:after="80"/>
      </w:pPr>
      <w:r>
        <w:rPr>
          <w:sz w:val="22"/>
          <w:szCs w:val="22"/>
        </w:rPr>
        <w:t xml:space="preserve"/>
      </w:r>
    </w:p>
    <w:p>
      <w:pPr>
        <w:pStyle w:val="Heading2"/>
        <w:spacing w:before="280" w:after="80"/>
      </w:pPr>
      <w:r>
        <w:rPr>
          <w:rFonts w:ascii="Arial" w:cs="Arial" w:eastAsia="Arial" w:hAnsi="Arial"/>
          <w:b/>
          <w:bCs/>
          <w:color w:val="2E75B6"/>
          <w:sz w:val="26"/>
          <w:szCs w:val="26"/>
        </w:rPr>
        <w:t xml:space="preserve">2.3 Vegetation Health (NDVI and VHI)</w:t>
      </w:r>
    </w:p>
    <w:p>
      <w:pPr>
        <w:spacing w:before="60" w:after="100"/>
      </w:pPr>
      <w:r>
        <w:rPr>
          <w:rFonts w:ascii="Arial" w:cs="Arial" w:eastAsia="Arial" w:hAnsi="Arial"/>
          <w:b/>
          <w:bCs/>
          <w:color w:val="222222"/>
          <w:sz w:val="22"/>
          <w:szCs w:val="22"/>
        </w:rPr>
        <w:t xml:space="preserve">NDVI satellite: </w:t>
      </w:r>
      <w:r>
        <w:rPr>
          <w:rFonts w:ascii="Arial" w:cs="Arial" w:eastAsia="Arial" w:hAnsi="Arial"/>
          <w:color w:val="222222"/>
          <w:sz w:val="22"/>
          <w:szCs w:val="22"/>
        </w:rPr>
        <w:t xml:space="preserve">Sentinel-2A/2B — ESA Copernicus Programme</w:t>
      </w:r>
    </w:p>
    <w:p>
      <w:pPr>
        <w:spacing w:before="60" w:after="100"/>
      </w:pPr>
      <w:r>
        <w:rPr>
          <w:rFonts w:ascii="Arial" w:cs="Arial" w:eastAsia="Arial" w:hAnsi="Arial"/>
          <w:b/>
          <w:bCs/>
          <w:color w:val="222222"/>
          <w:sz w:val="22"/>
          <w:szCs w:val="22"/>
        </w:rPr>
        <w:t xml:space="preserve">VHI satellite: </w:t>
      </w:r>
      <w:r>
        <w:rPr>
          <w:rFonts w:ascii="Arial" w:cs="Arial" w:eastAsia="Arial" w:hAnsi="Arial"/>
          <w:color w:val="222222"/>
          <w:sz w:val="22"/>
          <w:szCs w:val="22"/>
        </w:rPr>
        <w:t xml:space="preserve">Terra (MODIS) — MOD13A1 16-day composite</w:t>
      </w:r>
    </w:p>
    <w:p>
      <w:pPr>
        <w:spacing w:before="60" w:after="100"/>
      </w:pPr>
      <w:r>
        <w:rPr>
          <w:rFonts w:ascii="Arial" w:cs="Arial" w:eastAsia="Arial" w:hAnsi="Arial"/>
          <w:b/>
          <w:bCs/>
          <w:color w:val="222222"/>
          <w:sz w:val="22"/>
          <w:szCs w:val="22"/>
        </w:rPr>
        <w:t xml:space="preserve">GEE collection IDs: </w:t>
      </w:r>
      <w:r>
        <w:rPr>
          <w:rFonts w:ascii="Arial" w:cs="Arial" w:eastAsia="Arial" w:hAnsi="Arial"/>
          <w:color w:val="222222"/>
          <w:sz w:val="22"/>
          <w:szCs w:val="22"/>
        </w:rPr>
        <w:t xml:space="preserve">COPERNICUS/S2_SR_HARMONIZED (NDVI); MODIS/061/MOD13A1 (VHI); MODIS/061/MOD11A1 (LST component of VHI)</w:t>
      </w:r>
    </w:p>
    <w:p>
      <w:pPr>
        <w:spacing w:before="60" w:after="100"/>
      </w:pPr>
      <w:r>
        <w:rPr>
          <w:rFonts w:ascii="Arial" w:cs="Arial" w:eastAsia="Arial" w:hAnsi="Arial"/>
          <w:color w:val="222222"/>
          <w:sz w:val="22"/>
          <w:szCs w:val="22"/>
        </w:rPr>
        <w:t xml:space="preserve">Sentinel-2 is a twin-satellite constellation (2A and 2B, 180 degrees apart) with a combined revisit time of approximately 5 days at the equator. The MSI (MultiSpectral Instrument) provides 13 spectral bands from visible to shortwave infrared. At 10 m resolution for bands B3 (Green), B4 (Red), and B8 (NIR), it is the primary source for NDVI computation. The SR (surface reflectance) Harmonised product applies atmospheric correction and cross-sensor calibration between 2A and 2B.</w:t>
      </w:r>
    </w:p>
    <w:p>
      <w:pPr>
        <w:spacing w:before="0" w:after="80"/>
      </w:pPr>
      <w:r>
        <w:rPr>
          <w:sz w:val="22"/>
          <w:szCs w:val="22"/>
        </w:rPr>
        <w:t xml:space="preserve"/>
      </w:r>
    </w:p>
    <w:p>
      <w:pPr>
        <w:pStyle w:val="Heading3"/>
        <w:spacing w:before="200" w:after="60"/>
      </w:pPr>
      <w:r>
        <w:rPr>
          <w:rFonts w:ascii="Arial" w:cs="Arial" w:eastAsia="Arial" w:hAnsi="Arial"/>
          <w:b/>
          <w:bCs/>
          <w:color w:val="404040"/>
          <w:sz w:val="22"/>
          <w:szCs w:val="22"/>
        </w:rPr>
        <w:t xml:space="preserve">Metrics extracted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800"/>
        <w:gridCol w:w="4460"/>
      </w:tblGrid>
      <w:tr>
        <w:trPr>
          <w:tblHeader/>
        </w:trPr>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Formula / Source</w:t>
            </w:r>
          </w:p>
        </w:tc>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Range</w:t>
            </w:r>
          </w:p>
        </w:tc>
        <w:tc>
          <w:tcPr>
            <w:tcW w:type="dxa" w:w="44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ndvi</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(B8 - B4) / (B8 + B4)</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-1 to 1</w:t>
            </w:r>
          </w:p>
        </w:tc>
        <w:tc>
          <w:tcPr>
            <w:tcW w:type="dxa" w:w="4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Normalised Difference Vegetation Index from S2 10m bands</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vci</w:t>
            </w:r>
          </w:p>
        </w:tc>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(NDVI - NDVI_min) / (NDVI_max - NDVI_min)</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0 to 1</w:t>
            </w:r>
          </w:p>
        </w:tc>
        <w:tc>
          <w:tcPr>
            <w:tcW w:type="dxa" w:w="44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Vegetation Condition Index — how green vs historical</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tci</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(LST_max - LST) / (LST_max - LST_min)</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0 to 1</w:t>
            </w:r>
          </w:p>
        </w:tc>
        <w:tc>
          <w:tcPr>
            <w:tcW w:type="dxa" w:w="4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Temperature Condition Index — how cool vs historical</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vhi</w:t>
            </w:r>
          </w:p>
        </w:tc>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0.5 x VCI + 0.5 x TCI</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0 to 1</w:t>
            </w:r>
          </w:p>
        </w:tc>
        <w:tc>
          <w:tcPr>
            <w:tcW w:type="dxa" w:w="44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Vegetation Health Index (Kogan 1995) — drought/stress composite</w:t>
            </w:r>
          </w:p>
        </w:tc>
      </w:tr>
    </w:tbl>
    <w:p>
      <w:pPr>
        <w:spacing w:before="0" w:after="80"/>
      </w:pPr>
      <w:r>
        <w:rPr>
          <w:sz w:val="22"/>
          <w:szCs w:val="22"/>
        </w:rPr>
        <w:t xml:space="preserve"/>
      </w:r>
    </w:p>
    <w:p>
      <w:pPr>
        <w:pStyle w:val="Heading3"/>
        <w:spacing w:before="200" w:after="60"/>
      </w:pPr>
      <w:r>
        <w:rPr>
          <w:rFonts w:ascii="Arial" w:cs="Arial" w:eastAsia="Arial" w:hAnsi="Arial"/>
          <w:b/>
          <w:bCs/>
          <w:color w:val="404040"/>
          <w:sz w:val="22"/>
          <w:szCs w:val="22"/>
        </w:rPr>
        <w:t xml:space="preserve">VHI methodology</w:t>
      </w:r>
    </w:p>
    <w:p>
      <w:pPr>
        <w:spacing w:before="60" w:after="100"/>
      </w:pPr>
      <w:r>
        <w:rPr>
          <w:rFonts w:ascii="Arial" w:cs="Arial" w:eastAsia="Arial" w:hAnsi="Arial"/>
          <w:color w:val="222222"/>
          <w:sz w:val="22"/>
          <w:szCs w:val="22"/>
        </w:rPr>
        <w:t xml:space="preserve">The Vegetation Health Index follows the Kogan (1995) methodology widely used in drought monitoring. VCI captures vegetation greenness relative to historical minimum and maximum, normalised using the 5th and 95th percentile of the 2021 to 2025 MODIS NDVI record. TCI captures thermal stress, with the LST component derived from MOD11A1. A VHI below 0.35 indicates moderate to severe vegetation stress; above 0.65 indicates healthy conditions.</w:t>
      </w:r>
    </w:p>
    <w:p>
      <w:pPr>
        <w:spacing w:before="0" w:after="80"/>
      </w:pPr>
      <w:r>
        <w:rPr>
          <w:sz w:val="22"/>
          <w:szCs w:val="22"/>
        </w:rPr>
        <w:t xml:space="preserve"/>
      </w:r>
    </w:p>
    <w:p>
      <w:pPr>
        <w:pStyle w:val="Heading3"/>
        <w:spacing w:before="200" w:after="60"/>
      </w:pPr>
      <w:r>
        <w:rPr>
          <w:rFonts w:ascii="Arial" w:cs="Arial" w:eastAsia="Arial" w:hAnsi="Arial"/>
          <w:b/>
          <w:bCs/>
          <w:color w:val="404040"/>
          <w:sz w:val="22"/>
          <w:szCs w:val="22"/>
        </w:rPr>
        <w:t xml:space="preserve">Key technical notes</w:t>
      </w:r>
    </w:p>
    <w:p>
      <w:pPr>
        <w:pStyle w:val="ListParagraph"/>
        <w:numPr>
          <w:ilvl w:val="0"/>
          <w:numId w:val="2"/>
        </w:numPr>
        <w:spacing w:before="40" w:after="40"/>
      </w:pPr>
      <w:r>
        <w:rPr>
          <w:rFonts w:ascii="Arial" w:cs="Arial" w:eastAsia="Arial" w:hAnsi="Arial"/>
          <w:color w:val="222222"/>
          <w:sz w:val="22"/>
          <w:szCs w:val="22"/>
        </w:rPr>
        <w:t xml:space="preserve">Cloud masking uses the QA60 band of S2_SR_HARMONIZED. Bits 10 (opaque cloud) and 11 (cirrus) are masked. Only scenes with CLOUDY_PIXEL_PERCENTAGE below 20% are included.</w:t>
      </w:r>
    </w:p>
    <w:p>
      <w:pPr>
        <w:pStyle w:val="ListParagraph"/>
        <w:numPr>
          <w:ilvl w:val="0"/>
          <w:numId w:val="2"/>
        </w:numPr>
        <w:spacing w:before="40" w:after="40"/>
      </w:pPr>
      <w:r>
        <w:rPr>
          <w:rFonts w:ascii="Arial" w:cs="Arial" w:eastAsia="Arial" w:hAnsi="Arial"/>
          <w:color w:val="222222"/>
          <w:sz w:val="22"/>
          <w:szCs w:val="22"/>
        </w:rPr>
        <w:t xml:space="preserve">During the monsoon season (July to September), extended cloudy periods can eliminate all usable S2 observations in a 15-day window. The extraction widens the search to plus or minus 8 days before returning a fallback constant. This is noted in the data_quality context of downstream analysis.</w:t>
      </w:r>
    </w:p>
    <w:p>
      <w:pPr>
        <w:pStyle w:val="ListParagraph"/>
        <w:numPr>
          <w:ilvl w:val="0"/>
          <w:numId w:val="2"/>
        </w:numPr>
        <w:spacing w:before="40" w:after="40"/>
      </w:pPr>
      <w:r>
        <w:rPr>
          <w:rFonts w:ascii="Arial" w:cs="Arial" w:eastAsia="Arial" w:hAnsi="Arial"/>
          <w:color w:val="222222"/>
          <w:sz w:val="22"/>
          <w:szCs w:val="22"/>
        </w:rPr>
        <w:t xml:space="preserve">MODIS MOD13A1 is a 16-day composite; some 15-day windows may not contain a native image. The extraction searches within plus or minus 8 days of the window boundary to find the nearest composite.</w:t>
      </w:r>
    </w:p>
    <w:p>
      <w:pPr>
        <w:pStyle w:val="ListParagraph"/>
        <w:numPr>
          <w:ilvl w:val="0"/>
          <w:numId w:val="2"/>
        </w:numPr>
        <w:spacing w:before="40" w:after="40"/>
      </w:pPr>
      <w:r>
        <w:rPr>
          <w:rFonts w:ascii="Arial" w:cs="Arial" w:eastAsia="Arial" w:hAnsi="Arial"/>
          <w:color w:val="222222"/>
          <w:sz w:val="22"/>
          <w:szCs w:val="22"/>
        </w:rPr>
        <w:t xml:space="preserve">NDVI is computed at 10 m and reduced to the 3 km grid mean. VCI and TCI are computed at 500 m (MODIS scale) and then reduced to the grid mean.</w:t>
      </w:r>
    </w:p>
    <w:p>
      <w:pPr>
        <w:spacing w:before="0" w:after="80"/>
      </w:pPr>
      <w:r>
        <w:rPr>
          <w:sz w:val="22"/>
          <w:szCs w:val="22"/>
        </w:rPr>
        <w:t xml:space="preserve"/>
      </w:r>
    </w:p>
    <w:p>
      <w:pPr>
        <w:pStyle w:val="Heading2"/>
        <w:spacing w:before="280" w:after="80"/>
      </w:pPr>
      <w:r>
        <w:rPr>
          <w:rFonts w:ascii="Arial" w:cs="Arial" w:eastAsia="Arial" w:hAnsi="Arial"/>
          <w:b/>
          <w:bCs/>
          <w:color w:val="2E75B6"/>
          <w:sz w:val="26"/>
          <w:szCs w:val="26"/>
        </w:rPr>
        <w:t xml:space="preserve">2.4 Soil Moisture and Drought</w:t>
      </w:r>
    </w:p>
    <w:p>
      <w:pPr>
        <w:spacing w:before="60" w:after="100"/>
      </w:pPr>
      <w:r>
        <w:rPr>
          <w:rFonts w:ascii="Arial" w:cs="Arial" w:eastAsia="Arial" w:hAnsi="Arial"/>
          <w:b/>
          <w:bCs/>
          <w:color w:val="222222"/>
          <w:sz w:val="22"/>
          <w:szCs w:val="22"/>
        </w:rPr>
        <w:t xml:space="preserve">Soil moisture satellite: </w:t>
      </w:r>
      <w:r>
        <w:rPr>
          <w:rFonts w:ascii="Arial" w:cs="Arial" w:eastAsia="Arial" w:hAnsi="Arial"/>
          <w:color w:val="222222"/>
          <w:sz w:val="22"/>
          <w:szCs w:val="22"/>
        </w:rPr>
        <w:t xml:space="preserve">SMAP (Soil Moisture Active Passive) — NASA</w:t>
      </w:r>
    </w:p>
    <w:p>
      <w:pPr>
        <w:spacing w:before="60" w:after="100"/>
      </w:pPr>
      <w:r>
        <w:rPr>
          <w:rFonts w:ascii="Arial" w:cs="Arial" w:eastAsia="Arial" w:hAnsi="Arial"/>
          <w:b/>
          <w:bCs/>
          <w:color w:val="222222"/>
          <w:sz w:val="22"/>
          <w:szCs w:val="22"/>
        </w:rPr>
        <w:t xml:space="preserve">Rainfall / SPI satellite: </w:t>
      </w:r>
      <w:r>
        <w:rPr>
          <w:rFonts w:ascii="Arial" w:cs="Arial" w:eastAsia="Arial" w:hAnsi="Arial"/>
          <w:color w:val="222222"/>
          <w:sz w:val="22"/>
          <w:szCs w:val="22"/>
        </w:rPr>
        <w:t xml:space="preserve">CHIRPS (Climate Hazards Group InfraRed Precipitation with Stations)</w:t>
      </w:r>
    </w:p>
    <w:p>
      <w:pPr>
        <w:spacing w:before="60" w:after="100"/>
      </w:pPr>
      <w:r>
        <w:rPr>
          <w:rFonts w:ascii="Arial" w:cs="Arial" w:eastAsia="Arial" w:hAnsi="Arial"/>
          <w:b/>
          <w:bCs/>
          <w:color w:val="222222"/>
          <w:sz w:val="22"/>
          <w:szCs w:val="22"/>
        </w:rPr>
        <w:t xml:space="preserve">GEE collection IDs: </w:t>
      </w:r>
      <w:r>
        <w:rPr>
          <w:rFonts w:ascii="Arial" w:cs="Arial" w:eastAsia="Arial" w:hAnsi="Arial"/>
          <w:color w:val="222222"/>
          <w:sz w:val="22"/>
          <w:szCs w:val="22"/>
        </w:rPr>
        <w:t xml:space="preserve">NASA/SMAP/SPL3SMP_E/005 (2021–2023); NASA/SMAP/SPL3SMP_E/006 (2024–2025); UCSB-CHG/CHIRPS/DAILY</w:t>
      </w:r>
    </w:p>
    <w:p>
      <w:pPr>
        <w:spacing w:before="60" w:after="100"/>
      </w:pPr>
      <w:r>
        <w:rPr>
          <w:rFonts w:ascii="Arial" w:cs="Arial" w:eastAsia="Arial" w:hAnsi="Arial"/>
          <w:color w:val="222222"/>
          <w:sz w:val="22"/>
          <w:szCs w:val="22"/>
        </w:rPr>
        <w:t xml:space="preserve">SMAP was launched by NASA in January 2015. It uses an L-band (1.4 GHz) radiometer to measure natural microwave emission from the soil surface, which is sensitive to the dielectric constant of the soil and therefore to its water content. The SPL3SMP_E product (enhanced) provides daily global soil moisture at 9 km resolution. CHIRPS combines satellite infrared rainfall estimates with ground station data to produce daily gridded precipitation at 0.05-degree resolution globally, dating from 1981 to present.</w:t>
      </w:r>
    </w:p>
    <w:p>
      <w:pPr>
        <w:spacing w:before="0" w:after="80"/>
      </w:pPr>
      <w:r>
        <w:rPr>
          <w:sz w:val="22"/>
          <w:szCs w:val="22"/>
        </w:rPr>
        <w:t xml:space="preserve"/>
      </w:r>
    </w:p>
    <w:p>
      <w:pPr>
        <w:pStyle w:val="Heading3"/>
        <w:spacing w:before="200" w:after="60"/>
      </w:pPr>
      <w:r>
        <w:rPr>
          <w:rFonts w:ascii="Arial" w:cs="Arial" w:eastAsia="Arial" w:hAnsi="Arial"/>
          <w:b/>
          <w:bCs/>
          <w:color w:val="404040"/>
          <w:sz w:val="22"/>
          <w:szCs w:val="22"/>
        </w:rPr>
        <w:t xml:space="preserve">Metrics extracted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800"/>
        <w:gridCol w:w="1400"/>
        <w:gridCol w:w="27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Unit</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soil_moisture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SMAP SPL3SMP_E — soil_moisture_am</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m³/m³</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Volumetric soil moisture from morning (AM) overpass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soil_moisture_deficit</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Computed from SMAP</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0–1</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Normalised dryness: (SMAP_max - SMAP) / (SMAP_max - SMAP_min)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spi_30d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CHIRPS 30-day sum vs baseline</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-3 to +3</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Standardised Precipitation Index over 30-day rolling window</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rainfall_mm</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CHIRPS daily sum</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mm</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15-day cumulative rainfall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drought_risk</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Composite formula</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0–1</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0.35 x soil_deficit + 0.35 x heat_stress + 0.30 x |SPI negative|</w:t>
            </w:r>
          </w:p>
        </w:tc>
      </w:tr>
    </w:tbl>
    <w:p>
      <w:pPr>
        <w:spacing w:before="0" w:after="80"/>
      </w:pPr>
      <w:r>
        <w:rPr>
          <w:sz w:val="22"/>
          <w:szCs w:val="22"/>
        </w:rPr>
        <w:t xml:space="preserve"/>
      </w:r>
    </w:p>
    <w:p>
      <w:pPr>
        <w:pStyle w:val="Heading3"/>
        <w:spacing w:before="200" w:after="60"/>
      </w:pPr>
      <w:r>
        <w:rPr>
          <w:rFonts w:ascii="Arial" w:cs="Arial" w:eastAsia="Arial" w:hAnsi="Arial"/>
          <w:b/>
          <w:bCs/>
          <w:color w:val="404040"/>
          <w:sz w:val="22"/>
          <w:szCs w:val="22"/>
        </w:rPr>
        <w:t xml:space="preserve">SMAP collection versioning</w:t>
      </w:r>
    </w:p>
    <w:p>
      <w:pPr>
        <w:spacing w:before="60" w:after="100"/>
      </w:pPr>
      <w:r>
        <w:rPr>
          <w:rFonts w:ascii="Arial" w:cs="Arial" w:eastAsia="Arial" w:hAnsi="Arial"/>
          <w:color w:val="222222"/>
          <w:sz w:val="22"/>
          <w:szCs w:val="22"/>
        </w:rPr>
        <w:t xml:space="preserve">The SMAP enhanced product was released in two GEE collection versions. Version 005 covers the period from the mission start through 3 December 2023. Version 006 covers 4 December 2023 to present. Data extracted for 2021 to 2023 uses version 005; data for 2024 to 2025 uses version 006. Values around -9999 in 2024 to 2025 data downloaded using version 005 indicate this version boundary was not respected in the extraction.</w:t>
      </w:r>
    </w:p>
    <w:p>
      <w:pPr>
        <w:spacing w:before="0" w:after="80"/>
      </w:pPr>
      <w:r>
        <w:rPr>
          <w:sz w:val="22"/>
          <w:szCs w:val="22"/>
        </w:rPr>
        <w:t xml:space="preserve"/>
      </w:r>
    </w:p>
    <w:p>
      <w:pPr>
        <w:pStyle w:val="Heading3"/>
        <w:spacing w:before="200" w:after="60"/>
      </w:pPr>
      <w:r>
        <w:rPr>
          <w:rFonts w:ascii="Arial" w:cs="Arial" w:eastAsia="Arial" w:hAnsi="Arial"/>
          <w:b/>
          <w:bCs/>
          <w:color w:val="404040"/>
          <w:sz w:val="22"/>
          <w:szCs w:val="22"/>
        </w:rPr>
        <w:t xml:space="preserve">Key technical notes</w:t>
      </w:r>
    </w:p>
    <w:p>
      <w:pPr>
        <w:pStyle w:val="ListParagraph"/>
        <w:numPr>
          <w:ilvl w:val="0"/>
          <w:numId w:val="2"/>
        </w:numPr>
        <w:spacing w:before="40" w:after="40"/>
      </w:pPr>
      <w:r>
        <w:rPr>
          <w:rFonts w:ascii="Arial" w:cs="Arial" w:eastAsia="Arial" w:hAnsi="Arial"/>
          <w:color w:val="222222"/>
          <w:sz w:val="22"/>
          <w:szCs w:val="22"/>
        </w:rPr>
        <w:t xml:space="preserve">The AM (morning) overpass is preferred over the PM (afternoon) overpass as it captures soil moisture after overnight equilibration, before surface heating introduces diurnal variability.</w:t>
      </w:r>
    </w:p>
    <w:p>
      <w:pPr>
        <w:pStyle w:val="ListParagraph"/>
        <w:numPr>
          <w:ilvl w:val="0"/>
          <w:numId w:val="2"/>
        </w:numPr>
        <w:spacing w:before="40" w:after="40"/>
      </w:pPr>
      <w:r>
        <w:rPr>
          <w:rFonts w:ascii="Arial" w:cs="Arial" w:eastAsia="Arial" w:hAnsi="Arial"/>
          <w:color w:val="222222"/>
          <w:sz w:val="22"/>
          <w:szCs w:val="22"/>
        </w:rPr>
        <w:t xml:space="preserve">SMAP native resolution is 9 km. At 3 km grid cells, neighbouring grids may share the same SMAP pixel value, producing spatial smoothing across the western edge of the study area.</w:t>
      </w:r>
    </w:p>
    <w:p>
      <w:pPr>
        <w:pStyle w:val="ListParagraph"/>
        <w:numPr>
          <w:ilvl w:val="0"/>
          <w:numId w:val="2"/>
        </w:numPr>
        <w:spacing w:before="40" w:after="40"/>
      </w:pPr>
      <w:r>
        <w:rPr>
          <w:rFonts w:ascii="Arial" w:cs="Arial" w:eastAsia="Arial" w:hAnsi="Arial"/>
          <w:color w:val="222222"/>
          <w:sz w:val="22"/>
          <w:szCs w:val="22"/>
        </w:rPr>
        <w:t xml:space="preserve">The SPI is computed using a 30-day lookback window ending at the window start date. The long-term mean and standard deviation for normalisation are derived from the full 2021 to 2025 CHIRPS record. Negative SPI indicates below-normal rainfall; SPI below -1.0 is conventionally classified as moderate drought.</w:t>
      </w:r>
    </w:p>
    <w:p>
      <w:pPr>
        <w:pStyle w:val="ListParagraph"/>
        <w:numPr>
          <w:ilvl w:val="0"/>
          <w:numId w:val="2"/>
        </w:numPr>
        <w:spacing w:before="40" w:after="40"/>
      </w:pPr>
      <w:r>
        <w:rPr>
          <w:rFonts w:ascii="Arial" w:cs="Arial" w:eastAsia="Arial" w:hAnsi="Arial"/>
          <w:color w:val="222222"/>
          <w:sz w:val="22"/>
          <w:szCs w:val="22"/>
        </w:rPr>
        <w:t xml:space="preserve">Known SMAP data gaps: the instrument experienced downtime in parts of September to October 2022. Affected windows will show null soil moisture values; forward-fill is applied in the pipeline.</w:t>
      </w:r>
    </w:p>
    <w:p>
      <w:pPr>
        <w:spacing w:before="0" w:after="80"/>
      </w:pPr>
      <w:r>
        <w:rPr>
          <w:sz w:val="22"/>
          <w:szCs w:val="22"/>
        </w:rPr>
        <w:t xml:space="preserve"/>
      </w:r>
    </w:p>
    <w:p>
      <w:pPr>
        <w:pStyle w:val="Heading2"/>
        <w:spacing w:before="280" w:after="80"/>
      </w:pPr>
      <w:r>
        <w:rPr>
          <w:rFonts w:ascii="Arial" w:cs="Arial" w:eastAsia="Arial" w:hAnsi="Arial"/>
          <w:b/>
          <w:bCs/>
          <w:color w:val="2E75B6"/>
          <w:sz w:val="26"/>
          <w:szCs w:val="26"/>
        </w:rPr>
        <w:t xml:space="preserve">2.5 Wind and Meteorological Conditions (ERA5)</w:t>
      </w:r>
    </w:p>
    <w:p>
      <w:pPr>
        <w:spacing w:before="60" w:after="100"/>
      </w:pPr>
      <w:r>
        <w:rPr>
          <w:rFonts w:ascii="Arial" w:cs="Arial" w:eastAsia="Arial" w:hAnsi="Arial"/>
          <w:b/>
          <w:bCs/>
          <w:color w:val="222222"/>
          <w:sz w:val="22"/>
          <w:szCs w:val="22"/>
        </w:rPr>
        <w:t xml:space="preserve">Data source: </w:t>
      </w:r>
      <w:r>
        <w:rPr>
          <w:rFonts w:ascii="Arial" w:cs="Arial" w:eastAsia="Arial" w:hAnsi="Arial"/>
          <w:color w:val="222222"/>
          <w:sz w:val="22"/>
          <w:szCs w:val="22"/>
        </w:rPr>
        <w:t xml:space="preserve">ECMWF ERA5-Land Reanalysis — European Centre for Medium-Range Weather Forecasts</w:t>
      </w:r>
    </w:p>
    <w:p>
      <w:pPr>
        <w:spacing w:before="60" w:after="100"/>
      </w:pPr>
      <w:r>
        <w:rPr>
          <w:rFonts w:ascii="Arial" w:cs="Arial" w:eastAsia="Arial" w:hAnsi="Arial"/>
          <w:b/>
          <w:bCs/>
          <w:color w:val="222222"/>
          <w:sz w:val="22"/>
          <w:szCs w:val="22"/>
        </w:rPr>
        <w:t xml:space="preserve">GEE collection ID: </w:t>
      </w:r>
      <w:r>
        <w:rPr>
          <w:rFonts w:ascii="Arial" w:cs="Arial" w:eastAsia="Arial" w:hAnsi="Arial"/>
          <w:color w:val="222222"/>
          <w:sz w:val="22"/>
          <w:szCs w:val="22"/>
        </w:rPr>
        <w:t xml:space="preserve">ECMWF/ERA5_LAND/HOURLY</w:t>
      </w:r>
    </w:p>
    <w:p>
      <w:pPr>
        <w:spacing w:before="60" w:after="100"/>
      </w:pPr>
      <w:r>
        <w:rPr>
          <w:rFonts w:ascii="Arial" w:cs="Arial" w:eastAsia="Arial" w:hAnsi="Arial"/>
          <w:color w:val="222222"/>
          <w:sz w:val="22"/>
          <w:szCs w:val="22"/>
        </w:rPr>
        <w:t xml:space="preserve">ERA5-Land is a reanalysis product, not a direct satellite observation. It combines historical weather model forecasts with observational data assimilation (satellite, radiosonde, surface stations) to produce a physically consistent reconstruction of the atmosphere and land surface at hourly intervals from 1950 to present. Unlike satellite observations, reanalysis has no cloud gaps and no overpass timing issues, making it the most complete meteorological dataset for historical analysis. Native resolution is approximately 9 km.</w:t>
      </w:r>
    </w:p>
    <w:p>
      <w:pPr>
        <w:spacing w:before="0" w:after="80"/>
      </w:pPr>
      <w:r>
        <w:rPr>
          <w:sz w:val="22"/>
          <w:szCs w:val="22"/>
        </w:rPr>
        <w:t xml:space="preserve"/>
      </w:r>
    </w:p>
    <w:p>
      <w:pPr>
        <w:pStyle w:val="Heading3"/>
        <w:spacing w:before="200" w:after="60"/>
      </w:pPr>
      <w:r>
        <w:rPr>
          <w:rFonts w:ascii="Arial" w:cs="Arial" w:eastAsia="Arial" w:hAnsi="Arial"/>
          <w:b/>
          <w:bCs/>
          <w:color w:val="404040"/>
          <w:sz w:val="22"/>
          <w:szCs w:val="22"/>
        </w:rPr>
        <w:t xml:space="preserve">Metrics extracted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400"/>
        <w:gridCol w:w="1200"/>
        <w:gridCol w:w="256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ERA5 Band</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Unit</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wind_speed_ms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Derived from u and v</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m/s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Scalar wind speed — magnitude of mean vector</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wind_dir_deg</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Derived from u and v</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degrees 0–360</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Meteorological wind direction (direction wind comes FROM)</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temp_celsius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temperature_2m</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°C</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2-metre air temperature — converted from Kelvin</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u_ms</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u_component_of_wind_10m</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m/s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Eastward wind component at 10 m</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v_ms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v_component_of_wind_10m</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m/s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Northward wind component at 10 m</w:t>
            </w:r>
          </w:p>
        </w:tc>
      </w:tr>
    </w:tbl>
    <w:p>
      <w:pPr>
        <w:spacing w:before="0" w:after="80"/>
      </w:pPr>
      <w:r>
        <w:rPr>
          <w:sz w:val="22"/>
          <w:szCs w:val="22"/>
        </w:rPr>
        <w:t xml:space="preserve"/>
      </w:r>
    </w:p>
    <w:p>
      <w:pPr>
        <w:pStyle w:val="Heading3"/>
        <w:spacing w:before="200" w:after="60"/>
      </w:pPr>
      <w:r>
        <w:rPr>
          <w:rFonts w:ascii="Arial" w:cs="Arial" w:eastAsia="Arial" w:hAnsi="Arial"/>
          <w:b/>
          <w:bCs/>
          <w:color w:val="404040"/>
          <w:sz w:val="22"/>
          <w:szCs w:val="22"/>
        </w:rPr>
        <w:t xml:space="preserve">Wind direction computation</w:t>
      </w:r>
    </w:p>
    <w:p>
      <w:pPr>
        <w:spacing w:before="60" w:after="100"/>
      </w:pPr>
      <w:r>
        <w:rPr>
          <w:rFonts w:ascii="Arial" w:cs="Arial" w:eastAsia="Arial" w:hAnsi="Arial"/>
          <w:color w:val="222222"/>
          <w:sz w:val="22"/>
          <w:szCs w:val="22"/>
        </w:rPr>
        <w:t xml:space="preserve">Wind direction is computed using vector averaging, not scalar averaging of angles. The u and v components are averaged separately over the 15-day window, and the meteorological bearing is derived as: wind_dir = (atan2(-u_mean, -v_mean) x 180/pi + 360) mod 360. This yields the direction from which the wind is blowing, consistent with standard meteorological convention. Scalar averaging of compass bearings produces incorrect results near 0/360 degree discontinuity (for example, averaging 350 and 10 degrees would give 180 degrees instead of 0 degrees).</w:t>
      </w:r>
    </w:p>
    <w:p>
      <w:pPr>
        <w:spacing w:before="0" w:after="80"/>
      </w:pPr>
      <w:r>
        <w:rPr>
          <w:sz w:val="22"/>
          <w:szCs w:val="22"/>
        </w:rPr>
        <w:t xml:space="preserve"/>
      </w:r>
    </w:p>
    <w:p>
      <w:pPr>
        <w:pStyle w:val="Heading3"/>
        <w:spacing w:before="200" w:after="60"/>
      </w:pPr>
      <w:r>
        <w:rPr>
          <w:rFonts w:ascii="Arial" w:cs="Arial" w:eastAsia="Arial" w:hAnsi="Arial"/>
          <w:b/>
          <w:bCs/>
          <w:color w:val="404040"/>
          <w:sz w:val="22"/>
          <w:szCs w:val="22"/>
        </w:rPr>
        <w:t xml:space="preserve">Key technical notes</w:t>
      </w:r>
    </w:p>
    <w:p>
      <w:pPr>
        <w:pStyle w:val="ListParagraph"/>
        <w:numPr>
          <w:ilvl w:val="0"/>
          <w:numId w:val="2"/>
        </w:numPr>
        <w:spacing w:before="40" w:after="40"/>
      </w:pPr>
      <w:r>
        <w:rPr>
          <w:rFonts w:ascii="Arial" w:cs="Arial" w:eastAsia="Arial" w:hAnsi="Arial"/>
          <w:color w:val="222222"/>
          <w:sz w:val="22"/>
          <w:szCs w:val="22"/>
        </w:rPr>
        <w:t xml:space="preserve">ERA5-Land is hourly. The extraction averages all hourly images within each 15-day window (approximately 360 images per window) into a single mean composite per grid.</w:t>
      </w:r>
    </w:p>
    <w:p>
      <w:pPr>
        <w:pStyle w:val="ListParagraph"/>
        <w:numPr>
          <w:ilvl w:val="0"/>
          <w:numId w:val="2"/>
        </w:numPr>
        <w:spacing w:before="40" w:after="40"/>
      </w:pPr>
      <w:r>
        <w:rPr>
          <w:rFonts w:ascii="Arial" w:cs="Arial" w:eastAsia="Arial" w:hAnsi="Arial"/>
          <w:color w:val="222222"/>
          <w:sz w:val="22"/>
          <w:szCs w:val="22"/>
        </w:rPr>
        <w:t xml:space="preserve">ERA5 data is available with a delay of approximately 5 days from real-time. For dates within 5 days of the current date, the ERA5T (preliminary) product is used automatically by GEE.</w:t>
      </w:r>
    </w:p>
    <w:p>
      <w:pPr>
        <w:pStyle w:val="ListParagraph"/>
        <w:numPr>
          <w:ilvl w:val="0"/>
          <w:numId w:val="2"/>
        </w:numPr>
        <w:spacing w:before="40" w:after="40"/>
      </w:pPr>
      <w:r>
        <w:rPr>
          <w:rFonts w:ascii="Arial" w:cs="Arial" w:eastAsia="Arial" w:hAnsi="Arial"/>
          <w:color w:val="222222"/>
          <w:sz w:val="22"/>
          <w:szCs w:val="22"/>
        </w:rPr>
        <w:t xml:space="preserve">At 9 km native resolution, many 3 km grid cells within the same ERA5 pixel will share identical wind and temperature values. This spatial smoothing is inherent to the ERA5-Land product and does not indicate a data error.</w:t>
      </w:r>
    </w:p>
    <w:p>
      <w:pPr>
        <w:pStyle w:val="ListParagraph"/>
        <w:numPr>
          <w:ilvl w:val="0"/>
          <w:numId w:val="2"/>
        </w:numPr>
        <w:spacing w:before="40" w:after="40"/>
      </w:pPr>
      <w:r>
        <w:rPr>
          <w:rFonts w:ascii="Arial" w:cs="Arial" w:eastAsia="Arial" w:hAnsi="Arial"/>
          <w:color w:val="222222"/>
          <w:sz w:val="22"/>
          <w:szCs w:val="22"/>
        </w:rPr>
        <w:t xml:space="preserve">The temp_celsius column from ERA5 reflects air temperature at 2 metres above the surface — distinct from lst_celsius (skin surface temperature from MODIS). The two are correlated but differ systematically: LST can exceed air temperature by 10 to 20 degrees on clear summer days over bare or built-up surfaces.</w:t>
      </w:r>
    </w:p>
    <w:p>
      <w:pPr>
        <w:spacing w:before="0" w:after="80"/>
      </w:pPr>
      <w:r>
        <w:rPr>
          <w:sz w:val="22"/>
          <w:szCs w:val="22"/>
        </w:rPr>
        <w:t xml:space="preserve"/>
      </w:r>
    </w:p>
    <w:p>
      <w:pPr>
        <w:pStyle w:val="Heading2"/>
        <w:spacing w:before="280" w:after="80"/>
      </w:pPr>
      <w:r>
        <w:rPr>
          <w:rFonts w:ascii="Arial" w:cs="Arial" w:eastAsia="Arial" w:hAnsi="Arial"/>
          <w:b/>
          <w:bCs/>
          <w:color w:val="2E75B6"/>
          <w:sz w:val="26"/>
          <w:szCs w:val="26"/>
        </w:rPr>
        <w:t xml:space="preserve">2.6 Land Use and Land Cover (LULC)</w:t>
      </w:r>
    </w:p>
    <w:p>
      <w:pPr>
        <w:spacing w:before="60" w:after="100"/>
      </w:pPr>
      <w:r>
        <w:rPr>
          <w:rFonts w:ascii="Arial" w:cs="Arial" w:eastAsia="Arial" w:hAnsi="Arial"/>
          <w:b/>
          <w:bCs/>
          <w:color w:val="222222"/>
          <w:sz w:val="22"/>
          <w:szCs w:val="22"/>
        </w:rPr>
        <w:t xml:space="preserve">Primary dataset: </w:t>
      </w:r>
      <w:r>
        <w:rPr>
          <w:rFonts w:ascii="Arial" w:cs="Arial" w:eastAsia="Arial" w:hAnsi="Arial"/>
          <w:color w:val="222222"/>
          <w:sz w:val="22"/>
          <w:szCs w:val="22"/>
        </w:rPr>
        <w:t xml:space="preserve">ESRI 10m Annual Land Cover — Impact Observatory / Esri / Microsoft</w:t>
      </w:r>
    </w:p>
    <w:p>
      <w:pPr>
        <w:spacing w:before="60" w:after="100"/>
      </w:pPr>
      <w:r>
        <w:rPr>
          <w:rFonts w:ascii="Arial" w:cs="Arial" w:eastAsia="Arial" w:hAnsi="Arial"/>
          <w:b/>
          <w:bCs/>
          <w:color w:val="222222"/>
          <w:sz w:val="22"/>
          <w:szCs w:val="22"/>
        </w:rPr>
        <w:t xml:space="preserve">GEE collection ID: </w:t>
      </w:r>
      <w:r>
        <w:rPr>
          <w:rFonts w:ascii="Arial" w:cs="Arial" w:eastAsia="Arial" w:hAnsi="Arial"/>
          <w:color w:val="222222"/>
          <w:sz w:val="22"/>
          <w:szCs w:val="22"/>
        </w:rPr>
        <w:t xml:space="preserve">projects/sat-io/open-datasets/landcover/ESRI_Global-LULC_10m_TS (community catalog)</w:t>
      </w:r>
    </w:p>
    <w:p>
      <w:pPr>
        <w:spacing w:before="60" w:after="100"/>
      </w:pPr>
      <w:r>
        <w:rPr>
          <w:rFonts w:ascii="Arial" w:cs="Arial" w:eastAsia="Arial" w:hAnsi="Arial"/>
          <w:color w:val="222222"/>
          <w:sz w:val="22"/>
          <w:szCs w:val="22"/>
        </w:rPr>
        <w:t xml:space="preserve">The ESRI Annual Land Cover product is derived from Sentinel-2 imagery using a deep learning model trained on over 5 billion hand-labelled pixels globally. The model classifies each 10 m Sentinel-2 pixel into one of 9 land cover classes. Annual composites are produced for each calendar year from 2017 to 2024. This product is distributed through the GEE community catalog under the sat-io namespace.</w:t>
      </w:r>
    </w:p>
    <w:p>
      <w:pPr>
        <w:spacing w:before="0" w:after="80"/>
      </w:pPr>
      <w:r>
        <w:rPr>
          <w:sz w:val="22"/>
          <w:szCs w:val="22"/>
        </w:rPr>
        <w:t xml:space="preserve"/>
      </w:r>
    </w:p>
    <w:p>
      <w:pPr>
        <w:pStyle w:val="Heading3"/>
        <w:spacing w:before="200" w:after="60"/>
      </w:pPr>
      <w:r>
        <w:rPr>
          <w:rFonts w:ascii="Arial" w:cs="Arial" w:eastAsia="Arial" w:hAnsi="Arial"/>
          <w:b/>
          <w:bCs/>
          <w:color w:val="404040"/>
          <w:sz w:val="22"/>
          <w:szCs w:val="22"/>
        </w:rPr>
        <w:t xml:space="preserve">Land cover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860"/>
      </w:tblGrid>
      <w:tr>
        <w:trPr>
          <w:tblHeader/>
        </w:trPr>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Class Value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Class Name</w:t>
            </w:r>
          </w:p>
        </w:tc>
        <w:tc>
          <w:tcPr>
            <w:tcW w:type="dxa" w:w="5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Water</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Rivers, lakes, reservoirs, ponds, canals</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2</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Trees</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Any vegetation taller than approximately 3 m</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4</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Flooded Vegetation</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Wetlands, mangroves, paddy fields under water</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5</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Crops</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Cultivated land — Kharif and Rabi agricultural areas</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7</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Built Area</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Impervious surfaces: buildings, roads, concrete</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8</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Bare Ground</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Rock, sand, dry soil with no vegetation</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9</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Snow / Ice</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Permanent or seasonal snow and glaciers</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10</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Clouds</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Cloud-contaminated pixels — masked out in extraction</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11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Rangeland</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Shrubs, grass, sparse vegetation</w:t>
            </w:r>
          </w:p>
        </w:tc>
      </w:tr>
    </w:tbl>
    <w:p>
      <w:pPr>
        <w:spacing w:before="0" w:after="80"/>
      </w:pPr>
      <w:r>
        <w:rPr>
          <w:sz w:val="22"/>
          <w:szCs w:val="22"/>
        </w:rPr>
        <w:t xml:space="preserve"/>
      </w:r>
    </w:p>
    <w:p>
      <w:pPr>
        <w:pStyle w:val="Heading3"/>
        <w:spacing w:before="200" w:after="60"/>
      </w:pPr>
      <w:r>
        <w:rPr>
          <w:rFonts w:ascii="Arial" w:cs="Arial" w:eastAsia="Arial" w:hAnsi="Arial"/>
          <w:b/>
          <w:bCs/>
          <w:color w:val="404040"/>
          <w:sz w:val="22"/>
          <w:szCs w:val="22"/>
        </w:rPr>
        <w:t xml:space="preserve">Metrics extracted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Unit</w:t>
            </w:r>
          </w:p>
        </w:tc>
        <w:tc>
          <w:tcPr>
            <w:tcW w:type="dxa" w:w="5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dominant_class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integer (class code)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Most frequent land cover class in the 3 km cell</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dominant_class_pct</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 (0–100)</w:t>
            </w:r>
          </w:p>
        </w:tc>
        <w:tc>
          <w:tcPr>
            <w:tcW w:type="dxa" w:w="5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Percentage of cell covered by dominant class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water_pct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 (0–100)</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Fraction of cell classified as water</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trees_pct</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 (0–100)</w:t>
            </w:r>
          </w:p>
        </w:tc>
        <w:tc>
          <w:tcPr>
            <w:tcW w:type="dxa" w:w="5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Fraction of cell classified as trees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flooded_pct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 (0–100)</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Fraction of cell classified as flooded vegetation</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crops_pct</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 (0–100)</w:t>
            </w:r>
          </w:p>
        </w:tc>
        <w:tc>
          <w:tcPr>
            <w:tcW w:type="dxa" w:w="5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Fraction of cell classified as crops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built_pct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 (0–100)</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Fraction of cell classified as built area</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bare_pct</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 (0–100)</w:t>
            </w:r>
          </w:p>
        </w:tc>
        <w:tc>
          <w:tcPr>
            <w:tcW w:type="dxa" w:w="5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Fraction of cell classified as bare ground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rangeland_pct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 (0–100)</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Fraction of cell classified as rangeland</w:t>
            </w:r>
          </w:p>
        </w:tc>
      </w:tr>
    </w:tbl>
    <w:p>
      <w:pPr>
        <w:spacing w:before="0" w:after="80"/>
      </w:pPr>
      <w:r>
        <w:rPr>
          <w:sz w:val="22"/>
          <w:szCs w:val="22"/>
        </w:rPr>
        <w:t xml:space="preserve"/>
      </w:r>
    </w:p>
    <w:p>
      <w:pPr>
        <w:pStyle w:val="Heading3"/>
        <w:spacing w:before="200" w:after="60"/>
      </w:pPr>
      <w:r>
        <w:rPr>
          <w:rFonts w:ascii="Arial" w:cs="Arial" w:eastAsia="Arial" w:hAnsi="Arial"/>
          <w:b/>
          <w:bCs/>
          <w:color w:val="404040"/>
          <w:sz w:val="22"/>
          <w:szCs w:val="22"/>
        </w:rPr>
        <w:t xml:space="preserve">Key technical notes</w:t>
      </w:r>
    </w:p>
    <w:p>
      <w:pPr>
        <w:pStyle w:val="ListParagraph"/>
        <w:numPr>
          <w:ilvl w:val="0"/>
          <w:numId w:val="2"/>
        </w:numPr>
        <w:spacing w:before="40" w:after="40"/>
      </w:pPr>
      <w:r>
        <w:rPr>
          <w:rFonts w:ascii="Arial" w:cs="Arial" w:eastAsia="Arial" w:hAnsi="Arial"/>
          <w:color w:val="222222"/>
          <w:sz w:val="22"/>
          <w:szCs w:val="22"/>
        </w:rPr>
        <w:t xml:space="preserve">Ahmedabad spans two MGRS tiles: 42Q (western half) and 43Q (eastern half). All earlier extraction attempts using a single tile returned null for grids in the opposing tile. The final extraction uses .mosaic() to merge both tiles before reducing, which is the correct approach.</w:t>
      </w:r>
    </w:p>
    <w:p>
      <w:pPr>
        <w:pStyle w:val="ListParagraph"/>
        <w:numPr>
          <w:ilvl w:val="0"/>
          <w:numId w:val="2"/>
        </w:numPr>
        <w:spacing w:before="40" w:after="40"/>
      </w:pPr>
      <w:r>
        <w:rPr>
          <w:rFonts w:ascii="Arial" w:cs="Arial" w:eastAsia="Arial" w:hAnsi="Arial"/>
          <w:color w:val="222222"/>
          <w:sz w:val="22"/>
          <w:szCs w:val="22"/>
        </w:rPr>
        <w:t xml:space="preserve">At 10 m resolution, a 3 km x 3 km grid cell contains approximately 90,000 pixels. The mode reducer was found to fail silently at this pixel count within GEE's memory constraints. The extraction instead derives dominant_class from the argmax of 7 binary fraction bands computed at 30 m scale — mathematically equivalent to mode but computationally stable.</w:t>
      </w:r>
    </w:p>
    <w:p>
      <w:pPr>
        <w:pStyle w:val="ListParagraph"/>
        <w:numPr>
          <w:ilvl w:val="0"/>
          <w:numId w:val="2"/>
        </w:numPr>
        <w:spacing w:before="40" w:after="40"/>
      </w:pPr>
      <w:r>
        <w:rPr>
          <w:rFonts w:ascii="Arial" w:cs="Arial" w:eastAsia="Arial" w:hAnsi="Arial"/>
          <w:color w:val="222222"/>
          <w:sz w:val="22"/>
          <w:szCs w:val="22"/>
        </w:rPr>
        <w:t xml:space="preserve">LULC is an annual product. The pipeline expands each annual snapshot to 12 monthly rows (one per calendar month of that year) so it can join cleanly with the monthly observation table.</w:t>
      </w:r>
    </w:p>
    <w:p>
      <w:pPr>
        <w:pStyle w:val="ListParagraph"/>
        <w:numPr>
          <w:ilvl w:val="0"/>
          <w:numId w:val="2"/>
        </w:numPr>
        <w:spacing w:before="40" w:after="40"/>
      </w:pPr>
      <w:r>
        <w:rPr>
          <w:rFonts w:ascii="Arial" w:cs="Arial" w:eastAsia="Arial" w:hAnsi="Arial"/>
          <w:color w:val="222222"/>
          <w:sz w:val="22"/>
          <w:szCs w:val="22"/>
        </w:rPr>
        <w:t xml:space="preserve">The 2025 ESRI LULC snapshot is not yet available as of the time of writing. The 2024 snapshot is the most recent available and is forward-filled to cover 2025 months in the monthly table.</w:t>
      </w:r>
    </w:p>
    <w:p>
      <w:pPr>
        <w:spacing w:before="0" w:after="80"/>
      </w:pPr>
      <w:r>
        <w:rPr>
          <w:sz w:val="22"/>
          <w:szCs w:val="22"/>
        </w:rPr>
        <w:t xml:space="preserve"/>
      </w:r>
    </w:p>
    <w:p>
      <w:pPr>
        <w:pStyle w:val="Heading2"/>
        <w:spacing w:before="280" w:after="80"/>
      </w:pPr>
      <w:r>
        <w:rPr>
          <w:rFonts w:ascii="Arial" w:cs="Arial" w:eastAsia="Arial" w:hAnsi="Arial"/>
          <w:b/>
          <w:bCs/>
          <w:color w:val="2E75B6"/>
          <w:sz w:val="26"/>
          <w:szCs w:val="26"/>
        </w:rPr>
        <w:t xml:space="preserve">2.7 Surface Water Presence</w:t>
      </w:r>
    </w:p>
    <w:p>
      <w:pPr>
        <w:spacing w:before="60" w:after="100"/>
      </w:pPr>
      <w:r>
        <w:rPr>
          <w:rFonts w:ascii="Arial" w:cs="Arial" w:eastAsia="Arial" w:hAnsi="Arial"/>
          <w:b/>
          <w:bCs/>
          <w:color w:val="222222"/>
          <w:sz w:val="22"/>
          <w:szCs w:val="22"/>
        </w:rPr>
        <w:t xml:space="preserve">Dynamic water (2021–2025): </w:t>
      </w:r>
      <w:r>
        <w:rPr>
          <w:rFonts w:ascii="Arial" w:cs="Arial" w:eastAsia="Arial" w:hAnsi="Arial"/>
          <w:color w:val="222222"/>
          <w:sz w:val="22"/>
          <w:szCs w:val="22"/>
        </w:rPr>
        <w:t xml:space="preserve">Sentinel-2 NDWI — ESA Copernicus Programme</w:t>
      </w:r>
    </w:p>
    <w:p>
      <w:pPr>
        <w:spacing w:before="60" w:after="100"/>
      </w:pPr>
      <w:r>
        <w:rPr>
          <w:rFonts w:ascii="Arial" w:cs="Arial" w:eastAsia="Arial" w:hAnsi="Arial"/>
          <w:b/>
          <w:bCs/>
          <w:color w:val="222222"/>
          <w:sz w:val="22"/>
          <w:szCs w:val="22"/>
        </w:rPr>
        <w:t xml:space="preserve">Static baseline: </w:t>
      </w:r>
      <w:r>
        <w:rPr>
          <w:rFonts w:ascii="Arial" w:cs="Arial" w:eastAsia="Arial" w:hAnsi="Arial"/>
          <w:color w:val="222222"/>
          <w:sz w:val="22"/>
          <w:szCs w:val="22"/>
        </w:rPr>
        <w:t xml:space="preserve">JRC Global Surface Water v1.4 — European Commission Joint Research Centre</w:t>
      </w:r>
    </w:p>
    <w:p>
      <w:pPr>
        <w:spacing w:before="60" w:after="100"/>
      </w:pPr>
      <w:r>
        <w:rPr>
          <w:rFonts w:ascii="Arial" w:cs="Arial" w:eastAsia="Arial" w:hAnsi="Arial"/>
          <w:b/>
          <w:bCs/>
          <w:color w:val="222222"/>
          <w:sz w:val="22"/>
          <w:szCs w:val="22"/>
        </w:rPr>
        <w:t xml:space="preserve">GEE collection IDs: </w:t>
      </w:r>
      <w:r>
        <w:rPr>
          <w:rFonts w:ascii="Arial" w:cs="Arial" w:eastAsia="Arial" w:hAnsi="Arial"/>
          <w:color w:val="222222"/>
          <w:sz w:val="22"/>
          <w:szCs w:val="22"/>
        </w:rPr>
        <w:t xml:space="preserve">COPERNICUS/S2_SR_HARMONIZED (dynamic); JRC/GSW1_4/GlobalSurfaceWater (static occurrence and seasonality)</w:t>
      </w:r>
    </w:p>
    <w:p>
      <w:pPr>
        <w:spacing w:before="60" w:after="100"/>
      </w:pPr>
      <w:r>
        <w:rPr>
          <w:rFonts w:ascii="Arial" w:cs="Arial" w:eastAsia="Arial" w:hAnsi="Arial"/>
          <w:color w:val="222222"/>
          <w:sz w:val="22"/>
          <w:szCs w:val="22"/>
        </w:rPr>
        <w:t xml:space="preserve">The JRC Global Surface Water product (Pekel et al. 2016) provides the most comprehensive long-term record of surface water occurrence globally, derived from 3 million Landsat scenes from 1984 to 2021. However, its MonthlyHistory sub-product ends at December 2021, making it unsuitable as the primary dynamic data source for a 2021 to 2025 analysis period. The dynamic extraction uses Sentinel-2 NDWI instead, which provides active 10 m observations across the full analysis period. JRC static layers are retained as the long-term baseline reference.</w:t>
      </w:r>
    </w:p>
    <w:p>
      <w:pPr>
        <w:spacing w:before="0" w:after="80"/>
      </w:pPr>
      <w:r>
        <w:rPr>
          <w:sz w:val="22"/>
          <w:szCs w:val="22"/>
        </w:rPr>
        <w:t xml:space="preserve"/>
      </w:r>
    </w:p>
    <w:p>
      <w:pPr>
        <w:pStyle w:val="Heading3"/>
        <w:spacing w:before="200" w:after="60"/>
      </w:pPr>
      <w:r>
        <w:rPr>
          <w:rFonts w:ascii="Arial" w:cs="Arial" w:eastAsia="Arial" w:hAnsi="Arial"/>
          <w:b/>
          <w:bCs/>
          <w:color w:val="404040"/>
          <w:sz w:val="22"/>
          <w:szCs w:val="22"/>
        </w:rPr>
        <w:t xml:space="preserve">Metrics extracted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1500"/>
        <w:gridCol w:w="316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Unit</w:t>
            </w:r>
          </w:p>
        </w:tc>
        <w:tc>
          <w:tcPr>
            <w:tcW w:type="dxa" w:w="3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water_presence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S2 NDWI &gt; 0.1 threshold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0–1 fraction</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Dynamic: fraction of grid covered by water in that 15-day window</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water_occurrence_pct</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JRC GlobalSurfaceWater</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 (0–100)</w:t>
            </w:r>
          </w:p>
        </w:tc>
        <w:tc>
          <w:tcPr>
            <w:tcW w:type="dxa" w:w="3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Static: historical occurrence 1984–2021 (time-invariant)</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seasonality_months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JRC GlobalSurfaceWater</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months (0–12)</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Static: how many months per year water is typically present</w:t>
            </w:r>
          </w:p>
        </w:tc>
      </w:tr>
    </w:tbl>
    <w:p>
      <w:pPr>
        <w:spacing w:before="0" w:after="80"/>
      </w:pPr>
      <w:r>
        <w:rPr>
          <w:sz w:val="22"/>
          <w:szCs w:val="22"/>
        </w:rPr>
        <w:t xml:space="preserve"/>
      </w:r>
    </w:p>
    <w:p>
      <w:pPr>
        <w:pStyle w:val="Heading3"/>
        <w:spacing w:before="200" w:after="60"/>
      </w:pPr>
      <w:r>
        <w:rPr>
          <w:rFonts w:ascii="Arial" w:cs="Arial" w:eastAsia="Arial" w:hAnsi="Arial"/>
          <w:b/>
          <w:bCs/>
          <w:color w:val="404040"/>
          <w:sz w:val="22"/>
          <w:szCs w:val="22"/>
        </w:rPr>
        <w:t xml:space="preserve">NDWI methodology</w:t>
      </w:r>
    </w:p>
    <w:p>
      <w:pPr>
        <w:spacing w:before="60" w:after="100"/>
      </w:pPr>
      <w:r>
        <w:rPr>
          <w:rFonts w:ascii="Arial" w:cs="Arial" w:eastAsia="Arial" w:hAnsi="Arial"/>
          <w:color w:val="222222"/>
          <w:sz w:val="22"/>
          <w:szCs w:val="22"/>
        </w:rPr>
        <w:t xml:space="preserve">The Normalised Difference Water Index is computed as (Green B3 - NIR B8) / (Green B3 + NIR B8) using Sentinel-2 surface reflectance bands. Pixels with NDWI above 0.1 are classified as water (binary mask = 1); all other pixels are land (binary mask = 0). The grid-level water_presence value is the mean of this binary mask — equivalent to the fraction of the 3 km cell covered by water-classified pixels. A threshold of 0.1 (rather than 0.0) is used to reduce false positives from wet soil surfaces in urban and agricultural areas.</w:t>
      </w:r>
    </w:p>
    <w:p>
      <w:pPr>
        <w:spacing w:before="0" w:after="80"/>
      </w:pPr>
      <w:r>
        <w:rPr>
          <w:sz w:val="22"/>
          <w:szCs w:val="22"/>
        </w:rPr>
        <w:t xml:space="preserve"/>
      </w:r>
    </w:p>
    <w:p>
      <w:pPr>
        <w:pStyle w:val="Heading3"/>
        <w:spacing w:before="200" w:after="60"/>
      </w:pPr>
      <w:r>
        <w:rPr>
          <w:rFonts w:ascii="Arial" w:cs="Arial" w:eastAsia="Arial" w:hAnsi="Arial"/>
          <w:b/>
          <w:bCs/>
          <w:color w:val="404040"/>
          <w:sz w:val="22"/>
          <w:szCs w:val="22"/>
        </w:rPr>
        <w:t xml:space="preserve">Key technical notes</w:t>
      </w:r>
    </w:p>
    <w:p>
      <w:pPr>
        <w:pStyle w:val="ListParagraph"/>
        <w:numPr>
          <w:ilvl w:val="0"/>
          <w:numId w:val="2"/>
        </w:numPr>
        <w:spacing w:before="40" w:after="40"/>
      </w:pPr>
      <w:r>
        <w:rPr>
          <w:rFonts w:ascii="Arial" w:cs="Arial" w:eastAsia="Arial" w:hAnsi="Arial"/>
          <w:color w:val="222222"/>
          <w:sz w:val="22"/>
          <w:szCs w:val="22"/>
        </w:rPr>
        <w:t xml:space="preserve">Sentinel-2 is cloud-masked using QA60 bits 10 and 11 before NDWI computation. Only scenes with CLOUDY_PIXEL_PERCENTAGE below 20% are included. Cloudy 15-day windows widen the search to plus or minus 8 days.</w:t>
      </w:r>
    </w:p>
    <w:p>
      <w:pPr>
        <w:pStyle w:val="ListParagraph"/>
        <w:numPr>
          <w:ilvl w:val="0"/>
          <w:numId w:val="2"/>
        </w:numPr>
        <w:spacing w:before="40" w:after="40"/>
      </w:pPr>
      <w:r>
        <w:rPr>
          <w:rFonts w:ascii="Arial" w:cs="Arial" w:eastAsia="Arial" w:hAnsi="Arial"/>
          <w:color w:val="222222"/>
          <w:sz w:val="22"/>
          <w:szCs w:val="22"/>
        </w:rPr>
        <w:t xml:space="preserve">A critical debugging finding: after reduceRegions on a single-band image in GEE, the reduced value is stored in the feature property 'mean', not in the band name. All versions prior to v3 were reading the wrong property name, yielding null values and -9999 sentinel output.</w:t>
      </w:r>
    </w:p>
    <w:p>
      <w:pPr>
        <w:pStyle w:val="ListParagraph"/>
        <w:numPr>
          <w:ilvl w:val="0"/>
          <w:numId w:val="2"/>
        </w:numPr>
        <w:spacing w:before="40" w:after="40"/>
      </w:pPr>
      <w:r>
        <w:rPr>
          <w:rFonts w:ascii="Arial" w:cs="Arial" w:eastAsia="Arial" w:hAnsi="Arial"/>
          <w:color w:val="222222"/>
          <w:sz w:val="22"/>
          <w:szCs w:val="22"/>
        </w:rPr>
        <w:t xml:space="preserve">water_occurrence_pct and seasonality_months from JRC are time-invariant and are stored in the grids reference table rather than the monthly observation table.</w:t>
      </w:r>
    </w:p>
    <w:p>
      <w:pPr>
        <w:pStyle w:val="ListParagraph"/>
        <w:numPr>
          <w:ilvl w:val="0"/>
          <w:numId w:val="2"/>
        </w:numPr>
        <w:spacing w:before="40" w:after="40"/>
      </w:pPr>
      <w:r>
        <w:rPr>
          <w:rFonts w:ascii="Arial" w:cs="Arial" w:eastAsia="Arial" w:hAnsi="Arial"/>
          <w:color w:val="222222"/>
          <w:sz w:val="22"/>
          <w:szCs w:val="22"/>
        </w:rPr>
        <w:t xml:space="preserve">Sabarmati River grids are expected to show elevated water_presence (0.1 to 0.5) during the monsoon months of July to September and near-zero values in the pre-monsoon dry season of March to May.</w:t>
      </w:r>
    </w:p>
    <w:p>
      <w:r>
        <w:br w:type="page"/>
      </w:r>
    </w:p>
    <w:p>
      <w:pPr>
        <w:pStyle w:val="Heading1"/>
        <w:pBdr>
          <w:bottom w:val="single" w:color="2E75B6" w:sz="6" w:space="4"/>
        </w:pBdr>
        <w:spacing w:before="360" w:after="120"/>
      </w:pPr>
      <w:r>
        <w:rPr>
          <w:rFonts w:ascii="Arial" w:cs="Arial" w:eastAsia="Arial" w:hAnsi="Arial"/>
          <w:b/>
          <w:bCs/>
          <w:color w:val="1F4E79"/>
          <w:sz w:val="32"/>
          <w:szCs w:val="32"/>
        </w:rPr>
        <w:t xml:space="preserve">3. Known Data Issues and Resolutions</w:t>
      </w:r>
    </w:p>
    <w:p>
      <w:pPr>
        <w:spacing w:before="60" w:after="100"/>
      </w:pPr>
      <w:r>
        <w:rPr>
          <w:rFonts w:ascii="Arial" w:cs="Arial" w:eastAsia="Arial" w:hAnsi="Arial"/>
          <w:color w:val="222222"/>
          <w:sz w:val="22"/>
          <w:szCs w:val="22"/>
        </w:rPr>
        <w:t xml:space="preserve">This section documents confirmed data issues identified during extraction and pipeline development, along with the resolution applied in each case.</w:t>
      </w:r>
    </w:p>
    <w:p>
      <w:pPr>
        <w:spacing w:before="0" w:after="8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3000"/>
        <w:gridCol w:w="29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Root Cause</w:t>
            </w:r>
          </w:p>
        </w:tc>
        <w:tc>
          <w:tcPr>
            <w:tcW w:type="dxa" w:w="2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Resolution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Empty string nulls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LST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MODIS returns no value (not -9999) for fully cloudy days — GEE exports blank cells</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pd.to_numeric(errors='coerce') converts empty strings to NaN before aggregation</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Negative SO2 values</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Pollution</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S5P spectral retrieval inversion produces physically impossible negatives in low-concentration areas</w:t>
            </w:r>
          </w:p>
        </w:tc>
        <w:tc>
          <w:tcPr>
            <w:tcW w:type="dxa" w:w="2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Clip to zero in pipeline; values represent instrument noise below detection threshold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AQI always = 500</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Pollution</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GEE formula used CPCB surface-concentration thresholds against column density values — units mismatch causes immediate saturation</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Recompute AQI in pipeline using 95th percentile normalisation per pollutant</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SMAP null for 2024–2025</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Drought</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Collection version SPL3SMP_E/005 ends 3 Dec 2023; queries for 2024 return empty collection silently</w:t>
            </w:r>
          </w:p>
        </w:tc>
        <w:tc>
          <w:tcPr>
            <w:tcW w:type="dxa" w:w="2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Use SPL3SMP_E/006 for 2024–2025 data; both collections merged for full timeline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All LULC values -9999</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LULC</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Ahmedabad spans two MGRS tiles (42Q + 43Q); .first() returned only one tile, leaving half the grids without coverage</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Apply .mosaic() to merge both tiles before reduceRegions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calendarRange filter returned 0</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LULC</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ESRI community catalog images use year strings as system:index, not calendar timestamps</w:t>
            </w:r>
          </w:p>
        </w:tc>
        <w:tc>
          <w:tcPr>
            <w:tcW w:type="dxa" w:w="2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Filter using ee.Filter.eq('system:index', '2021') instead of calendarRange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water_presence always -9999</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Water</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reduceRegions on single-band image stores result as property 'mean', not the band name — script was reading f.get('water_presence')</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Corrected to f.get('mean') after debug confirmation</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Reducer.combine error</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LULC</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GEE Reducer.combine requires exactly 2 input bands; 8-band image caused failure</w:t>
            </w:r>
          </w:p>
        </w:tc>
        <w:tc>
          <w:tcPr>
            <w:tcW w:type="dxa" w:w="2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Split into two separate reduceRegions passes (mode + mean) joined by grid_id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Number.round null crash</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Pollution</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S5P has no overpass on some days — mean of empty collection returns null — .round() on null throws</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Three-layer null protection: inner join on all 3 sensors + .unmask(0) + safeRoundInt() guard</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Dominant class all -9999</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LULC v1–v4</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Mode reducer silently fails at 10 m resolution over 90,000 pixels per cell due to compute limits</w:t>
            </w:r>
          </w:p>
        </w:tc>
        <w:tc>
          <w:tcPr>
            <w:tcW w:type="dxa" w:w="2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Drop mode reducer; derive dominant_class from argmax of 7 binary fraction bands at 30 m</w:t>
            </w:r>
          </w:p>
        </w:tc>
      </w:tr>
    </w:tbl>
    <w:p>
      <w:r>
        <w:br w:type="page"/>
      </w:r>
    </w:p>
    <w:p>
      <w:pPr>
        <w:pStyle w:val="Heading1"/>
        <w:pBdr>
          <w:bottom w:val="single" w:color="2E75B6" w:sz="6" w:space="4"/>
        </w:pBdr>
        <w:spacing w:before="360" w:after="120"/>
      </w:pPr>
      <w:r>
        <w:rPr>
          <w:rFonts w:ascii="Arial" w:cs="Arial" w:eastAsia="Arial" w:hAnsi="Arial"/>
          <w:b/>
          <w:bCs/>
          <w:color w:val="1F4E79"/>
          <w:sz w:val="32"/>
          <w:szCs w:val="32"/>
        </w:rPr>
        <w:t xml:space="preserve">4. Data Pipeline and Database Schema</w:t>
      </w:r>
    </w:p>
    <w:p>
      <w:pPr>
        <w:pStyle w:val="Heading2"/>
        <w:spacing w:before="280" w:after="80"/>
      </w:pPr>
      <w:r>
        <w:rPr>
          <w:rFonts w:ascii="Arial" w:cs="Arial" w:eastAsia="Arial" w:hAnsi="Arial"/>
          <w:b/>
          <w:bCs/>
          <w:color w:val="2E75B6"/>
          <w:sz w:val="26"/>
          <w:szCs w:val="26"/>
        </w:rPr>
        <w:t xml:space="preserve">4.1 Pipeline Stages</w:t>
      </w:r>
    </w:p>
    <w:p>
      <w:pPr>
        <w:spacing w:before="60" w:after="100"/>
      </w:pPr>
      <w:r>
        <w:rPr>
          <w:rFonts w:ascii="Arial" w:cs="Arial" w:eastAsia="Arial" w:hAnsi="Arial"/>
          <w:color w:val="222222"/>
          <w:sz w:val="22"/>
          <w:szCs w:val="22"/>
        </w:rPr>
        <w:t xml:space="preserve">The Python pipeline (bhoomi_pipeline.py) processes all six downloaded module CSVs through five stages: load, clean, harmonise timelines, join into a unified monthly table, and insert to PostgreSQL.</w:t>
      </w:r>
    </w:p>
    <w:p>
      <w:pPr>
        <w:spacing w:before="0" w:after="8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7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Operations</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Load</w:t>
            </w:r>
          </w:p>
        </w:tc>
        <w:tc>
          <w:tcPr>
            <w:tcW w:type="dxa" w:w="7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Read all CSVs per module using tab/comma auto-detection; concatenate yearly files</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Clean</w:t>
            </w:r>
          </w:p>
        </w:tc>
        <w:tc>
          <w:tcPr>
            <w:tcW w:type="dxa" w:w="7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Convert empty strings and -9999 to NaN; clip physically impossible negatives; recompute AQI</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Harmonise</w:t>
            </w:r>
          </w:p>
        </w:tc>
        <w:tc>
          <w:tcPr>
            <w:tcW w:type="dxa" w:w="7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LST: weighted monthly mean using data_quality as weight. Pollution/Vegetation/Drought/Weather: simple monthly mean of 15-day windows. LULC: expand annual to 12 monthly rows per year</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Join</w:t>
            </w:r>
          </w:p>
        </w:tc>
        <w:tc>
          <w:tcPr>
            <w:tcW w:type="dxa" w:w="7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Outer join all modules on (grid_id, month_key); compute composite_risk; forward-fill then back-fill NaN within each grid_id; drop rows with more than 60% null metrics</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Insert</w:t>
            </w:r>
          </w:p>
        </w:tc>
        <w:tc>
          <w:tcPr>
            <w:tcW w:type="dxa" w:w="7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Upsert grids table; insert grid_obs_monthly in chunks of 5,000; insert lulc_snapshots; refresh grids.dominant_lulc from latest LULC year</w:t>
            </w:r>
          </w:p>
        </w:tc>
      </w:tr>
    </w:tbl>
    <w:p>
      <w:pPr>
        <w:spacing w:before="0" w:after="80"/>
      </w:pPr>
      <w:r>
        <w:rPr>
          <w:sz w:val="22"/>
          <w:szCs w:val="22"/>
        </w:rPr>
        <w:t xml:space="preserve"/>
      </w:r>
    </w:p>
    <w:p>
      <w:pPr>
        <w:pStyle w:val="Heading2"/>
        <w:spacing w:before="280" w:after="80"/>
      </w:pPr>
      <w:r>
        <w:rPr>
          <w:rFonts w:ascii="Arial" w:cs="Arial" w:eastAsia="Arial" w:hAnsi="Arial"/>
          <w:b/>
          <w:bCs/>
          <w:color w:val="2E75B6"/>
          <w:sz w:val="26"/>
          <w:szCs w:val="26"/>
        </w:rPr>
        <w:t xml:space="preserve">4.2 Composite Risk Formula</w:t>
      </w:r>
    </w:p>
    <w:p>
      <w:pPr>
        <w:spacing w:before="60" w:after="100"/>
      </w:pPr>
      <w:r>
        <w:rPr>
          <w:rFonts w:ascii="Arial" w:cs="Arial" w:eastAsia="Arial" w:hAnsi="Arial"/>
          <w:color w:val="222222"/>
          <w:sz w:val="22"/>
          <w:szCs w:val="22"/>
        </w:rPr>
        <w:t xml:space="preserve">The composite_risk column is computed at pipeline time and stored pre-aggregated. It combines four environmental stressors:</w:t>
      </w:r>
    </w:p>
    <w:p>
      <w:pPr>
        <w:spacing w:before="0" w:after="80"/>
      </w:pPr>
      <w:r>
        <w:rPr>
          <w:sz w:val="22"/>
          <w:szCs w:val="22"/>
        </w:rPr>
        <w:t xml:space="preserve"/>
      </w:r>
    </w:p>
    <w:p>
      <w:pPr>
        <w:spacing w:before="120" w:after="120"/>
        <w:jc w:val="center"/>
      </w:pPr>
      <w:r>
        <w:rPr>
          <w:rFonts w:ascii="Courier New" w:cs="Courier New" w:eastAsia="Courier New" w:hAnsi="Courier New"/>
          <w:b/>
          <w:bCs/>
          <w:color w:val="2E75B6"/>
          <w:sz w:val="22"/>
          <w:szCs w:val="22"/>
        </w:rPr>
        <w:t xml:space="preserve">composite_risk = 0.30 x AQI_norm + 0.25 x drought_risk + 0.25 x LST_norm + 0.20 x (1 - NDVI)</w:t>
      </w:r>
    </w:p>
    <w:p>
      <w:pPr>
        <w:spacing w:before="0" w:after="80"/>
      </w:pPr>
      <w:r>
        <w:rPr>
          <w:sz w:val="22"/>
          <w:szCs w:val="22"/>
        </w:rPr>
        <w:t xml:space="preserve"/>
      </w:r>
    </w:p>
    <w:p>
      <w:pPr>
        <w:spacing w:before="60" w:after="100"/>
      </w:pPr>
      <w:r>
        <w:rPr>
          <w:rFonts w:ascii="Arial" w:cs="Arial" w:eastAsia="Arial" w:hAnsi="Arial"/>
          <w:color w:val="222222"/>
          <w:sz w:val="22"/>
          <w:szCs w:val="22"/>
        </w:rPr>
        <w:t xml:space="preserve">Where AQI_norm = aqi_proxy / 500, LST_norm = (lst_celsius - 15) / 45. The result is clamped to 0 to 1. This column powers the composite risk map layer in the frontend without any server-side computation at query time.</w:t>
      </w:r>
    </w:p>
    <w:p>
      <w:pPr>
        <w:spacing w:before="0" w:after="80"/>
      </w:pPr>
      <w:r>
        <w:rPr>
          <w:sz w:val="22"/>
          <w:szCs w:val="22"/>
        </w:rPr>
        <w:t xml:space="preserve"/>
      </w:r>
    </w:p>
    <w:p>
      <w:pPr>
        <w:pStyle w:val="Heading2"/>
        <w:spacing w:before="280" w:after="80"/>
      </w:pPr>
      <w:r>
        <w:rPr>
          <w:rFonts w:ascii="Arial" w:cs="Arial" w:eastAsia="Arial" w:hAnsi="Arial"/>
          <w:b/>
          <w:bCs/>
          <w:color w:val="2E75B6"/>
          <w:sz w:val="26"/>
          <w:szCs w:val="26"/>
        </w:rPr>
        <w:t xml:space="preserve">4.3 Database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500"/>
        <w:gridCol w:w="38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Primary Key</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Rows (est.)</w:t>
            </w:r>
          </w:p>
        </w:tc>
        <w:tc>
          <w:tcPr>
            <w:tcW w:type="dxa" w:w="3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grids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grid_id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1,183</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Static grid metadata: centroid coordinates, row/col index, dominant LULC</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grid_obs_monthly</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(grid_id, month_key)</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~85,000</w:t>
            </w:r>
          </w:p>
        </w:tc>
        <w:tc>
          <w:tcPr>
            <w:tcW w:type="dxa" w:w="3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All environmental metrics joined, one row per grid per month</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lulc_snapshots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(grid_id, snapshot_year)</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4,732</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Annual LULC class percentages, 2021 to 2024</w:t>
            </w:r>
          </w:p>
        </w:tc>
      </w:tr>
    </w:tbl>
    <w:p>
      <w:pPr>
        <w:spacing w:before="0" w:after="80"/>
      </w:pPr>
      <w:r>
        <w:rPr>
          <w:sz w:val="22"/>
          <w:szCs w:val="22"/>
        </w:rPr>
        <w:t xml:space="preserve"/>
      </w:r>
    </w:p>
    <w:p>
      <w:pPr>
        <w:pStyle w:val="Heading2"/>
        <w:spacing w:before="280" w:after="80"/>
      </w:pPr>
      <w:r>
        <w:rPr>
          <w:rFonts w:ascii="Arial" w:cs="Arial" w:eastAsia="Arial" w:hAnsi="Arial"/>
          <w:b/>
          <w:bCs/>
          <w:color w:val="2E75B6"/>
          <w:sz w:val="26"/>
          <w:szCs w:val="26"/>
        </w:rPr>
        <w:t xml:space="preserve">4.4 Recommended Query Patterns</w:t>
      </w:r>
    </w:p>
    <w:p>
      <w:pPr>
        <w:spacing w:before="60" w:after="100"/>
      </w:pPr>
      <w:r>
        <w:rPr>
          <w:rFonts w:ascii="Arial" w:cs="Arial" w:eastAsia="Arial" w:hAnsi="Arial"/>
          <w:b/>
          <w:bCs/>
          <w:color w:val="222222"/>
          <w:sz w:val="22"/>
          <w:szCs w:val="22"/>
        </w:rPr>
        <w:t xml:space="preserve">Month slider (all grids, one month): </w:t>
      </w:r>
      <w:r>
        <w:rPr>
          <w:rFonts w:ascii="Arial" w:cs="Arial" w:eastAsia="Arial" w:hAnsi="Arial"/>
          <w:color w:val="222222"/>
          <w:sz w:val="22"/>
          <w:szCs w:val="22"/>
        </w:rPr>
        <w:t xml:space="preserve">SELECT grid_id, centroid_lat, centroid_lng, lst_celsius, aqi_proxy, composite_risk FROM grid_obs_monthly WHERE month_key = '2023-05' — returns 1,183 rows in under 20 ms with index on month_key.</w:t>
      </w:r>
    </w:p>
    <w:p>
      <w:pPr>
        <w:spacing w:before="0" w:after="80"/>
      </w:pPr>
      <w:r>
        <w:rPr>
          <w:sz w:val="22"/>
          <w:szCs w:val="22"/>
        </w:rPr>
        <w:t xml:space="preserve"/>
      </w:r>
    </w:p>
    <w:p>
      <w:pPr>
        <w:spacing w:before="60" w:after="100"/>
      </w:pPr>
      <w:r>
        <w:rPr>
          <w:rFonts w:ascii="Arial" w:cs="Arial" w:eastAsia="Arial" w:hAnsi="Arial"/>
          <w:b/>
          <w:bCs/>
          <w:color w:val="222222"/>
          <w:sz w:val="22"/>
          <w:szCs w:val="22"/>
        </w:rPr>
        <w:t xml:space="preserve">Grid time series (one grid, all months): </w:t>
      </w:r>
      <w:r>
        <w:rPr>
          <w:rFonts w:ascii="Arial" w:cs="Arial" w:eastAsia="Arial" w:hAnsi="Arial"/>
          <w:color w:val="222222"/>
          <w:sz w:val="22"/>
          <w:szCs w:val="22"/>
        </w:rPr>
        <w:t xml:space="preserve">SELECT month_key, lst_celsius, ndvi, aqi_proxy, drought_risk FROM grid_obs_monthly WHERE grid_id = 'GJ_AHM_R015_C018' ORDER BY month_key — powers the click-to-chart feature on the frontend.</w:t>
      </w:r>
    </w:p>
    <w:p>
      <w:pPr>
        <w:spacing w:before="0" w:after="80"/>
      </w:pPr>
      <w:r>
        <w:rPr>
          <w:sz w:val="22"/>
          <w:szCs w:val="22"/>
        </w:rPr>
        <w:t xml:space="preserve"/>
      </w:r>
    </w:p>
    <w:p>
      <w:pPr>
        <w:spacing w:before="60" w:after="100"/>
      </w:pPr>
      <w:r>
        <w:rPr>
          <w:rFonts w:ascii="Arial" w:cs="Arial" w:eastAsia="Arial" w:hAnsi="Arial"/>
          <w:b/>
          <w:bCs/>
          <w:color w:val="222222"/>
          <w:sz w:val="22"/>
          <w:szCs w:val="22"/>
        </w:rPr>
        <w:t xml:space="preserve">Hotspot detection: </w:t>
      </w:r>
      <w:r>
        <w:rPr>
          <w:rFonts w:ascii="Arial" w:cs="Arial" w:eastAsia="Arial" w:hAnsi="Arial"/>
          <w:color w:val="222222"/>
          <w:sz w:val="22"/>
          <w:szCs w:val="22"/>
        </w:rPr>
        <w:t xml:space="preserve">SELECT grid_id, AVG(composite_risk) as avg_risk FROM grid_obs_monthly WHERE month_key BETWEEN '2023-04' AND '2023-06' GROUP BY grid_id ORDER BY avg_risk DESC LIMIT 20 — identifies the highest-risk grids in the pre-monsoon season.</w:t>
      </w:r>
    </w:p>
    <w:p>
      <w:r>
        <w:br w:type="page"/>
      </w:r>
    </w:p>
    <w:p>
      <w:pPr>
        <w:pStyle w:val="Heading1"/>
        <w:pBdr>
          <w:bottom w:val="single" w:color="2E75B6" w:sz="6" w:space="4"/>
        </w:pBdr>
        <w:spacing w:before="360" w:after="120"/>
      </w:pPr>
      <w:r>
        <w:rPr>
          <w:rFonts w:ascii="Arial" w:cs="Arial" w:eastAsia="Arial" w:hAnsi="Arial"/>
          <w:b/>
          <w:bCs/>
          <w:color w:val="1F4E79"/>
          <w:sz w:val="32"/>
          <w:szCs w:val="32"/>
        </w:rPr>
        <w:t xml:space="preserve">5. Expected Value Ranges and Validation</w:t>
      </w:r>
    </w:p>
    <w:p>
      <w:pPr>
        <w:spacing w:before="60" w:after="100"/>
      </w:pPr>
      <w:r>
        <w:rPr>
          <w:rFonts w:ascii="Arial" w:cs="Arial" w:eastAsia="Arial" w:hAnsi="Arial"/>
          <w:color w:val="222222"/>
          <w:sz w:val="22"/>
          <w:szCs w:val="22"/>
        </w:rPr>
        <w:t xml:space="preserve">The following table provides expected ranges for each metric for the Ahmedabad region across seasons. Values outside these ranges should be investigated as potential data quality issues.</w:t>
      </w:r>
    </w:p>
    <w:p>
      <w:pPr>
        <w:spacing w:before="0" w:after="8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900"/>
        <w:gridCol w:w="1900"/>
        <w:gridCol w:w="16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Winter (Jan–Feb)</w:t>
            </w:r>
          </w:p>
        </w:tc>
        <w:tc>
          <w:tcPr>
            <w:tcW w:type="dxa" w:w="1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Summer (Apr–Jun)</w:t>
            </w:r>
          </w:p>
        </w:tc>
        <w:tc>
          <w:tcPr>
            <w:tcW w:type="dxa" w:w="1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Monsoon (Jul–Sep)</w:t>
            </w:r>
          </w:p>
        </w:tc>
        <w:tc>
          <w:tcPr>
            <w:tcW w:type="dxa" w:w="16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Post-monsoon (Oct–Dec)</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lst_celsius</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18–30°C</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38–52°C</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28–38°C</w:t>
            </w:r>
          </w:p>
        </w:tc>
        <w:tc>
          <w:tcPr>
            <w:tcW w:type="dxa" w:w="1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25–38°C</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ndvi</w:t>
            </w:r>
          </w:p>
        </w:tc>
        <w:tc>
          <w:tcPr>
            <w:tcW w:type="dxa" w:w="1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0.15–0.45</w:t>
            </w:r>
          </w:p>
        </w:tc>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0.10–0.30</w:t>
            </w:r>
          </w:p>
        </w:tc>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0.40–0.75</w:t>
            </w:r>
          </w:p>
        </w:tc>
        <w:tc>
          <w:tcPr>
            <w:tcW w:type="dxa" w:w="16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0.30–0.55</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vhi</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0.55–0.85</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0.20–0.50</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0.60–0.90</w:t>
            </w:r>
          </w:p>
        </w:tc>
        <w:tc>
          <w:tcPr>
            <w:tcW w:type="dxa" w:w="1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0.50–0.80</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no2_ugm3 (column)</w:t>
            </w:r>
          </w:p>
        </w:tc>
        <w:tc>
          <w:tcPr>
            <w:tcW w:type="dxa" w:w="1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150–300 µg/m²</w:t>
            </w:r>
          </w:p>
        </w:tc>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80–180 µg/m²</w:t>
            </w:r>
          </w:p>
        </w:tc>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50–100 µg/m²</w:t>
            </w:r>
          </w:p>
        </w:tc>
        <w:tc>
          <w:tcPr>
            <w:tcW w:type="dxa" w:w="16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100–200 µg/m²</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soil_moisture</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0.20–0.30 m³/m³</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0.08–0.18 m³/m³</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0.28–0.42 m³/m³</w:t>
            </w:r>
          </w:p>
        </w:tc>
        <w:tc>
          <w:tcPr>
            <w:tcW w:type="dxa" w:w="1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0.18–0.30 m³/m³</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rainfall_mm (15d)</w:t>
            </w:r>
          </w:p>
        </w:tc>
        <w:tc>
          <w:tcPr>
            <w:tcW w:type="dxa" w:w="1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0–10 mm</w:t>
            </w:r>
          </w:p>
        </w:tc>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0–30 mm</w:t>
            </w:r>
          </w:p>
        </w:tc>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50–300 mm</w:t>
            </w:r>
          </w:p>
        </w:tc>
        <w:tc>
          <w:tcPr>
            <w:tcW w:type="dxa" w:w="16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0–30 mm</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spi_30d</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-0.5 to 0.5</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-1.5 to 0.0</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+0.5 to +2.5</w:t>
            </w:r>
          </w:p>
        </w:tc>
        <w:tc>
          <w:tcPr>
            <w:tcW w:type="dxa" w:w="1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-0.5 to +0.5</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wind_speed_ms</w:t>
            </w:r>
          </w:p>
        </w:tc>
        <w:tc>
          <w:tcPr>
            <w:tcW w:type="dxa" w:w="1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1.5–3.0 m/s</w:t>
            </w:r>
          </w:p>
        </w:tc>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2.0–5.0 m/s</w:t>
            </w:r>
          </w:p>
        </w:tc>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5.0–8.0 m/s (SW monsoon)</w:t>
            </w:r>
          </w:p>
        </w:tc>
        <w:tc>
          <w:tcPr>
            <w:tcW w:type="dxa" w:w="16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1.5–3.5 m/s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wind_dir_deg</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30–80° (NE)</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Variable</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210–240° (SW)</w:t>
            </w:r>
          </w:p>
        </w:tc>
        <w:tc>
          <w:tcPr>
            <w:tcW w:type="dxa" w:w="1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Variable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temp_celsius (2m air)</w:t>
            </w:r>
          </w:p>
        </w:tc>
        <w:tc>
          <w:tcPr>
            <w:tcW w:type="dxa" w:w="1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15–22°C</w:t>
            </w:r>
          </w:p>
        </w:tc>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32–40°C</w:t>
            </w:r>
          </w:p>
        </w:tc>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27–33°C</w:t>
            </w:r>
          </w:p>
        </w:tc>
        <w:tc>
          <w:tcPr>
            <w:tcW w:type="dxa" w:w="16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22–32°C</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water_presence</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0.00–0.05</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0.00–0.03</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0.05–0.35 (river grids)</w:t>
            </w:r>
          </w:p>
        </w:tc>
        <w:tc>
          <w:tcPr>
            <w:tcW w:type="dxa" w:w="1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0.00–0.10</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drought_risk</w:t>
            </w:r>
          </w:p>
        </w:tc>
        <w:tc>
          <w:tcPr>
            <w:tcW w:type="dxa" w:w="1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0.10–0.30</w:t>
            </w:r>
          </w:p>
        </w:tc>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0.40–0.75</w:t>
            </w:r>
          </w:p>
        </w:tc>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0.05–0.20</w:t>
            </w:r>
          </w:p>
        </w:tc>
        <w:tc>
          <w:tcPr>
            <w:tcW w:type="dxa" w:w="16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0.15–0.35</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composite_risk</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0.20–0.45</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0.50–0.80</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0.15–0.40</w:t>
            </w:r>
          </w:p>
        </w:tc>
        <w:tc>
          <w:tcPr>
            <w:tcW w:type="dxa" w:w="1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0.25–0.55</w:t>
            </w:r>
          </w:p>
        </w:tc>
      </w:tr>
    </w:tbl>
    <w:p>
      <w:pPr>
        <w:spacing w:before="0" w:after="80"/>
      </w:pPr>
      <w:r>
        <w:rPr>
          <w:sz w:val="22"/>
          <w:szCs w:val="22"/>
        </w:rPr>
        <w:t xml:space="preserve"/>
      </w:r>
    </w:p>
    <w:p>
      <w:pPr>
        <w:pStyle w:val="Heading2"/>
        <w:spacing w:before="280" w:after="80"/>
      </w:pPr>
      <w:r>
        <w:rPr>
          <w:rFonts w:ascii="Arial" w:cs="Arial" w:eastAsia="Arial" w:hAnsi="Arial"/>
          <w:b/>
          <w:bCs/>
          <w:color w:val="2E75B6"/>
          <w:sz w:val="26"/>
          <w:szCs w:val="26"/>
        </w:rPr>
        <w:t xml:space="preserve">5.1 Ahmedabad-Specific Spatial Patterns</w:t>
      </w:r>
    </w:p>
    <w:p>
      <w:pPr>
        <w:pStyle w:val="ListParagraph"/>
        <w:numPr>
          <w:ilvl w:val="0"/>
          <w:numId w:val="2"/>
        </w:numPr>
        <w:spacing w:before="40" w:after="40"/>
      </w:pPr>
      <w:r>
        <w:rPr>
          <w:rFonts w:ascii="Arial" w:cs="Arial" w:eastAsia="Arial" w:hAnsi="Arial"/>
          <w:color w:val="222222"/>
          <w:sz w:val="22"/>
          <w:szCs w:val="22"/>
        </w:rPr>
        <w:t xml:space="preserve">Urban core grids (central Ahmedabad): built_pct greater than 60%, consistently elevated LST relative to surrounding grids, lower NDVI, higher AQI proxy.</w:t>
      </w:r>
    </w:p>
    <w:p>
      <w:pPr>
        <w:pStyle w:val="ListParagraph"/>
        <w:numPr>
          <w:ilvl w:val="0"/>
          <w:numId w:val="2"/>
        </w:numPr>
        <w:spacing w:before="40" w:after="40"/>
      </w:pPr>
      <w:r>
        <w:rPr>
          <w:rFonts w:ascii="Arial" w:cs="Arial" w:eastAsia="Arial" w:hAnsi="Arial"/>
          <w:color w:val="222222"/>
          <w:sz w:val="22"/>
          <w:szCs w:val="22"/>
        </w:rPr>
        <w:t xml:space="preserve">Sabarmati River corridor grids: elevated water_occurrence_pct (20 to 80%), seasonal water_presence spikes in monsoon, lower drought_risk relative to inland grids.</w:t>
      </w:r>
    </w:p>
    <w:p>
      <w:pPr>
        <w:pStyle w:val="ListParagraph"/>
        <w:numPr>
          <w:ilvl w:val="0"/>
          <w:numId w:val="2"/>
        </w:numPr>
        <w:spacing w:before="40" w:after="40"/>
      </w:pPr>
      <w:r>
        <w:rPr>
          <w:rFonts w:ascii="Arial" w:cs="Arial" w:eastAsia="Arial" w:hAnsi="Arial"/>
          <w:color w:val="222222"/>
          <w:sz w:val="22"/>
          <w:szCs w:val="22"/>
        </w:rPr>
        <w:t xml:space="preserve">Agricultural peripheral grids (north and south): crops_pct greater than 70%, strong seasonal NDVI cycle (peak August to September, low April to May), lower built_pct and composite_risk.</w:t>
      </w:r>
    </w:p>
    <w:p>
      <w:pPr>
        <w:pStyle w:val="ListParagraph"/>
        <w:numPr>
          <w:ilvl w:val="0"/>
          <w:numId w:val="2"/>
        </w:numPr>
        <w:spacing w:before="40" w:after="40"/>
      </w:pPr>
      <w:r>
        <w:rPr>
          <w:rFonts w:ascii="Arial" w:cs="Arial" w:eastAsia="Arial" w:hAnsi="Arial"/>
          <w:color w:val="222222"/>
          <w:sz w:val="22"/>
          <w:szCs w:val="22"/>
        </w:rPr>
        <w:t xml:space="preserve">Industrial zone grids (Vatwa, Naroda areas): elevated NO2 and SO2 relative to neighbouring residential grids, higher AQI proxy.</w:t>
      </w:r>
    </w:p>
    <w:p>
      <w:pPr>
        <w:spacing w:before="0" w:after="80"/>
      </w:pPr>
      <w:r>
        <w:rPr>
          <w:sz w:val="22"/>
          <w:szCs w:val="22"/>
        </w:rPr>
        <w:t xml:space="preserve"/>
      </w:r>
    </w:p>
    <w:p>
      <w:pPr>
        <w:pStyle w:val="Heading2"/>
        <w:spacing w:before="280" w:after="80"/>
      </w:pPr>
      <w:r>
        <w:rPr>
          <w:rFonts w:ascii="Arial" w:cs="Arial" w:eastAsia="Arial" w:hAnsi="Arial"/>
          <w:b/>
          <w:bCs/>
          <w:color w:val="2E75B6"/>
          <w:sz w:val="26"/>
          <w:szCs w:val="26"/>
        </w:rPr>
        <w:t xml:space="preserve">5.2 Common Data Quality Flags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Meaning</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Recommended Action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lst_celsius is null, data_quality = 0</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Fully cloudy day — no valid MODIS pixels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Forward-fill from nearest clear-sky observation</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water_presence = -9999</w:t>
            </w:r>
          </w:p>
        </w:tc>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No cloud-free S2 in 30-day search window</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Replace with NaN; ffill within grid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so2_ugm3 &lt; 0</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S5P retrieval noise below detection threshold</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Clip to 0 before use</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aqi_proxy = 500 (from raw GEE)</w:t>
            </w:r>
          </w:p>
        </w:tc>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AQI saturation due to unit mismatch — do not use</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Use pipeline-recomputed AQI column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SMAP null in 2024–2025</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Wrong collection version (005 instead of 006)</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Re-extract using SPL3SMP_E/006</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All LULC fields = 0</w:t>
            </w:r>
          </w:p>
        </w:tc>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Grid falls outside tile coverage</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Check tile mosaic — rerun extraction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wind values identical across many grids</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ERA5 9 km resolution coarser than 3 km grid</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Normal behaviour — not an error</w:t>
            </w:r>
          </w:p>
        </w:tc>
      </w:tr>
    </w:tbl>
    <w:sectPr>
      <w:footerReference w:type="default" r:id="rId6"/>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BHOOMI GEE Technical Reference  |  Ahmedabad Environmental Intelligence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80" w:after="8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6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2026-03-22T01:55:11.433Z</dcterms:created>
  <dcterms:modified xsi:type="dcterms:W3CDTF">2026-03-22T01:55:11.433Z</dcterms:modified>
</cp:coreProperties>
</file>

<file path=docProps/custom.xml><?xml version="1.0" encoding="utf-8"?>
<Properties xmlns="http://schemas.openxmlformats.org/officeDocument/2006/custom-properties" xmlns:vt="http://schemas.openxmlformats.org/officeDocument/2006/docPropsVTypes"/>
</file>