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Graphs</w:t>
      </w:r>
    </w:p>
    <w:p>
      <w:r>
        <w:t>Author: Pardis Sadatian</w:t>
      </w:r>
    </w:p>
    <w:p>
      <w:r>
        <w:t>Date: March 2026</w:t>
      </w:r>
    </w:p>
    <w:p>
      <w:pPr>
        <w:pStyle w:val="Heading1"/>
      </w:pPr>
      <w:r>
        <w:t>Graphs</w:t>
      </w:r>
    </w:p>
    <w:p>
      <w:pPr>
        <w:pStyle w:val="Heading2"/>
      </w:pPr>
      <w:r>
        <w:t>Graph_1 – Tanimoto Graph and Dense Subgraph Extraction</w:t>
      </w:r>
    </w:p>
    <w:p>
      <w:r>
        <w:t>To enable graph-based machine learning within the proposed framework, the first step is to transform the raw dataset into structured feature representations. Each entity (e.g., compounds, samples, or observations) is represented by a feature vector x_i, which may correspond to binary fingerprints or descriptive feature embeddings capturing the key properties of the entity. These entities are then represented as nodes in a graph G = (V,E), where V denotes the set of nodes and E represents the set of edges.</w:t>
      </w:r>
    </w:p>
    <w:p>
      <w:r>
        <w:t>A similarity measure is computed between pairs of nodes to quantify their structural or functional relationship. For example, when binary fingerprints are used, the similarity between nodes i and j can be computed using the Tanimoto coefficient:</w:t>
      </w:r>
    </w:p>
    <w:p>
      <w:r>
        <w:t>T(i,j) = |x_i ∩ x_j| / |x_i ∪ x_j|</w:t>
      </w:r>
    </w:p>
    <w:p>
      <w:r>
        <w:t>Based on the similarity scores, edges are created between nodes whose similarity exceeds a predefined threshold τ:</w:t>
      </w:r>
    </w:p>
    <w:p>
      <w:r>
        <w:t>(i,j) ∈ E  if  T(i,j) ≥ τ</w:t>
      </w:r>
    </w:p>
    <w:p>
      <w:r>
        <w:t>This process produces a thresholded similarity graph that preserves meaningful relationships while filtering weak or noisy connections.</w:t>
      </w:r>
    </w:p>
    <w:p>
      <w:r>
        <w:t>The resulting graph representation reveals the intrinsic relational structure of the dataset, often forming clusters or densely connected regions that correspond to groups of highly related entities. These dense regions can be identified using graph mining techniques such as densest-subgraph discovery, k-core decomposition, or quasi-clique detection.</w:t>
      </w:r>
    </w:p>
    <w:p>
      <w:r>
        <w:t>density(S) = |E(S)| / |S|</w:t>
      </w:r>
    </w:p>
    <w:p>
      <w:pPr>
        <w:pStyle w:val="Heading3"/>
      </w:pPr>
      <w:r>
        <w:t>a – Data to Binary Fingerprints</w:t>
      </w:r>
    </w:p>
    <w:p>
      <w:r>
        <w:t>Consider five compounds denoted by A–E, each represented using an 8-bit binary fingerprint.</w:t>
      </w:r>
    </w:p>
    <w:p>
      <w:r>
        <w:t>A = {1,2,4,7}</w:t>
      </w:r>
    </w:p>
    <w:p>
      <w:r>
        <w:t>B = {1,2,4,5,7}</w:t>
      </w:r>
    </w:p>
    <w:p>
      <w:r>
        <w:t>C = {1,2,4,7,8}</w:t>
      </w:r>
    </w:p>
    <w:p>
      <w:r>
        <w:t>D = {1,5,7}</w:t>
      </w:r>
    </w:p>
    <w:p>
      <w:r>
        <w:t>E = {3,6,8}</w:t>
      </w:r>
    </w:p>
    <w:p>
      <w:pPr>
        <w:pStyle w:val="Heading3"/>
      </w:pPr>
      <w:r>
        <w:t>Tanimoto Similarity Computation</w:t>
      </w:r>
    </w:p>
    <w:p>
      <w:r>
        <w:t>T(i,j) = |i ∩ j| / |i ∪ j|</w:t>
      </w:r>
    </w:p>
    <w:p>
      <w:r>
        <w:t>T(A,B) = 4/5 = 0.80</w:t>
      </w:r>
    </w:p>
    <w:p>
      <w:r>
        <w:t>T(A,C) = 4/5 = 0.80</w:t>
      </w:r>
    </w:p>
    <w:p>
      <w:r>
        <w:t>T(B,C) = 4/6 ≈ 0.6667</w:t>
      </w:r>
    </w:p>
    <w:p>
      <w:r>
        <w:t>T(A,D) = 2/5 = 0.40</w:t>
      </w:r>
    </w:p>
    <w:p>
      <w:r>
        <w:t>T(B,D) = 3/5 = 0.60</w:t>
      </w:r>
    </w:p>
    <w:p>
      <w:r>
        <w:t>T(C,D) = 2/6 ≈ 0.3333</w:t>
      </w:r>
    </w:p>
    <w:p>
      <w:r>
        <w:t>T(C,E) = 1/7 ≈ 0.1429</w:t>
      </w:r>
    </w:p>
    <w:p>
      <w:pPr>
        <w:pStyle w:val="Heading3"/>
      </w:pPr>
      <w:r>
        <w:t>Constructing the Thresholded Similarity Graph</w:t>
      </w:r>
    </w:p>
    <w:p>
      <w:r>
        <w:t>τ = 0.65</w:t>
      </w:r>
    </w:p>
    <w:p>
      <w:r>
        <w:t>Edges retained:</w:t>
      </w:r>
    </w:p>
    <w:p>
      <w:r>
        <w:t>A-B (0.80)</w:t>
      </w:r>
    </w:p>
    <w:p>
      <w:r>
        <w:t>A-C (0.80)</w:t>
      </w:r>
    </w:p>
    <w:p>
      <w:r>
        <w:t>B-C (0.6667)</w:t>
      </w:r>
    </w:p>
    <w:p>
      <w:pPr>
        <w:pStyle w:val="Heading3"/>
      </w:pPr>
      <w:r>
        <w:t>Densest Subgraph</w:t>
      </w:r>
    </w:p>
    <w:p>
      <w:r>
        <w:t>density(S) = |E(S)| / |S|</w:t>
      </w:r>
    </w:p>
    <w:p>
      <w:r>
        <w:t>S = {A,B,C} → density = 3/3 = 1.0</w:t>
      </w:r>
    </w:p>
    <w:p>
      <w:r>
        <w:t>S = {A,B} → density = 1/2 = 0.5</w:t>
      </w:r>
    </w:p>
    <w:p>
      <w:r>
        <w:t>S = {A,C} → density = 0.5</w:t>
      </w:r>
    </w:p>
    <w:p>
      <w:pPr>
        <w:pStyle w:val="Heading3"/>
      </w:pPr>
      <w:r>
        <w:t>k-Core</w:t>
      </w:r>
    </w:p>
    <w:p>
      <w:r>
        <w:t>deg(A)=2, deg(B)=2, deg(C)=2</w:t>
      </w:r>
    </w:p>
    <w:p>
      <w:r>
        <w:t>The graph contains a 2-core consisting of {A,B,C}.</w:t>
      </w:r>
    </w:p>
    <w:p>
      <w:pPr>
        <w:pStyle w:val="Heading3"/>
      </w:pPr>
      <w:r>
        <w:t>Quasi-Clique</w:t>
      </w:r>
    </w:p>
    <w:p>
      <w:r>
        <w:t>γ = 0.8</w:t>
      </w:r>
    </w:p>
    <w:p>
      <w:r>
        <w:t>γ(|S|-1) = 0.8 × 2 = 1.6</w:t>
      </w:r>
    </w:p>
    <w:p>
      <w:r>
        <w:t>{A,B,C} forms a 0.8–quasi-clique.</w:t>
      </w:r>
    </w:p>
    <w:p>
      <w:pPr>
        <w:pStyle w:val="Heading2"/>
      </w:pPr>
      <w:r>
        <w:t>Graph_2 – Predictive-Agreement Graph (PAG)</w:t>
      </w:r>
    </w:p>
    <w:p>
      <w:r>
        <w:t>In addition to structural similarity, a second graph captures functional similarity based on predictive behavior. A predictive model produces an output vector p_i ∈ [0,1]^K for each sample.</w:t>
      </w:r>
    </w:p>
    <w:p>
      <w:r>
        <w:t>Agreement weight:</w:t>
      </w:r>
    </w:p>
    <w:p>
      <w:r>
        <w:t>w_ij = 1 − ||p_i − p_j||_1 / K</w:t>
      </w:r>
    </w:p>
    <w:p>
      <w:r>
        <w:t>(i,j) ∈ E if w_ij ≥ τ</w:t>
      </w:r>
    </w:p>
    <w:p>
      <w:pPr>
        <w:pStyle w:val="Heading3"/>
      </w:pPr>
      <w:r>
        <w:t>a – Data to Predictive Representations</w:t>
      </w:r>
    </w:p>
    <w:p>
      <w:r>
        <w:t>p_A = [0.90, 0.10, 0.80]</w:t>
      </w:r>
    </w:p>
    <w:p>
      <w:r>
        <w:t>p_B = [0.88, 0.12, 0.77]</w:t>
      </w:r>
    </w:p>
    <w:p>
      <w:r>
        <w:t>p_C = [0.85, 0.15, 0.75]</w:t>
      </w:r>
    </w:p>
    <w:p>
      <w:r>
        <w:t>p_D = [0.20, 0.80, 0.10]</w:t>
      </w:r>
    </w:p>
    <w:p>
      <w:r>
        <w:t>p_E = [0.25, 0.75, 0.15]</w:t>
      </w:r>
    </w:p>
    <w:p>
      <w:pPr>
        <w:pStyle w:val="Heading3"/>
      </w:pPr>
      <w:r>
        <w:t>Predictive Agreement Computation</w:t>
      </w:r>
    </w:p>
    <w:p>
      <w:r>
        <w:t>||p_A − p_B||_1 = 0.07 → w_AB ≈ 0.9767</w:t>
      </w:r>
    </w:p>
    <w:p>
      <w:r>
        <w:t>||p_A − p_C||_1 = 0.15 → w_AC = 0.95</w:t>
      </w:r>
    </w:p>
    <w:p>
      <w:r>
        <w:t>||p_B − p_C||_1 = 0.08 → w_BC ≈ 0.9733</w:t>
      </w:r>
    </w:p>
    <w:p>
      <w:r>
        <w:t>||p_A − p_D||_1 = 2.10 → w_AD = 0.30</w:t>
      </w:r>
    </w:p>
    <w:p>
      <w:r>
        <w:t>||p_D − p_E||_1 = 0.15 → w_DE = 0.95</w:t>
      </w:r>
    </w:p>
    <w:p>
      <w:pPr>
        <w:pStyle w:val="Heading3"/>
      </w:pPr>
      <w:r>
        <w:t>Constructing the Predictive Agreement Graph</w:t>
      </w:r>
    </w:p>
    <w:p>
      <w:r>
        <w:t>τ = 0.95</w:t>
      </w:r>
    </w:p>
    <w:p>
      <w:r>
        <w:t>Edges retained:</w:t>
      </w:r>
    </w:p>
    <w:p>
      <w:r>
        <w:t>A-B (0.9767)</w:t>
      </w:r>
    </w:p>
    <w:p>
      <w:r>
        <w:t>A-C (0.95)</w:t>
      </w:r>
    </w:p>
    <w:p>
      <w:r>
        <w:t>B-C (0.9733)</w:t>
      </w:r>
    </w:p>
    <w:p>
      <w:r>
        <w:t>D-E (0.95)</w:t>
      </w:r>
    </w:p>
    <w:p>
      <w:pPr>
        <w:pStyle w:val="Heading3"/>
      </w:pPr>
      <w:r>
        <w:t>Densest Subgraph</w:t>
      </w:r>
    </w:p>
    <w:p>
      <w:r>
        <w:t>S = {A,B,C} → density = 3/3 = 1.0</w:t>
      </w:r>
    </w:p>
    <w:p>
      <w:pPr>
        <w:pStyle w:val="Heading3"/>
      </w:pPr>
      <w:r>
        <w:t>k-Core</w:t>
      </w:r>
    </w:p>
    <w:p>
      <w:r>
        <w:t>deg(A)=2, deg(B)=2, deg(C)=2 → 2-core</w:t>
      </w:r>
    </w:p>
    <w:p>
      <w:pPr>
        <w:pStyle w:val="Heading3"/>
      </w:pPr>
      <w:r>
        <w:t>Quasi-Clique</w:t>
      </w:r>
    </w:p>
    <w:p>
      <w:r>
        <w:t>γ = 0.8 → {A,B,C} forms a quasi-clique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