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POWER BI INTERNSHIP PROJECT</w:t>
      </w:r>
    </w:p>
    <w:p>
      <w:pPr>
        <w:pStyle w:val="Title"/>
        <w:jc w:val="center"/>
      </w:pPr>
      <w:r>
        <w:t>Task 6 — Top 10 Tweets by Engagement</w:t>
      </w:r>
    </w:p>
    <w:p>
      <w:pPr>
        <w:jc w:val="center"/>
      </w:pPr>
      <w:r>
        <w:rPr>
          <w:i/>
          <w:sz w:val="20"/>
        </w:rPr>
        <w:t>Professional Project Documentation | Social Media Engagement Analysis</w:t>
      </w:r>
    </w:p>
    <w:p>
      <w:pPr>
        <w:pStyle w:val="Heading1"/>
      </w:pPr>
      <w:r>
        <w:t>1. Task Overview</w:t>
      </w:r>
    </w:p>
    <w:p>
      <w:r>
        <w:t>Task 6 identifies the ten highest-engagement weekday tweets using Total Engagements calculated from Likes, Retweets, and Replies. The dashboard combines ranking, engagement efficiency, interaction composition, and classification-based analysis to explain the performance of the strongest tweets.</w:t>
      </w:r>
    </w:p>
    <w:p>
      <w:pPr>
        <w:pStyle w:val="Heading1"/>
      </w:pPr>
      <w:r>
        <w:t>2. Business Objective</w:t>
      </w:r>
    </w:p>
    <w:p>
      <w:r>
        <w:t>The objective is to identify which weekday tweets generated the greatest audience interaction and understand the interaction pattern driving that performance. This distinguishes highly shareable, popularity-led, conversation-led, and high-volume but low-efficiency content.</w:t>
      </w:r>
    </w:p>
    <w:p>
      <w:pPr>
        <w:pStyle w:val="Heading1"/>
      </w:pPr>
      <w:r>
        <w:t>3. Dataset &amp; Power BI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Component</w:t>
            </w:r>
          </w:p>
        </w:tc>
        <w:tc>
          <w:tcPr>
            <w:tcW w:type="dxa" w:w="5040"/>
            <w:vAlign w:val="center"/>
            <w:shd w:fill="D9EAF7"/>
          </w:tcPr>
          <w:p>
            <w:r/>
            <w:r>
              <w:rPr>
                <w:rFonts w:ascii="Aptos" w:hAnsi="Aptos"/>
                <w:b/>
                <w:sz w:val="19"/>
              </w:rPr>
              <w:t>Implementation</w:t>
            </w:r>
          </w:p>
        </w:tc>
      </w:tr>
      <w:tr>
        <w:tc>
          <w:tcPr>
            <w:tcW w:type="dxa" w:w="5040"/>
            <w:vAlign w:val="center"/>
          </w:tcPr>
          <w:p>
            <w:r/>
            <w:r>
              <w:rPr>
                <w:rFonts w:ascii="Aptos" w:hAnsi="Aptos"/>
                <w:b/>
                <w:sz w:val="19"/>
              </w:rPr>
              <w:t>Main data table</w:t>
            </w:r>
          </w:p>
        </w:tc>
        <w:tc>
          <w:tcPr>
            <w:tcW w:type="dxa" w:w="5040"/>
            <w:vAlign w:val="center"/>
          </w:tcPr>
          <w:p>
            <w:r/>
            <w:r>
              <w:rPr>
                <w:rFonts w:ascii="Aptos" w:hAnsi="Aptos"/>
                <w:b w:val="0"/>
                <w:sz w:val="19"/>
              </w:rPr>
              <w:t>SocialMedia (1)</w:t>
            </w:r>
          </w:p>
        </w:tc>
      </w:tr>
      <w:tr>
        <w:tc>
          <w:tcPr>
            <w:tcW w:type="dxa" w:w="5040"/>
            <w:vAlign w:val="center"/>
          </w:tcPr>
          <w:p>
            <w:r/>
            <w:r>
              <w:rPr>
                <w:rFonts w:ascii="Aptos" w:hAnsi="Aptos"/>
                <w:b/>
                <w:sz w:val="19"/>
              </w:rPr>
              <w:t>Primary date field</w:t>
            </w:r>
          </w:p>
        </w:tc>
        <w:tc>
          <w:tcPr>
            <w:tcW w:type="dxa" w:w="5040"/>
            <w:vAlign w:val="center"/>
          </w:tcPr>
          <w:p>
            <w:r/>
            <w:r>
              <w:rPr>
                <w:rFonts w:ascii="Aptos" w:hAnsi="Aptos"/>
                <w:b w:val="0"/>
                <w:sz w:val="19"/>
              </w:rPr>
              <w:t>Date</w:t>
            </w:r>
          </w:p>
        </w:tc>
      </w:tr>
      <w:tr>
        <w:tc>
          <w:tcPr>
            <w:tcW w:type="dxa" w:w="5040"/>
            <w:vAlign w:val="center"/>
          </w:tcPr>
          <w:p>
            <w:r/>
            <w:r>
              <w:rPr>
                <w:rFonts w:ascii="Aptos" w:hAnsi="Aptos"/>
                <w:b/>
                <w:sz w:val="19"/>
              </w:rPr>
              <w:t>Tweet field</w:t>
            </w:r>
          </w:p>
        </w:tc>
        <w:tc>
          <w:tcPr>
            <w:tcW w:type="dxa" w:w="5040"/>
            <w:vAlign w:val="center"/>
          </w:tcPr>
          <w:p>
            <w:r/>
            <w:r>
              <w:rPr>
                <w:rFonts w:ascii="Aptos" w:hAnsi="Aptos"/>
                <w:b w:val="0"/>
                <w:sz w:val="19"/>
              </w:rPr>
              <w:t>Tweet</w:t>
            </w:r>
          </w:p>
        </w:tc>
      </w:tr>
      <w:tr>
        <w:tc>
          <w:tcPr>
            <w:tcW w:type="dxa" w:w="5040"/>
            <w:vAlign w:val="center"/>
          </w:tcPr>
          <w:p>
            <w:r/>
            <w:r>
              <w:rPr>
                <w:rFonts w:ascii="Aptos" w:hAnsi="Aptos"/>
                <w:b/>
                <w:sz w:val="19"/>
              </w:rPr>
              <w:t>Engagement fields</w:t>
            </w:r>
          </w:p>
        </w:tc>
        <w:tc>
          <w:tcPr>
            <w:tcW w:type="dxa" w:w="5040"/>
            <w:vAlign w:val="center"/>
          </w:tcPr>
          <w:p>
            <w:r/>
            <w:r>
              <w:rPr>
                <w:rFonts w:ascii="Aptos" w:hAnsi="Aptos"/>
                <w:b w:val="0"/>
                <w:sz w:val="19"/>
              </w:rPr>
              <w:t>likes, retweets, replies</w:t>
            </w:r>
          </w:p>
        </w:tc>
      </w:tr>
      <w:tr>
        <w:tc>
          <w:tcPr>
            <w:tcW w:type="dxa" w:w="5040"/>
            <w:vAlign w:val="center"/>
          </w:tcPr>
          <w:p>
            <w:r/>
            <w:r>
              <w:rPr>
                <w:rFonts w:ascii="Aptos" w:hAnsi="Aptos"/>
                <w:b/>
                <w:sz w:val="19"/>
              </w:rPr>
              <w:t>Reach field</w:t>
            </w:r>
          </w:p>
        </w:tc>
        <w:tc>
          <w:tcPr>
            <w:tcW w:type="dxa" w:w="5040"/>
            <w:vAlign w:val="center"/>
          </w:tcPr>
          <w:p>
            <w:r/>
            <w:r>
              <w:rPr>
                <w:rFonts w:ascii="Aptos" w:hAnsi="Aptos"/>
                <w:b w:val="0"/>
                <w:sz w:val="19"/>
              </w:rPr>
              <w:t>impressions</w:t>
            </w:r>
          </w:p>
        </w:tc>
      </w:tr>
      <w:tr>
        <w:tc>
          <w:tcPr>
            <w:tcW w:type="dxa" w:w="5040"/>
            <w:vAlign w:val="center"/>
          </w:tcPr>
          <w:p>
            <w:r/>
            <w:r>
              <w:rPr>
                <w:rFonts w:ascii="Aptos" w:hAnsi="Aptos"/>
                <w:b/>
                <w:sz w:val="19"/>
              </w:rPr>
              <w:t>Efficiency field</w:t>
            </w:r>
          </w:p>
        </w:tc>
        <w:tc>
          <w:tcPr>
            <w:tcW w:type="dxa" w:w="5040"/>
            <w:vAlign w:val="center"/>
          </w:tcPr>
          <w:p>
            <w:r/>
            <w:r>
              <w:rPr>
                <w:rFonts w:ascii="Aptos" w:hAnsi="Aptos"/>
                <w:b w:val="0"/>
                <w:sz w:val="19"/>
              </w:rPr>
              <w:t>engagement rate</w:t>
            </w:r>
          </w:p>
        </w:tc>
      </w:tr>
      <w:tr>
        <w:tc>
          <w:tcPr>
            <w:tcW w:type="dxa" w:w="5040"/>
            <w:vAlign w:val="center"/>
          </w:tcPr>
          <w:p>
            <w:r/>
            <w:r>
              <w:rPr>
                <w:rFonts w:ascii="Aptos" w:hAnsi="Aptos"/>
                <w:b/>
                <w:sz w:val="19"/>
              </w:rPr>
              <w:t>Interaction-share fields</w:t>
            </w:r>
          </w:p>
        </w:tc>
        <w:tc>
          <w:tcPr>
            <w:tcW w:type="dxa" w:w="5040"/>
            <w:vAlign w:val="center"/>
          </w:tcPr>
          <w:p>
            <w:r/>
            <w:r>
              <w:rPr>
                <w:rFonts w:ascii="Aptos" w:hAnsi="Aptos"/>
                <w:b w:val="0"/>
                <w:sz w:val="19"/>
              </w:rPr>
              <w:t>Likes Share, Retweet Share, Reply Share</w:t>
            </w:r>
          </w:p>
        </w:tc>
      </w:tr>
    </w:tbl>
    <w:p>
      <w:pPr>
        <w:pStyle w:val="Heading1"/>
      </w:pPr>
      <w:r>
        <w:t>4. Core Calculation — Total Engagements</w:t>
      </w:r>
    </w:p>
    <w:p>
      <w:r>
        <w:t>Total Engagements represents the combined number of Likes, Retweets, and Replies for a tweet.</w:t>
      </w:r>
    </w:p>
    <w:p>
      <w:r>
        <w:rPr>
          <w:rFonts w:ascii="Consolas" w:hAnsi="Consolas"/>
          <w:sz w:val="18"/>
        </w:rPr>
        <w:t>Total Engagements = SUM('SocialMedia (1)'[likes]) + SUM('SocialMedia (1)'[retweets]) + SUM('SocialMedia (1)'[replies])</w:t>
      </w:r>
    </w:p>
    <w:p>
      <w:pPr>
        <w:pStyle w:val="Heading1"/>
      </w:pPr>
      <w:r>
        <w:t>5. Weekday Filtering</w:t>
      </w:r>
    </w:p>
    <w:p>
      <w:r>
        <w:t>The analysis is restricted to weekdays by selecting Monday through Friday in the Weekday filter. Saturday and Sunday are excluded so the ranking specifically represents weekday tweet performance.</w:t>
      </w:r>
    </w:p>
    <w:p>
      <w:pPr>
        <w:pStyle w:val="Heading1"/>
      </w:pPr>
      <w:r>
        <w:t>6. Top 10 Ranking</w:t>
      </w:r>
    </w:p>
    <w:p>
      <w:r>
        <w:t>A horizontal ranked bar chart displays the Top 10 tweets based on Total Engagements. Tweet is used as the category and Total Engagements as the ranking metric. A Top N filter retains the ten highest-engagement weekday tweets.</w:t>
      </w:r>
    </w:p>
    <w:p>
      <w:pPr>
        <w:pStyle w:val="Heading1"/>
      </w:pPr>
      <w:r>
        <w:t>7. Tweet Classification Logic</w:t>
      </w:r>
    </w:p>
    <w:p>
      <w:r>
        <w:t>A calculated column named Task6 Classification assigns each tweet a categorical label that controls the chart legend and classification-based colors.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Classification</w:t>
            </w:r>
          </w:p>
        </w:tc>
        <w:tc>
          <w:tcPr>
            <w:tcW w:type="dxa" w:w="3360"/>
            <w:vAlign w:val="center"/>
            <w:shd w:fill="D9EAF7"/>
          </w:tcPr>
          <w:p>
            <w:r/>
            <w:r>
              <w:rPr>
                <w:rFonts w:ascii="Aptos" w:hAnsi="Aptos"/>
                <w:b/>
                <w:sz w:val="19"/>
              </w:rPr>
              <w:t>Rule</w:t>
            </w:r>
          </w:p>
        </w:tc>
        <w:tc>
          <w:tcPr>
            <w:tcW w:type="dxa" w:w="3360"/>
            <w:vAlign w:val="center"/>
            <w:shd w:fill="D9EAF7"/>
          </w:tcPr>
          <w:p>
            <w:r/>
            <w:r>
              <w:rPr>
                <w:rFonts w:ascii="Aptos" w:hAnsi="Aptos"/>
                <w:b/>
                <w:sz w:val="19"/>
              </w:rPr>
              <w:t>Business Interpretation</w:t>
            </w:r>
          </w:p>
        </w:tc>
      </w:tr>
      <w:tr>
        <w:tc>
          <w:tcPr>
            <w:tcW w:type="dxa" w:w="3360"/>
            <w:vAlign w:val="center"/>
          </w:tcPr>
          <w:p>
            <w:r/>
            <w:r>
              <w:rPr>
                <w:rFonts w:ascii="Aptos" w:hAnsi="Aptos"/>
                <w:b w:val="0"/>
                <w:sz w:val="19"/>
              </w:rPr>
              <w:t>Highly Shareable</w:t>
            </w:r>
          </w:p>
        </w:tc>
        <w:tc>
          <w:tcPr>
            <w:tcW w:type="dxa" w:w="3360"/>
            <w:vAlign w:val="center"/>
          </w:tcPr>
          <w:p>
            <w:r/>
            <w:r>
              <w:rPr>
                <w:rFonts w:ascii="Aptos" w:hAnsi="Aptos"/>
                <w:b w:val="0"/>
                <w:sz w:val="19"/>
              </w:rPr>
              <w:t>Retweet Share is higher than the dataset average Retweet Share.</w:t>
            </w:r>
          </w:p>
        </w:tc>
        <w:tc>
          <w:tcPr>
            <w:tcW w:type="dxa" w:w="3360"/>
            <w:vAlign w:val="center"/>
          </w:tcPr>
          <w:p>
            <w:r/>
            <w:r>
              <w:rPr>
                <w:rFonts w:ascii="Aptos" w:hAnsi="Aptos"/>
                <w:b w:val="0"/>
                <w:sz w:val="19"/>
              </w:rPr>
              <w:t>Retweets are a comparatively important driver of interaction.</w:t>
            </w:r>
          </w:p>
        </w:tc>
      </w:tr>
      <w:tr>
        <w:tc>
          <w:tcPr>
            <w:tcW w:type="dxa" w:w="3360"/>
            <w:vAlign w:val="center"/>
          </w:tcPr>
          <w:p>
            <w:r/>
            <w:r>
              <w:rPr>
                <w:rFonts w:ascii="Aptos" w:hAnsi="Aptos"/>
                <w:b w:val="0"/>
                <w:sz w:val="19"/>
              </w:rPr>
              <w:t>Highly Popular</w:t>
            </w:r>
          </w:p>
        </w:tc>
        <w:tc>
          <w:tcPr>
            <w:tcW w:type="dxa" w:w="3360"/>
            <w:vAlign w:val="center"/>
          </w:tcPr>
          <w:p>
            <w:r/>
            <w:r>
              <w:rPr>
                <w:rFonts w:ascii="Aptos" w:hAnsi="Aptos"/>
                <w:b w:val="0"/>
                <w:sz w:val="19"/>
              </w:rPr>
              <w:t>Likes form the largest interaction share and Engagement Rate is above the dataset average.</w:t>
            </w:r>
          </w:p>
        </w:tc>
        <w:tc>
          <w:tcPr>
            <w:tcW w:type="dxa" w:w="3360"/>
            <w:vAlign w:val="center"/>
          </w:tcPr>
          <w:p>
            <w:r/>
            <w:r>
              <w:rPr>
                <w:rFonts w:ascii="Aptos" w:hAnsi="Aptos"/>
                <w:b w:val="0"/>
                <w:sz w:val="19"/>
              </w:rPr>
              <w:t>The tweet is primarily driven by audience appreciation or popularity.</w:t>
            </w:r>
          </w:p>
        </w:tc>
      </w:tr>
      <w:tr>
        <w:tc>
          <w:tcPr>
            <w:tcW w:type="dxa" w:w="3360"/>
            <w:vAlign w:val="center"/>
          </w:tcPr>
          <w:p>
            <w:r/>
            <w:r>
              <w:rPr>
                <w:rFonts w:ascii="Aptos" w:hAnsi="Aptos"/>
                <w:b w:val="0"/>
                <w:sz w:val="19"/>
              </w:rPr>
              <w:t>Conversation Driven</w:t>
            </w:r>
          </w:p>
        </w:tc>
        <w:tc>
          <w:tcPr>
            <w:tcW w:type="dxa" w:w="3360"/>
            <w:vAlign w:val="center"/>
          </w:tcPr>
          <w:p>
            <w:r/>
            <w:r>
              <w:rPr>
                <w:rFonts w:ascii="Aptos" w:hAnsi="Aptos"/>
                <w:b w:val="0"/>
                <w:sz w:val="19"/>
              </w:rPr>
              <w:t>Replies form the largest interaction share.</w:t>
            </w:r>
          </w:p>
        </w:tc>
        <w:tc>
          <w:tcPr>
            <w:tcW w:type="dxa" w:w="3360"/>
            <w:vAlign w:val="center"/>
          </w:tcPr>
          <w:p>
            <w:r/>
            <w:r>
              <w:rPr>
                <w:rFonts w:ascii="Aptos" w:hAnsi="Aptos"/>
                <w:b w:val="0"/>
                <w:sz w:val="19"/>
              </w:rPr>
              <w:t>The tweet generates comparatively strong direct conversation.</w:t>
            </w:r>
          </w:p>
        </w:tc>
      </w:tr>
      <w:tr>
        <w:tc>
          <w:tcPr>
            <w:tcW w:type="dxa" w:w="3360"/>
            <w:vAlign w:val="center"/>
          </w:tcPr>
          <w:p>
            <w:r/>
            <w:r>
              <w:rPr>
                <w:rFonts w:ascii="Aptos" w:hAnsi="Aptos"/>
                <w:b w:val="0"/>
                <w:sz w:val="19"/>
              </w:rPr>
              <w:t>High Volume–Low Efficiency</w:t>
            </w:r>
          </w:p>
        </w:tc>
        <w:tc>
          <w:tcPr>
            <w:tcW w:type="dxa" w:w="3360"/>
            <w:vAlign w:val="center"/>
          </w:tcPr>
          <w:p>
            <w:r/>
            <w:r>
              <w:rPr>
                <w:rFonts w:ascii="Aptos" w:hAnsi="Aptos"/>
                <w:b w:val="0"/>
                <w:sz w:val="19"/>
              </w:rPr>
              <w:t>Total interaction volume is above average while Engagement Rate is below average.</w:t>
            </w:r>
          </w:p>
        </w:tc>
        <w:tc>
          <w:tcPr>
            <w:tcW w:type="dxa" w:w="3360"/>
            <w:vAlign w:val="center"/>
          </w:tcPr>
          <w:p>
            <w:r/>
            <w:r>
              <w:rPr>
                <w:rFonts w:ascii="Aptos" w:hAnsi="Aptos"/>
                <w:b w:val="0"/>
                <w:sz w:val="19"/>
              </w:rPr>
              <w:t>The tweet attracts substantial interaction volume but converts impressions less efficiently.</w:t>
            </w:r>
          </w:p>
        </w:tc>
      </w:tr>
      <w:tr>
        <w:tc>
          <w:tcPr>
            <w:tcW w:type="dxa" w:w="3360"/>
            <w:vAlign w:val="center"/>
          </w:tcPr>
          <w:p>
            <w:r/>
            <w:r>
              <w:rPr>
                <w:rFonts w:ascii="Aptos" w:hAnsi="Aptos"/>
                <w:b w:val="0"/>
                <w:sz w:val="19"/>
              </w:rPr>
              <w:t>Other</w:t>
            </w:r>
          </w:p>
        </w:tc>
        <w:tc>
          <w:tcPr>
            <w:tcW w:type="dxa" w:w="3360"/>
            <w:vAlign w:val="center"/>
          </w:tcPr>
          <w:p>
            <w:r/>
            <w:r>
              <w:rPr>
                <w:rFonts w:ascii="Aptos" w:hAnsi="Aptos"/>
                <w:b w:val="0"/>
                <w:sz w:val="19"/>
              </w:rPr>
              <w:t>Does not meet the defined classification conditions.</w:t>
            </w:r>
          </w:p>
        </w:tc>
        <w:tc>
          <w:tcPr>
            <w:tcW w:type="dxa" w:w="3360"/>
            <w:vAlign w:val="center"/>
          </w:tcPr>
          <w:p>
            <w:r/>
            <w:r>
              <w:rPr>
                <w:rFonts w:ascii="Aptos" w:hAnsi="Aptos"/>
                <w:b w:val="0"/>
                <w:sz w:val="19"/>
              </w:rPr>
              <w:t>Neutral fallback category.</w:t>
            </w:r>
          </w:p>
        </w:tc>
      </w:tr>
    </w:tbl>
    <w:p>
      <w:pPr>
        <w:pStyle w:val="Heading1"/>
      </w:pPr>
      <w:r>
        <w:t>8. Classification-Based Visual Design</w:t>
      </w:r>
    </w:p>
    <w:p>
      <w:r>
        <w:t>Task6 Classification is placed in the chart Legend so bar colors correspond directly to the interaction pattern assigned to each tweet. The visual communicates both rank and interaction type without requiring a separate chart.</w:t>
      </w:r>
    </w:p>
    <w:p>
      <w:pPr>
        <w:pStyle w:val="Heading1"/>
      </w:pPr>
      <w:r>
        <w:t>9. Tooltip Design</w:t>
      </w:r>
    </w:p>
    <w:p>
      <w:r>
        <w:t>The final tooltip provides supporting context without duplicating the main ranking metric:</w:t>
      </w:r>
    </w:p>
    <w:p>
      <w:pPr>
        <w:pStyle w:val="ListBullet"/>
      </w:pPr>
      <w:r>
        <w:t>Tweet</w:t>
      </w:r>
    </w:p>
    <w:p>
      <w:pPr>
        <w:pStyle w:val="ListBullet"/>
      </w:pPr>
      <w:r>
        <w:t>Task6 Classification</w:t>
      </w:r>
    </w:p>
    <w:p>
      <w:pPr>
        <w:pStyle w:val="ListBullet"/>
      </w:pPr>
      <w:r>
        <w:t>Impressions</w:t>
      </w:r>
    </w:p>
    <w:p>
      <w:pPr>
        <w:pStyle w:val="ListBullet"/>
      </w:pPr>
      <w:r>
        <w:t>Engagement Rate</w:t>
      </w:r>
    </w:p>
    <w:p>
      <w:r>
        <w:t>Total Engagements remains the primary plotted value and is therefore not repeated in the tooltip.</w:t>
      </w:r>
    </w:p>
    <w:p>
      <w:pPr>
        <w:pStyle w:val="Heading1"/>
      </w:pPr>
      <w:r>
        <w:t>10. Top 3 Performance Analysis</w:t>
      </w:r>
    </w:p>
    <w:p>
      <w:r>
        <w:t>The dashboard explains the three highest-ranked tweets using observed engagement volume, impressions, Engagement Rate, and classification.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Aptos" w:hAnsi="Aptos"/>
                <w:b/>
                <w:sz w:val="19"/>
              </w:rPr>
              <w:t>Rank</w:t>
            </w:r>
          </w:p>
        </w:tc>
        <w:tc>
          <w:tcPr>
            <w:tcW w:type="dxa" w:w="2016"/>
            <w:vAlign w:val="center"/>
            <w:shd w:fill="D9EAF7"/>
          </w:tcPr>
          <w:p>
            <w:r/>
            <w:r>
              <w:rPr>
                <w:rFonts w:ascii="Aptos" w:hAnsi="Aptos"/>
                <w:b/>
                <w:sz w:val="19"/>
              </w:rPr>
              <w:t>Total Engagements</w:t>
            </w:r>
          </w:p>
        </w:tc>
        <w:tc>
          <w:tcPr>
            <w:tcW w:type="dxa" w:w="2016"/>
            <w:vAlign w:val="center"/>
            <w:shd w:fill="D9EAF7"/>
          </w:tcPr>
          <w:p>
            <w:r/>
            <w:r>
              <w:rPr>
                <w:rFonts w:ascii="Aptos" w:hAnsi="Aptos"/>
                <w:b/>
                <w:sz w:val="19"/>
              </w:rPr>
              <w:t>Impressions</w:t>
            </w:r>
          </w:p>
        </w:tc>
        <w:tc>
          <w:tcPr>
            <w:tcW w:type="dxa" w:w="2016"/>
            <w:vAlign w:val="center"/>
            <w:shd w:fill="D9EAF7"/>
          </w:tcPr>
          <w:p>
            <w:r/>
            <w:r>
              <w:rPr>
                <w:rFonts w:ascii="Aptos" w:hAnsi="Aptos"/>
                <w:b/>
                <w:sz w:val="19"/>
              </w:rPr>
              <w:t>Engagement Rate</w:t>
            </w:r>
          </w:p>
        </w:tc>
        <w:tc>
          <w:tcPr>
            <w:tcW w:type="dxa" w:w="2016"/>
            <w:vAlign w:val="center"/>
            <w:shd w:fill="D9EAF7"/>
          </w:tcPr>
          <w:p>
            <w:r/>
            <w:r>
              <w:rPr>
                <w:rFonts w:ascii="Aptos" w:hAnsi="Aptos"/>
                <w:b/>
                <w:sz w:val="19"/>
              </w:rPr>
              <w:t>Classification</w:t>
            </w:r>
          </w:p>
        </w:tc>
      </w:tr>
      <w:tr>
        <w:tc>
          <w:tcPr>
            <w:tcW w:type="dxa" w:w="2016"/>
            <w:vAlign w:val="center"/>
          </w:tcPr>
          <w:p>
            <w:r/>
            <w:r>
              <w:rPr>
                <w:rFonts w:ascii="Aptos" w:hAnsi="Aptos"/>
                <w:b w:val="0"/>
                <w:sz w:val="19"/>
              </w:rPr>
              <w:t>1</w:t>
            </w:r>
          </w:p>
        </w:tc>
        <w:tc>
          <w:tcPr>
            <w:tcW w:type="dxa" w:w="2016"/>
            <w:vAlign w:val="center"/>
          </w:tcPr>
          <w:p>
            <w:r/>
            <w:r>
              <w:rPr>
                <w:rFonts w:ascii="Aptos" w:hAnsi="Aptos"/>
                <w:b w:val="0"/>
                <w:sz w:val="19"/>
              </w:rPr>
              <w:t>2,704</w:t>
            </w:r>
          </w:p>
        </w:tc>
        <w:tc>
          <w:tcPr>
            <w:tcW w:type="dxa" w:w="2016"/>
            <w:vAlign w:val="center"/>
          </w:tcPr>
          <w:p>
            <w:r/>
            <w:r>
              <w:rPr>
                <w:rFonts w:ascii="Aptos" w:hAnsi="Aptos"/>
                <w:b w:val="0"/>
                <w:sz w:val="19"/>
              </w:rPr>
              <w:t>156,685</w:t>
            </w:r>
          </w:p>
        </w:tc>
        <w:tc>
          <w:tcPr>
            <w:tcW w:type="dxa" w:w="2016"/>
            <w:vAlign w:val="center"/>
          </w:tcPr>
          <w:p>
            <w:r/>
            <w:r>
              <w:rPr>
                <w:rFonts w:ascii="Aptos" w:hAnsi="Aptos"/>
                <w:b w:val="0"/>
                <w:sz w:val="19"/>
              </w:rPr>
              <w:t>0.35</w:t>
            </w:r>
          </w:p>
        </w:tc>
        <w:tc>
          <w:tcPr>
            <w:tcW w:type="dxa" w:w="2016"/>
            <w:vAlign w:val="center"/>
          </w:tcPr>
          <w:p>
            <w:r/>
            <w:r>
              <w:rPr>
                <w:rFonts w:ascii="Aptos" w:hAnsi="Aptos"/>
                <w:b w:val="0"/>
                <w:sz w:val="19"/>
              </w:rPr>
              <w:t>Highly Shareable</w:t>
            </w:r>
          </w:p>
        </w:tc>
      </w:tr>
      <w:tr>
        <w:tc>
          <w:tcPr>
            <w:tcW w:type="dxa" w:w="2016"/>
            <w:vAlign w:val="center"/>
          </w:tcPr>
          <w:p>
            <w:r/>
            <w:r>
              <w:rPr>
                <w:rFonts w:ascii="Aptos" w:hAnsi="Aptos"/>
                <w:b w:val="0"/>
                <w:sz w:val="19"/>
              </w:rPr>
              <w:t>2</w:t>
            </w:r>
          </w:p>
        </w:tc>
        <w:tc>
          <w:tcPr>
            <w:tcW w:type="dxa" w:w="2016"/>
            <w:vAlign w:val="center"/>
          </w:tcPr>
          <w:p>
            <w:r/>
            <w:r>
              <w:rPr>
                <w:rFonts w:ascii="Aptos" w:hAnsi="Aptos"/>
                <w:b w:val="0"/>
                <w:sz w:val="19"/>
              </w:rPr>
              <w:t>163</w:t>
            </w:r>
          </w:p>
        </w:tc>
        <w:tc>
          <w:tcPr>
            <w:tcW w:type="dxa" w:w="2016"/>
            <w:vAlign w:val="center"/>
          </w:tcPr>
          <w:p>
            <w:r/>
            <w:r>
              <w:rPr>
                <w:rFonts w:ascii="Aptos" w:hAnsi="Aptos"/>
                <w:b w:val="0"/>
                <w:sz w:val="19"/>
              </w:rPr>
              <w:t>9,743</w:t>
            </w:r>
          </w:p>
        </w:tc>
        <w:tc>
          <w:tcPr>
            <w:tcW w:type="dxa" w:w="2016"/>
            <w:vAlign w:val="center"/>
          </w:tcPr>
          <w:p>
            <w:r/>
            <w:r>
              <w:rPr>
                <w:rFonts w:ascii="Aptos" w:hAnsi="Aptos"/>
                <w:b w:val="0"/>
                <w:sz w:val="19"/>
              </w:rPr>
              <w:t>0.03</w:t>
            </w:r>
          </w:p>
        </w:tc>
        <w:tc>
          <w:tcPr>
            <w:tcW w:type="dxa" w:w="2016"/>
            <w:vAlign w:val="center"/>
          </w:tcPr>
          <w:p>
            <w:r/>
            <w:r>
              <w:rPr>
                <w:rFonts w:ascii="Aptos" w:hAnsi="Aptos"/>
                <w:b w:val="0"/>
                <w:sz w:val="19"/>
              </w:rPr>
              <w:t>High Volume–Low Efficiency</w:t>
            </w:r>
          </w:p>
        </w:tc>
      </w:tr>
      <w:tr>
        <w:tc>
          <w:tcPr>
            <w:tcW w:type="dxa" w:w="2016"/>
            <w:vAlign w:val="center"/>
          </w:tcPr>
          <w:p>
            <w:r/>
            <w:r>
              <w:rPr>
                <w:rFonts w:ascii="Aptos" w:hAnsi="Aptos"/>
                <w:b w:val="0"/>
                <w:sz w:val="19"/>
              </w:rPr>
              <w:t>3</w:t>
            </w:r>
          </w:p>
        </w:tc>
        <w:tc>
          <w:tcPr>
            <w:tcW w:type="dxa" w:w="2016"/>
            <w:vAlign w:val="center"/>
          </w:tcPr>
          <w:p>
            <w:r/>
            <w:r>
              <w:rPr>
                <w:rFonts w:ascii="Aptos" w:hAnsi="Aptos"/>
                <w:b w:val="0"/>
                <w:sz w:val="19"/>
              </w:rPr>
              <w:t>104</w:t>
            </w:r>
          </w:p>
        </w:tc>
        <w:tc>
          <w:tcPr>
            <w:tcW w:type="dxa" w:w="2016"/>
            <w:vAlign w:val="center"/>
          </w:tcPr>
          <w:p>
            <w:r/>
            <w:r>
              <w:rPr>
                <w:rFonts w:ascii="Aptos" w:hAnsi="Aptos"/>
                <w:b w:val="0"/>
                <w:sz w:val="19"/>
              </w:rPr>
              <w:t>9,820</w:t>
            </w:r>
          </w:p>
        </w:tc>
        <w:tc>
          <w:tcPr>
            <w:tcW w:type="dxa" w:w="2016"/>
            <w:vAlign w:val="center"/>
          </w:tcPr>
          <w:p>
            <w:r/>
            <w:r>
              <w:rPr>
                <w:rFonts w:ascii="Aptos" w:hAnsi="Aptos"/>
                <w:b w:val="0"/>
                <w:sz w:val="19"/>
              </w:rPr>
              <w:t>0.16</w:t>
            </w:r>
          </w:p>
        </w:tc>
        <w:tc>
          <w:tcPr>
            <w:tcW w:type="dxa" w:w="2016"/>
            <w:vAlign w:val="center"/>
          </w:tcPr>
          <w:p>
            <w:r/>
            <w:r>
              <w:rPr>
                <w:rFonts w:ascii="Aptos" w:hAnsi="Aptos"/>
                <w:b w:val="0"/>
                <w:sz w:val="19"/>
              </w:rPr>
              <w:t>Highly Shareable</w:t>
            </w:r>
          </w:p>
        </w:tc>
      </w:tr>
    </w:tbl>
    <w:p>
      <w:pPr>
        <w:pStyle w:val="ListBullet"/>
      </w:pPr>
      <w:r>
        <w:t>Rank 1 generated the highest interaction volume (2,704) and an Engagement Rate of 0.35, with a Highly Shareable classification indicating above-average retweet contribution.</w:t>
      </w:r>
    </w:p>
    <w:p>
      <w:pPr>
        <w:pStyle w:val="ListBullet"/>
      </w:pPr>
      <w:r>
        <w:t>Rank 2 generated 163 engagements from 9,743 impressions, but its 0.03 Engagement Rate indicates relatively low engagement efficiency despite its high interaction ranking.</w:t>
      </w:r>
    </w:p>
    <w:p>
      <w:pPr>
        <w:pStyle w:val="ListBullet"/>
      </w:pPr>
      <w:r>
        <w:t>Rank 3 generated 104 engagements from 9,820 impressions, with a 0.16 Engagement Rate and Highly Shareable classification, indicating stronger efficiency and a notable sharing contribution relative to the second-ranked tweet.</w:t>
      </w:r>
    </w:p>
    <w:p>
      <w:pPr>
        <w:pStyle w:val="Heading1"/>
      </w:pPr>
      <w:r>
        <w:t>11. User Profile Data Limitation</w:t>
      </w:r>
    </w:p>
    <w:p>
      <w:r>
        <w:t>The task specification requests the associated user profile. The available SocialMedia (1) dataset does not contain an actual username, handle, or user-profile identifier. It contains a 'user profile clicks' field, but this is an interaction metric rather than a profile identifier. The dashboard therefore does not misuse that metric as a user profile; the Tweet field is used for tweet identification and the limitation is documented transparently.</w:t>
      </w:r>
    </w:p>
    <w:p>
      <w:pPr>
        <w:pStyle w:val="Heading1"/>
      </w:pPr>
      <w:r>
        <w:t>12. Business Value</w:t>
      </w:r>
    </w:p>
    <w:p>
      <w:r>
        <w:t>This analysis moves beyond a simple Top 10 ranking by showing how high-engagement tweets differ in reach, engagement efficiency, and interaction composition. It can support content decisions by identifying content that encourages sharing, attracts conversation, or generates volume without comparable efficiency.</w:t>
      </w:r>
    </w:p>
    <w:p>
      <w:pPr>
        <w:pStyle w:val="Heading1"/>
      </w:pPr>
      <w:r>
        <w:t>13. Final Outcome</w:t>
      </w:r>
    </w:p>
    <w:p>
      <w:r>
        <w:t>Task 6 delivers a weekday-focused Top 10 engagement dashboard with ranking, classification, tooltip context, classification-based visual encoding, and a data-backed explanation of the three highest-ranked tweets.</w:t>
      </w:r>
    </w:p>
    <w:p>
      <w:pPr>
        <w:pStyle w:val="Heading1"/>
      </w:pPr>
      <w:r>
        <w:t>14. Submission Checklist</w:t>
      </w:r>
    </w:p>
    <w:p>
      <w:r>
        <w:t>✓ Top 10 weekday tweets ranked by Total Engagements</w:t>
      </w:r>
    </w:p>
    <w:p>
      <w:r>
        <w:t>✓ Total Engagements calculated from Likes + Retweets + Replies</w:t>
      </w:r>
    </w:p>
    <w:p>
      <w:r>
        <w:t>✓ Monday–Friday weekday filter applied</w:t>
      </w:r>
    </w:p>
    <w:p>
      <w:r>
        <w:t>✓ Tweet text displayed</w:t>
      </w:r>
    </w:p>
    <w:p>
      <w:r>
        <w:t>✓ Task6 Classification used as chart legend</w:t>
      </w:r>
    </w:p>
    <w:p>
      <w:r>
        <w:t>✓ Classification-based colors applied</w:t>
      </w:r>
    </w:p>
    <w:p>
      <w:r>
        <w:t>✓ Impressions included in tooltip</w:t>
      </w:r>
    </w:p>
    <w:p>
      <w:r>
        <w:t>✓ Engagement Rate included in tooltip</w:t>
      </w:r>
    </w:p>
    <w:p>
      <w:r>
        <w:t>✓ Top 3 performance explanation included</w:t>
      </w:r>
    </w:p>
    <w:p>
      <w:r>
        <w:t>✓ Dataset limitation regarding actual user profile documented</w:t>
      </w:r>
    </w:p>
    <w:p>
      <w:pPr>
        <w:jc w:val="center"/>
      </w:pPr>
      <w:r>
        <w:rPr>
          <w:i/>
          <w:sz w:val="17"/>
        </w:rPr>
        <w:t>Task 6 Documentation • Power BI Social Media Analytics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