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r>
      <w:r>
        <w:rPr>
          <w:b/>
          <w:sz w:val="46"/>
        </w:rPr>
        <w:t>Software Requirements Specification</w:t>
        <w:br/>
      </w:r>
      <w:r>
        <w:rPr>
          <w:b/>
          <w:sz w:val="32"/>
        </w:rPr>
        <w:t>Bank Internal Audit, Risk, Compliance &amp; CAAT Platform</w:t>
      </w:r>
      <w:r>
        <w:br/>
        <w:br/>
        <w:t>Bangladesh Banking / NBFI Market</w:t>
        <w:br/>
        <w:t>Product concept incorporating local competitive features and global good practices</w:t>
      </w:r>
    </w:p>
    <w:p>
      <w:r>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Document Control</w:t>
            </w:r>
          </w:p>
        </w:tc>
        <w:tc>
          <w:tcPr>
            <w:tcW w:type="dxa" w:w="5112"/>
            <w:shd w:fill="D9EAF7"/>
            <w:vAlign w:val="center"/>
          </w:tcPr>
          <w:p>
            <w:r>
              <w:rPr>
                <w:b/>
                <w:sz w:val="16"/>
              </w:rPr>
              <w:t>Value</w:t>
            </w:r>
          </w:p>
        </w:tc>
      </w:tr>
      <w:tr>
        <w:tc>
          <w:tcPr>
            <w:tcW w:type="dxa" w:w="5112"/>
            <w:vAlign w:val="top"/>
          </w:tcPr>
          <w:p>
            <w:r>
              <w:rPr>
                <w:sz w:val="16"/>
              </w:rPr>
              <w:t>Document version</w:t>
            </w:r>
          </w:p>
        </w:tc>
        <w:tc>
          <w:tcPr>
            <w:tcW w:type="dxa" w:w="5112"/>
            <w:vAlign w:val="top"/>
          </w:tcPr>
          <w:p>
            <w:r>
              <w:rPr>
                <w:sz w:val="16"/>
              </w:rPr>
              <w:t>v1.0 – Product/Engineering Baseline</w:t>
            </w:r>
          </w:p>
        </w:tc>
      </w:tr>
      <w:tr>
        <w:tc>
          <w:tcPr>
            <w:tcW w:type="dxa" w:w="5112"/>
            <w:vAlign w:val="top"/>
          </w:tcPr>
          <w:p>
            <w:r>
              <w:rPr>
                <w:sz w:val="16"/>
              </w:rPr>
              <w:t>Prepared for</w:t>
            </w:r>
          </w:p>
        </w:tc>
        <w:tc>
          <w:tcPr>
            <w:tcW w:type="dxa" w:w="5112"/>
            <w:vAlign w:val="top"/>
          </w:tcPr>
          <w:p>
            <w:r>
              <w:rPr>
                <w:sz w:val="16"/>
              </w:rPr>
              <w:t>Software Development Team</w:t>
            </w:r>
          </w:p>
        </w:tc>
      </w:tr>
      <w:tr>
        <w:tc>
          <w:tcPr>
            <w:tcW w:type="dxa" w:w="5112"/>
            <w:vAlign w:val="top"/>
          </w:tcPr>
          <w:p>
            <w:r>
              <w:rPr>
                <w:sz w:val="16"/>
              </w:rPr>
              <w:t>Target market</w:t>
            </w:r>
          </w:p>
        </w:tc>
        <w:tc>
          <w:tcPr>
            <w:tcW w:type="dxa" w:w="5112"/>
            <w:vAlign w:val="top"/>
          </w:tcPr>
          <w:p>
            <w:r>
              <w:rPr>
                <w:sz w:val="16"/>
              </w:rPr>
              <w:t>Bangladesh banks and NBFIs; architecture should support internationalisation</w:t>
            </w:r>
          </w:p>
        </w:tc>
      </w:tr>
      <w:tr>
        <w:tc>
          <w:tcPr>
            <w:tcW w:type="dxa" w:w="5112"/>
            <w:vAlign w:val="top"/>
          </w:tcPr>
          <w:p>
            <w:r>
              <w:rPr>
                <w:sz w:val="16"/>
              </w:rPr>
              <w:t>Primary product</w:t>
            </w:r>
          </w:p>
        </w:tc>
        <w:tc>
          <w:tcPr>
            <w:tcW w:type="dxa" w:w="5112"/>
            <w:vAlign w:val="top"/>
          </w:tcPr>
          <w:p>
            <w:r>
              <w:rPr>
                <w:sz w:val="16"/>
              </w:rPr>
              <w:t>Internal Audit Management + Risk/GRC + CAAT</w:t>
            </w:r>
          </w:p>
        </w:tc>
      </w:tr>
      <w:tr>
        <w:tc>
          <w:tcPr>
            <w:tcW w:type="dxa" w:w="5112"/>
            <w:vAlign w:val="top"/>
          </w:tcPr>
          <w:p>
            <w:r>
              <w:rPr>
                <w:sz w:val="16"/>
              </w:rPr>
              <w:t>Premium product</w:t>
            </w:r>
          </w:p>
        </w:tc>
        <w:tc>
          <w:tcPr>
            <w:tcW w:type="dxa" w:w="5112"/>
            <w:vAlign w:val="top"/>
          </w:tcPr>
          <w:p>
            <w:r>
              <w:rPr>
                <w:sz w:val="16"/>
              </w:rPr>
              <w:t>AI/ML Continuous Audit &amp; Anomaly Intelligence</w:t>
            </w:r>
          </w:p>
        </w:tc>
      </w:tr>
      <w:tr>
        <w:tc>
          <w:tcPr>
            <w:tcW w:type="dxa" w:w="5112"/>
            <w:vAlign w:val="top"/>
          </w:tcPr>
          <w:p>
            <w:r>
              <w:rPr>
                <w:sz w:val="16"/>
              </w:rPr>
              <w:t>Status</w:t>
            </w:r>
          </w:p>
        </w:tc>
        <w:tc>
          <w:tcPr>
            <w:tcW w:type="dxa" w:w="5112"/>
            <w:vAlign w:val="top"/>
          </w:tcPr>
          <w:p>
            <w:r>
              <w:rPr>
                <w:sz w:val="16"/>
              </w:rPr>
              <w:t>Draft SRS for discovery, estimation and architecture</w:t>
            </w:r>
          </w:p>
        </w:tc>
      </w:tr>
      <w:tr>
        <w:tc>
          <w:tcPr>
            <w:tcW w:type="dxa" w:w="5112"/>
            <w:vAlign w:val="top"/>
          </w:tcPr>
          <w:p>
            <w:r>
              <w:rPr>
                <w:sz w:val="16"/>
              </w:rPr>
              <w:t>Important</w:t>
            </w:r>
          </w:p>
        </w:tc>
        <w:tc>
          <w:tcPr>
            <w:tcW w:type="dxa" w:w="5112"/>
            <w:vAlign w:val="top"/>
          </w:tcPr>
          <w:p>
            <w:r>
              <w:rPr>
                <w:sz w:val="16"/>
              </w:rPr>
              <w:t>Regulatory mappings and exact bank workflows must be validated with the client before production sign-off.</w:t>
            </w:r>
          </w:p>
        </w:tc>
      </w:tr>
    </w:tbl>
    <w:p>
      <w:r>
        <w:br/>
      </w:r>
    </w:p>
    <w:p>
      <w:pPr>
        <w:pStyle w:val="Heading1"/>
      </w:pPr>
      <w:r>
        <w:t>1. Executive Summary</w:t>
      </w:r>
    </w:p>
    <w:p>
      <w:r>
        <w:t>This SRS defines a modular, bank-grade platform for managing the full internal audit lifecycle, risk-based audit planning, internal controls, regulatory compliance, findings/remediation, audit evidence, and computer-assisted audit techniques (CAAT). It also defines an optional premium AI/ML layer for continuous transaction monitoring, anomaly detection, predictive risk scoring and AI-assisted audit work.</w:t>
      </w:r>
    </w:p>
    <w:p>
      <w:r>
        <w:t>The product should be positioned as a modern alternative to spreadsheet/email-heavy audit operations while retaining the bank-specific concepts found in local solutions such as TAHQIQ and CTrends GRC. The architecture should remain configurable rather than hard-coding a single bank's methodology.</w:t>
      </w:r>
    </w:p>
    <w:p>
      <w:r>
        <w:t>The design is informed by publicly available descriptions of TAHQIQ by Millennium Information Solution Ltd. and CTrends GRC, plus international internal-audit product patterns and the 2024 Global Internal Audit Standards of The Institute of Internal Auditors (IIA). The product should not copy proprietary source code, screens, content or confidential workflows of competitors.</w:t>
      </w:r>
    </w:p>
    <w:p>
      <w:pPr>
        <w:pStyle w:val="Heading1"/>
      </w:pPr>
      <w:r>
        <w:t>2. Research Basis &amp; Competitive Benchmark</w:t>
      </w:r>
    </w:p>
    <w:p>
      <w:r>
        <w:t>Publicly visible capabilities identified during product research: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Benchmark</w:t>
            </w:r>
          </w:p>
        </w:tc>
        <w:tc>
          <w:tcPr>
            <w:tcW w:type="dxa" w:w="3408"/>
            <w:shd w:fill="D9EAF7"/>
            <w:vAlign w:val="center"/>
          </w:tcPr>
          <w:p>
            <w:r>
              <w:rPr>
                <w:b/>
                <w:sz w:val="16"/>
              </w:rPr>
              <w:t>Observed capability</w:t>
            </w:r>
          </w:p>
        </w:tc>
        <w:tc>
          <w:tcPr>
            <w:tcW w:type="dxa" w:w="3408"/>
            <w:shd w:fill="D9EAF7"/>
            <w:vAlign w:val="center"/>
          </w:tcPr>
          <w:p>
            <w:r>
              <w:rPr>
                <w:b/>
                <w:sz w:val="16"/>
              </w:rPr>
              <w:t>Product implication</w:t>
            </w:r>
          </w:p>
        </w:tc>
      </w:tr>
      <w:tr>
        <w:tc>
          <w:tcPr>
            <w:tcW w:type="dxa" w:w="3408"/>
            <w:vAlign w:val="top"/>
          </w:tcPr>
          <w:p>
            <w:r>
              <w:rPr>
                <w:sz w:val="16"/>
              </w:rPr>
              <w:t>TAHQIQ / MISL</w:t>
            </w:r>
          </w:p>
        </w:tc>
        <w:tc>
          <w:tcPr>
            <w:tcW w:type="dxa" w:w="3408"/>
            <w:vAlign w:val="top"/>
          </w:tcPr>
          <w:p>
            <w:r>
              <w:rPr>
                <w:sz w:val="16"/>
              </w:rPr>
              <w:t>Risk-based internal audit; risk grading; branch risk gradation; online audit operation/monitoring; concurrent audit; single-file management; CBS/HRMS integration.</w:t>
            </w:r>
          </w:p>
        </w:tc>
        <w:tc>
          <w:tcPr>
            <w:tcW w:type="dxa" w:w="3408"/>
            <w:vAlign w:val="top"/>
          </w:tcPr>
          <w:p>
            <w:r>
              <w:rPr>
                <w:sz w:val="16"/>
              </w:rPr>
              <w:t>Core bank/branch audit lifecycle, risk grading, concurrent audit and integration are baseline requirements.</w:t>
            </w:r>
          </w:p>
        </w:tc>
      </w:tr>
      <w:tr>
        <w:tc>
          <w:tcPr>
            <w:tcW w:type="dxa" w:w="3408"/>
            <w:vAlign w:val="top"/>
          </w:tcPr>
          <w:p>
            <w:r>
              <w:rPr>
                <w:sz w:val="16"/>
              </w:rPr>
              <w:t>CTrends GRC</w:t>
            </w:r>
          </w:p>
        </w:tc>
        <w:tc>
          <w:tcPr>
            <w:tcW w:type="dxa" w:w="3408"/>
            <w:vAlign w:val="top"/>
          </w:tcPr>
          <w:p>
            <w:r>
              <w:rPr>
                <w:sz w:val="16"/>
              </w:rPr>
              <w:t>Audit Management, Risk Management, Internal Control Monitoring, Regulatory Compliance; on-premise/cloud; CAAT and data extraction/analysis.</w:t>
            </w:r>
          </w:p>
        </w:tc>
        <w:tc>
          <w:tcPr>
            <w:tcW w:type="dxa" w:w="3408"/>
            <w:vAlign w:val="top"/>
          </w:tcPr>
          <w:p>
            <w:r>
              <w:rPr>
                <w:sz w:val="16"/>
              </w:rPr>
              <w:t>Build one integrated GRC model rather than a standalone audit tracker; support on-premise and private-cloud deployment.</w:t>
            </w:r>
          </w:p>
        </w:tc>
      </w:tr>
      <w:tr>
        <w:tc>
          <w:tcPr>
            <w:tcW w:type="dxa" w:w="3408"/>
            <w:vAlign w:val="top"/>
          </w:tcPr>
          <w:p>
            <w:r>
              <w:rPr>
                <w:sz w:val="16"/>
              </w:rPr>
              <w:t>MetricStream</w:t>
            </w:r>
          </w:p>
        </w:tc>
        <w:tc>
          <w:tcPr>
            <w:tcW w:type="dxa" w:w="3408"/>
            <w:vAlign w:val="top"/>
          </w:tcPr>
          <w:p>
            <w:r>
              <w:rPr>
                <w:sz w:val="16"/>
              </w:rPr>
              <w:t>Audit universe, centralized risks/controls, risk-based planning, workpapers, fieldwork, issue tracking, mobile/tablet workflows and AI-assisted auditing.</w:t>
            </w:r>
          </w:p>
        </w:tc>
        <w:tc>
          <w:tcPr>
            <w:tcW w:type="dxa" w:w="3408"/>
            <w:vAlign w:val="top"/>
          </w:tcPr>
          <w:p>
            <w:r>
              <w:rPr>
                <w:sz w:val="16"/>
              </w:rPr>
              <w:t>Introduce an audit-universe/risk/control model, structured workpapers, fieldwork and mobile-ready UI.</w:t>
            </w:r>
          </w:p>
        </w:tc>
      </w:tr>
      <w:tr>
        <w:tc>
          <w:tcPr>
            <w:tcW w:type="dxa" w:w="3408"/>
            <w:vAlign w:val="top"/>
          </w:tcPr>
          <w:p>
            <w:r>
              <w:rPr>
                <w:sz w:val="16"/>
              </w:rPr>
              <w:t>Diligent AuditAI</w:t>
            </w:r>
          </w:p>
        </w:tc>
        <w:tc>
          <w:tcPr>
            <w:tcW w:type="dxa" w:w="3408"/>
            <w:vAlign w:val="top"/>
          </w:tcPr>
          <w:p>
            <w:r>
              <w:rPr>
                <w:sz w:val="16"/>
              </w:rPr>
              <w:t>AI-guided risk assessment, control intelligence, compliance mapping, evidence/request automation and continuous risk-aligned assurance.</w:t>
            </w:r>
          </w:p>
        </w:tc>
        <w:tc>
          <w:tcPr>
            <w:tcW w:type="dxa" w:w="3408"/>
            <w:vAlign w:val="top"/>
          </w:tcPr>
          <w:p>
            <w:r>
              <w:rPr>
                <w:sz w:val="16"/>
              </w:rPr>
              <w:t>Make AI a premium layer that augments planning, evidence management and continuous assurance.</w:t>
            </w:r>
          </w:p>
        </w:tc>
      </w:tr>
      <w:tr>
        <w:tc>
          <w:tcPr>
            <w:tcW w:type="dxa" w:w="3408"/>
            <w:vAlign w:val="top"/>
          </w:tcPr>
          <w:p>
            <w:r>
              <w:rPr>
                <w:sz w:val="16"/>
              </w:rPr>
              <w:t>IIA 2024 Standards</w:t>
            </w:r>
          </w:p>
        </w:tc>
        <w:tc>
          <w:tcPr>
            <w:tcW w:type="dxa" w:w="3408"/>
            <w:vAlign w:val="top"/>
          </w:tcPr>
          <w:p>
            <w:r>
              <w:rPr>
                <w:sz w:val="16"/>
              </w:rPr>
              <w:t>Five domains covering purpose, ethics/professionalism, governance, managing the function and performing audit services; planning, engagement work, communication and monitoring action plans are explicit.</w:t>
            </w:r>
          </w:p>
        </w:tc>
        <w:tc>
          <w:tcPr>
            <w:tcW w:type="dxa" w:w="3408"/>
            <w:vAlign w:val="top"/>
          </w:tcPr>
          <w:p>
            <w:r>
              <w:rPr>
                <w:sz w:val="16"/>
              </w:rPr>
              <w:t>Embed independence, objectivity, evidence, review, approvals, quality and action-plan monitoring into workflow design.</w:t>
            </w:r>
          </w:p>
        </w:tc>
      </w:tr>
    </w:tbl>
    <w:p>
      <w:r>
        <w:t>Bangladesh regulatory consideration: CTrends publicly cites the Bangladesh Bank ICT Security Guideline 2023 requirement for CAAT or similar automated tools for IS audit planning, monitoring/auditing, control assessment, data extraction/analysis, fraud detection/prevention and management. The final product must have a formal regulatory mapping exercise against the applicable Bangladesh Bank circulars/guidelines for the client's bank/NBFI.</w:t>
      </w:r>
    </w:p>
    <w:p>
      <w:pPr>
        <w:pStyle w:val="Heading1"/>
      </w:pPr>
      <w:r>
        <w:t>3. Product Vision</w:t>
      </w:r>
    </w:p>
    <w:p>
      <w:r>
        <w:t>A configurable digital audit operating system for financial institutions that connects the audit universe, risk, controls, audit planning, fieldwork, evidence, findings, management action plans, regulatory compliance and transaction analytics into one traceable system.</w:t>
      </w:r>
    </w:p>
    <w:p>
      <w:pPr>
        <w:pStyle w:val="ListBullet"/>
      </w:pPr>
      <w:r>
        <w:t>Core principle: every material audit conclusion should be traceable to a procedure, evidence, reviewer action and finding/control assessment.</w:t>
      </w:r>
    </w:p>
    <w:p>
      <w:pPr>
        <w:pStyle w:val="ListBullet"/>
      </w:pPr>
      <w:r>
        <w:t>Risk-based by design: audit planning should consume current risk, control, prior findings, incidents and analytics signals.</w:t>
      </w:r>
    </w:p>
    <w:p>
      <w:pPr>
        <w:pStyle w:val="ListBullet"/>
      </w:pPr>
      <w:r>
        <w:t>Human-in-the-loop: AI identifies, prioritises and explains; authorised auditors make and approve audit conclusions.</w:t>
      </w:r>
    </w:p>
    <w:p>
      <w:pPr>
        <w:pStyle w:val="ListBullet"/>
      </w:pPr>
      <w:r>
        <w:t>Bank-grade: strong segregation of duties, immutable audit trail, encryption, deployment isolation and configurable retention.</w:t>
      </w:r>
    </w:p>
    <w:p>
      <w:pPr>
        <w:pStyle w:val="ListBullet"/>
      </w:pPr>
      <w:r>
        <w:t>Modular commercial model: Core Audit; GRC; CAAT; AI/ML Premium; optional integrations and managed analytics.</w:t>
      </w:r>
    </w:p>
    <w:p>
      <w:pPr>
        <w:pStyle w:val="Heading1"/>
      </w:pPr>
      <w:r>
        <w:t>4. Goals &amp; Non-Goals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Goals</w:t>
            </w:r>
          </w:p>
        </w:tc>
        <w:tc>
          <w:tcPr>
            <w:tcW w:type="dxa" w:w="5112"/>
            <w:shd w:fill="D9EAF7"/>
            <w:vAlign w:val="center"/>
          </w:tcPr>
          <w:p>
            <w:r>
              <w:rPr>
                <w:b/>
                <w:sz w:val="16"/>
              </w:rPr>
              <w:t>Non-goals</w:t>
            </w:r>
          </w:p>
        </w:tc>
      </w:tr>
      <w:tr>
        <w:tc>
          <w:tcPr>
            <w:tcW w:type="dxa" w:w="5112"/>
            <w:vAlign w:val="top"/>
          </w:tcPr>
          <w:p>
            <w:r>
              <w:rPr>
                <w:sz w:val="16"/>
              </w:rPr>
              <w:t>Digitise the complete internal audit lifecycle.</w:t>
            </w:r>
          </w:p>
        </w:tc>
        <w:tc>
          <w:tcPr>
            <w:tcW w:type="dxa" w:w="5112"/>
            <w:vAlign w:val="top"/>
          </w:tcPr>
          <w:p>
            <w:r>
              <w:rPr>
                <w:sz w:val="16"/>
              </w:rPr>
              <w:t>Replacing the bank's core banking system (CBS).</w:t>
            </w:r>
          </w:p>
        </w:tc>
      </w:tr>
      <w:tr>
        <w:tc>
          <w:tcPr>
            <w:tcW w:type="dxa" w:w="5112"/>
            <w:vAlign w:val="top"/>
          </w:tcPr>
          <w:p>
            <w:r>
              <w:rPr>
                <w:sz w:val="16"/>
              </w:rPr>
              <w:t>Enable risk-based annual/quarterly audit planning.</w:t>
            </w:r>
          </w:p>
        </w:tc>
        <w:tc>
          <w:tcPr>
            <w:tcW w:type="dxa" w:w="5112"/>
            <w:vAlign w:val="top"/>
          </w:tcPr>
          <w:p>
            <w:r>
              <w:rPr>
                <w:sz w:val="16"/>
              </w:rPr>
              <w:t>Becoming the system of record for every bank transaction.</w:t>
            </w:r>
          </w:p>
        </w:tc>
      </w:tr>
      <w:tr>
        <w:tc>
          <w:tcPr>
            <w:tcW w:type="dxa" w:w="5112"/>
            <w:vAlign w:val="top"/>
          </w:tcPr>
          <w:p>
            <w:r>
              <w:rPr>
                <w:sz w:val="16"/>
              </w:rPr>
              <w:t>Provide branch, head-office, IT, concurrent and thematic audit workflows.</w:t>
            </w:r>
          </w:p>
        </w:tc>
        <w:tc>
          <w:tcPr>
            <w:tcW w:type="dxa" w:w="5112"/>
            <w:vAlign w:val="top"/>
          </w:tcPr>
          <w:p>
            <w:r>
              <w:rPr>
                <w:sz w:val="16"/>
              </w:rPr>
              <w:t>Autonomous AI decisions that close findings or issue audit opinions without human approval.</w:t>
            </w:r>
          </w:p>
        </w:tc>
      </w:tr>
      <w:tr>
        <w:tc>
          <w:tcPr>
            <w:tcW w:type="dxa" w:w="5112"/>
            <w:vAlign w:val="top"/>
          </w:tcPr>
          <w:p>
            <w:r>
              <w:rPr>
                <w:sz w:val="16"/>
              </w:rPr>
              <w:t>Centralise evidence, workpapers, findings and remediation.</w:t>
            </w:r>
          </w:p>
        </w:tc>
        <w:tc>
          <w:tcPr>
            <w:tcW w:type="dxa" w:w="5112"/>
            <w:vAlign w:val="top"/>
          </w:tcPr>
          <w:p>
            <w:r>
              <w:rPr>
                <w:sz w:val="16"/>
              </w:rPr>
              <w:t>A general-purpose ERP/accounting system.</w:t>
            </w:r>
          </w:p>
        </w:tc>
      </w:tr>
      <w:tr>
        <w:tc>
          <w:tcPr>
            <w:tcW w:type="dxa" w:w="5112"/>
            <w:vAlign w:val="top"/>
          </w:tcPr>
          <w:p>
            <w:r>
              <w:rPr>
                <w:sz w:val="16"/>
              </w:rPr>
              <w:t>Support CAAT via APIs, database extracts, files and scheduled data feeds.</w:t>
            </w:r>
          </w:p>
        </w:tc>
        <w:tc>
          <w:tcPr>
            <w:tcW w:type="dxa" w:w="5112"/>
            <w:vAlign w:val="top"/>
          </w:tcPr>
          <w:p>
            <w:r>
              <w:rPr>
                <w:sz w:val="16"/>
              </w:rPr>
              <w:t>Guaranteed fraud detection; all AI outputs are risk signals requiring validation.</w:t>
            </w:r>
          </w:p>
        </w:tc>
      </w:tr>
      <w:tr>
        <w:tc>
          <w:tcPr>
            <w:tcW w:type="dxa" w:w="5112"/>
            <w:vAlign w:val="top"/>
          </w:tcPr>
          <w:p>
            <w:r>
              <w:rPr>
                <w:sz w:val="16"/>
              </w:rPr>
              <w:t>Provide premium AI/ML anomaly and risk intelligence.</w:t>
            </w:r>
          </w:p>
        </w:tc>
        <w:tc>
          <w:tcPr>
            <w:tcW w:type="dxa" w:w="5112"/>
            <w:vAlign w:val="top"/>
          </w:tcPr>
          <w:p>
            <w:r>
              <w:rPr>
                <w:sz w:val="16"/>
              </w:rPr>
              <w:t>A replacement for professional auditor judgement.</w:t>
            </w:r>
          </w:p>
        </w:tc>
      </w:tr>
    </w:tbl>
    <w:p>
      <w:pPr>
        <w:pStyle w:val="Heading1"/>
      </w:pPr>
      <w:r>
        <w:t>5. User Roles &amp; Segregation of Duties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Role</w:t>
            </w:r>
          </w:p>
        </w:tc>
        <w:tc>
          <w:tcPr>
            <w:tcW w:type="dxa" w:w="5112"/>
            <w:shd w:fill="D9EAF7"/>
            <w:vAlign w:val="center"/>
          </w:tcPr>
          <w:p>
            <w:r>
              <w:rPr>
                <w:b/>
                <w:sz w:val="16"/>
              </w:rPr>
              <w:t>Primary capabilities</w:t>
            </w:r>
          </w:p>
        </w:tc>
      </w:tr>
      <w:tr>
        <w:tc>
          <w:tcPr>
            <w:tcW w:type="dxa" w:w="5112"/>
            <w:vAlign w:val="top"/>
          </w:tcPr>
          <w:p>
            <w:r>
              <w:rPr>
                <w:sz w:val="16"/>
              </w:rPr>
              <w:t>Board / Audit Committee</w:t>
            </w:r>
          </w:p>
        </w:tc>
        <w:tc>
          <w:tcPr>
            <w:tcW w:type="dxa" w:w="5112"/>
            <w:vAlign w:val="top"/>
          </w:tcPr>
          <w:p>
            <w:r>
              <w:rPr>
                <w:sz w:val="16"/>
              </w:rPr>
              <w:t>Read-only dashboards, approved audit plan, high-risk findings, overdue remediation, executive reports.</w:t>
            </w:r>
          </w:p>
        </w:tc>
      </w:tr>
      <w:tr>
        <w:tc>
          <w:tcPr>
            <w:tcW w:type="dxa" w:w="5112"/>
            <w:vAlign w:val="top"/>
          </w:tcPr>
          <w:p>
            <w:r>
              <w:rPr>
                <w:sz w:val="16"/>
              </w:rPr>
              <w:t>Chief Audit Executive (CAE)</w:t>
            </w:r>
          </w:p>
        </w:tc>
        <w:tc>
          <w:tcPr>
            <w:tcW w:type="dxa" w:w="5112"/>
            <w:vAlign w:val="top"/>
          </w:tcPr>
          <w:p>
            <w:r>
              <w:rPr>
                <w:sz w:val="16"/>
              </w:rPr>
              <w:t>Audit universe, risk methodology, annual plan, resource allocation, approvals, final reports, quality oversight.</w:t>
            </w:r>
          </w:p>
        </w:tc>
      </w:tr>
      <w:tr>
        <w:tc>
          <w:tcPr>
            <w:tcW w:type="dxa" w:w="5112"/>
            <w:vAlign w:val="top"/>
          </w:tcPr>
          <w:p>
            <w:r>
              <w:rPr>
                <w:sz w:val="16"/>
              </w:rPr>
              <w:t>Head of Internal Audit</w:t>
            </w:r>
          </w:p>
        </w:tc>
        <w:tc>
          <w:tcPr>
            <w:tcW w:type="dxa" w:w="5112"/>
            <w:vAlign w:val="top"/>
          </w:tcPr>
          <w:p>
            <w:r>
              <w:rPr>
                <w:sz w:val="16"/>
              </w:rPr>
              <w:t>Engagement assignment, planning, review, findings, action plans, dashboards.</w:t>
            </w:r>
          </w:p>
        </w:tc>
      </w:tr>
      <w:tr>
        <w:tc>
          <w:tcPr>
            <w:tcW w:type="dxa" w:w="5112"/>
            <w:vAlign w:val="top"/>
          </w:tcPr>
          <w:p>
            <w:r>
              <w:rPr>
                <w:sz w:val="16"/>
              </w:rPr>
              <w:t>Audit Manager / Team Lead</w:t>
            </w:r>
          </w:p>
        </w:tc>
        <w:tc>
          <w:tcPr>
            <w:tcW w:type="dxa" w:w="5112"/>
            <w:vAlign w:val="top"/>
          </w:tcPr>
          <w:p>
            <w:r>
              <w:rPr>
                <w:sz w:val="16"/>
              </w:rPr>
              <w:t>Engagement scope, procedures, team assignment, fieldwork review, findings and report preparation.</w:t>
            </w:r>
          </w:p>
        </w:tc>
      </w:tr>
      <w:tr>
        <w:tc>
          <w:tcPr>
            <w:tcW w:type="dxa" w:w="5112"/>
            <w:vAlign w:val="top"/>
          </w:tcPr>
          <w:p>
            <w:r>
              <w:rPr>
                <w:sz w:val="16"/>
              </w:rPr>
              <w:t>Auditor</w:t>
            </w:r>
          </w:p>
        </w:tc>
        <w:tc>
          <w:tcPr>
            <w:tcW w:type="dxa" w:w="5112"/>
            <w:vAlign w:val="top"/>
          </w:tcPr>
          <w:p>
            <w:r>
              <w:rPr>
                <w:sz w:val="16"/>
              </w:rPr>
              <w:t>Assigned workpapers, tests, evidence collection, observations, findings and recommendations.</w:t>
            </w:r>
          </w:p>
        </w:tc>
      </w:tr>
      <w:tr>
        <w:tc>
          <w:tcPr>
            <w:tcW w:type="dxa" w:w="5112"/>
            <w:vAlign w:val="top"/>
          </w:tcPr>
          <w:p>
            <w:r>
              <w:rPr>
                <w:sz w:val="16"/>
              </w:rPr>
              <w:t>Concurrent Auditor</w:t>
            </w:r>
          </w:p>
        </w:tc>
        <w:tc>
          <w:tcPr>
            <w:tcW w:type="dxa" w:w="5112"/>
            <w:vAlign w:val="top"/>
          </w:tcPr>
          <w:p>
            <w:r>
              <w:rPr>
                <w:sz w:val="16"/>
              </w:rPr>
              <w:t>Real-time/periodic branch transaction reviews, exceptions, evidence and escalation.</w:t>
            </w:r>
          </w:p>
        </w:tc>
      </w:tr>
      <w:tr>
        <w:tc>
          <w:tcPr>
            <w:tcW w:type="dxa" w:w="5112"/>
            <w:vAlign w:val="top"/>
          </w:tcPr>
          <w:p>
            <w:r>
              <w:rPr>
                <w:sz w:val="16"/>
              </w:rPr>
              <w:t>Branch / Process Owner</w:t>
            </w:r>
          </w:p>
        </w:tc>
        <w:tc>
          <w:tcPr>
            <w:tcW w:type="dxa" w:w="5112"/>
            <w:vAlign w:val="top"/>
          </w:tcPr>
          <w:p>
            <w:r>
              <w:rPr>
                <w:sz w:val="16"/>
              </w:rPr>
              <w:t>Respond to audit requests, upload evidence, management responses and remediation updates.</w:t>
            </w:r>
          </w:p>
        </w:tc>
      </w:tr>
      <w:tr>
        <w:tc>
          <w:tcPr>
            <w:tcW w:type="dxa" w:w="5112"/>
            <w:vAlign w:val="top"/>
          </w:tcPr>
          <w:p>
            <w:r>
              <w:rPr>
                <w:sz w:val="16"/>
              </w:rPr>
              <w:t>Risk Management</w:t>
            </w:r>
          </w:p>
        </w:tc>
        <w:tc>
          <w:tcPr>
            <w:tcW w:type="dxa" w:w="5112"/>
            <w:vAlign w:val="top"/>
          </w:tcPr>
          <w:p>
            <w:r>
              <w:rPr>
                <w:sz w:val="16"/>
              </w:rPr>
              <w:t>Risk register, risk assessments, KRI data, control mapping and risk dashboards.</w:t>
            </w:r>
          </w:p>
        </w:tc>
      </w:tr>
      <w:tr>
        <w:tc>
          <w:tcPr>
            <w:tcW w:type="dxa" w:w="5112"/>
            <w:vAlign w:val="top"/>
          </w:tcPr>
          <w:p>
            <w:r>
              <w:rPr>
                <w:sz w:val="16"/>
              </w:rPr>
              <w:t>Compliance</w:t>
            </w:r>
          </w:p>
        </w:tc>
        <w:tc>
          <w:tcPr>
            <w:tcW w:type="dxa" w:w="5112"/>
            <w:vAlign w:val="top"/>
          </w:tcPr>
          <w:p>
            <w:r>
              <w:rPr>
                <w:sz w:val="16"/>
              </w:rPr>
              <w:t>Regulatory obligations, compliance testing, breach/exception tracking and attestations.</w:t>
            </w:r>
          </w:p>
        </w:tc>
      </w:tr>
      <w:tr>
        <w:tc>
          <w:tcPr>
            <w:tcW w:type="dxa" w:w="5112"/>
            <w:vAlign w:val="top"/>
          </w:tcPr>
          <w:p>
            <w:r>
              <w:rPr>
                <w:sz w:val="16"/>
              </w:rPr>
              <w:t>IT / System Admin</w:t>
            </w:r>
          </w:p>
        </w:tc>
        <w:tc>
          <w:tcPr>
            <w:tcW w:type="dxa" w:w="5112"/>
            <w:vAlign w:val="top"/>
          </w:tcPr>
          <w:p>
            <w:r>
              <w:rPr>
                <w:sz w:val="16"/>
              </w:rPr>
              <w:t>Users, roles, configuration, integrations, audit logs, security and technical settings; cannot alter audit conclusions.</w:t>
            </w:r>
          </w:p>
        </w:tc>
      </w:tr>
      <w:tr>
        <w:tc>
          <w:tcPr>
            <w:tcW w:type="dxa" w:w="5112"/>
            <w:vAlign w:val="top"/>
          </w:tcPr>
          <w:p>
            <w:r>
              <w:rPr>
                <w:sz w:val="16"/>
              </w:rPr>
              <w:t>Model/Risk Admin</w:t>
            </w:r>
          </w:p>
        </w:tc>
        <w:tc>
          <w:tcPr>
            <w:tcW w:type="dxa" w:w="5112"/>
            <w:vAlign w:val="top"/>
          </w:tcPr>
          <w:p>
            <w:r>
              <w:rPr>
                <w:sz w:val="16"/>
              </w:rPr>
              <w:t>AI model configuration, thresholds, validation, model versions and monitoring; cannot approve audit findings.</w:t>
            </w:r>
          </w:p>
        </w:tc>
      </w:tr>
      <w:tr>
        <w:tc>
          <w:tcPr>
            <w:tcW w:type="dxa" w:w="5112"/>
            <w:vAlign w:val="top"/>
          </w:tcPr>
          <w:p>
            <w:r>
              <w:rPr>
                <w:sz w:val="16"/>
              </w:rPr>
              <w:t>External Auditor / Regulator (optional)</w:t>
            </w:r>
          </w:p>
        </w:tc>
        <w:tc>
          <w:tcPr>
            <w:tcW w:type="dxa" w:w="5112"/>
            <w:vAlign w:val="top"/>
          </w:tcPr>
          <w:p>
            <w:r>
              <w:rPr>
                <w:sz w:val="16"/>
              </w:rPr>
              <w:t>Time-bound, read-only access to approved audit records/evidence.</w:t>
            </w:r>
          </w:p>
        </w:tc>
      </w:tr>
    </w:tbl>
    <w:p>
      <w:pPr>
        <w:pStyle w:val="Heading1"/>
      </w:pPr>
      <w:r>
        <w:t>6. Functional Scope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ID</w:t>
            </w:r>
          </w:p>
        </w:tc>
        <w:tc>
          <w:tcPr>
            <w:tcW w:type="dxa" w:w="3408"/>
            <w:shd w:fill="D9EAF7"/>
            <w:vAlign w:val="center"/>
          </w:tcPr>
          <w:p>
            <w:r>
              <w:rPr>
                <w:b/>
                <w:sz w:val="16"/>
              </w:rPr>
              <w:t>Module</w:t>
            </w:r>
          </w:p>
        </w:tc>
        <w:tc>
          <w:tcPr>
            <w:tcW w:type="dxa" w:w="3408"/>
            <w:shd w:fill="D9EAF7"/>
            <w:vAlign w:val="center"/>
          </w:tcPr>
          <w:p>
            <w:r>
              <w:rPr>
                <w:b/>
                <w:sz w:val="16"/>
              </w:rPr>
              <w:t>Scope</w:t>
            </w:r>
          </w:p>
        </w:tc>
      </w:tr>
      <w:tr>
        <w:tc>
          <w:tcPr>
            <w:tcW w:type="dxa" w:w="3408"/>
            <w:vAlign w:val="top"/>
          </w:tcPr>
          <w:p>
            <w:r>
              <w:rPr>
                <w:sz w:val="16"/>
              </w:rPr>
              <w:t>M01</w:t>
            </w:r>
          </w:p>
        </w:tc>
        <w:tc>
          <w:tcPr>
            <w:tcW w:type="dxa" w:w="3408"/>
            <w:vAlign w:val="top"/>
          </w:tcPr>
          <w:p>
            <w:r>
              <w:rPr>
                <w:sz w:val="16"/>
              </w:rPr>
              <w:t>Organisation &amp; Master Data</w:t>
            </w:r>
          </w:p>
        </w:tc>
        <w:tc>
          <w:tcPr>
            <w:tcW w:type="dxa" w:w="3408"/>
            <w:vAlign w:val="top"/>
          </w:tcPr>
          <w:p>
            <w:r>
              <w:rPr>
                <w:sz w:val="16"/>
              </w:rPr>
              <w:t>Bank hierarchy, branches, departments, products, processes, users, roles, risk taxonomy, audit types, calendars.</w:t>
            </w:r>
          </w:p>
        </w:tc>
      </w:tr>
      <w:tr>
        <w:tc>
          <w:tcPr>
            <w:tcW w:type="dxa" w:w="3408"/>
            <w:vAlign w:val="top"/>
          </w:tcPr>
          <w:p>
            <w:r>
              <w:rPr>
                <w:sz w:val="16"/>
              </w:rPr>
              <w:t>M02</w:t>
            </w:r>
          </w:p>
        </w:tc>
        <w:tc>
          <w:tcPr>
            <w:tcW w:type="dxa" w:w="3408"/>
            <w:vAlign w:val="top"/>
          </w:tcPr>
          <w:p>
            <w:r>
              <w:rPr>
                <w:sz w:val="16"/>
              </w:rPr>
              <w:t>Audit Universe</w:t>
            </w:r>
          </w:p>
        </w:tc>
        <w:tc>
          <w:tcPr>
            <w:tcW w:type="dxa" w:w="3408"/>
            <w:vAlign w:val="top"/>
          </w:tcPr>
          <w:p>
            <w:r>
              <w:rPr>
                <w:sz w:val="16"/>
              </w:rPr>
              <w:t>Hierarchical auditable entities, processes, products, systems, branches, risk/control relationships and audit history.</w:t>
            </w:r>
          </w:p>
        </w:tc>
      </w:tr>
      <w:tr>
        <w:tc>
          <w:tcPr>
            <w:tcW w:type="dxa" w:w="3408"/>
            <w:vAlign w:val="top"/>
          </w:tcPr>
          <w:p>
            <w:r>
              <w:rPr>
                <w:sz w:val="16"/>
              </w:rPr>
              <w:t>M03</w:t>
            </w:r>
          </w:p>
        </w:tc>
        <w:tc>
          <w:tcPr>
            <w:tcW w:type="dxa" w:w="3408"/>
            <w:vAlign w:val="top"/>
          </w:tcPr>
          <w:p>
            <w:r>
              <w:rPr>
                <w:sz w:val="16"/>
              </w:rPr>
              <w:t>Risk Assessment &amp; Scoring</w:t>
            </w:r>
          </w:p>
        </w:tc>
        <w:tc>
          <w:tcPr>
            <w:tcW w:type="dxa" w:w="3408"/>
            <w:vAlign w:val="top"/>
          </w:tcPr>
          <w:p>
            <w:r>
              <w:rPr>
                <w:sz w:val="16"/>
              </w:rPr>
              <w:t>Inherent/residual risk, likelihood/impact, control effectiveness, risk factors, management assessment, dynamic risk scores.</w:t>
            </w:r>
          </w:p>
        </w:tc>
      </w:tr>
      <w:tr>
        <w:tc>
          <w:tcPr>
            <w:tcW w:type="dxa" w:w="3408"/>
            <w:vAlign w:val="top"/>
          </w:tcPr>
          <w:p>
            <w:r>
              <w:rPr>
                <w:sz w:val="16"/>
              </w:rPr>
              <w:t>M04</w:t>
            </w:r>
          </w:p>
        </w:tc>
        <w:tc>
          <w:tcPr>
            <w:tcW w:type="dxa" w:w="3408"/>
            <w:vAlign w:val="top"/>
          </w:tcPr>
          <w:p>
            <w:r>
              <w:rPr>
                <w:sz w:val="16"/>
              </w:rPr>
              <w:t>Audit Planning</w:t>
            </w:r>
          </w:p>
        </w:tc>
        <w:tc>
          <w:tcPr>
            <w:tcW w:type="dxa" w:w="3408"/>
            <w:vAlign w:val="top"/>
          </w:tcPr>
          <w:p>
            <w:r>
              <w:rPr>
                <w:sz w:val="16"/>
              </w:rPr>
              <w:t>Annual/quarterly plans, risk-based prioritisation, coverage map, resource planning, approvals and plan changes.</w:t>
            </w:r>
          </w:p>
        </w:tc>
      </w:tr>
      <w:tr>
        <w:tc>
          <w:tcPr>
            <w:tcW w:type="dxa" w:w="3408"/>
            <w:vAlign w:val="top"/>
          </w:tcPr>
          <w:p>
            <w:r>
              <w:rPr>
                <w:sz w:val="16"/>
              </w:rPr>
              <w:t>M05</w:t>
            </w:r>
          </w:p>
        </w:tc>
        <w:tc>
          <w:tcPr>
            <w:tcW w:type="dxa" w:w="3408"/>
            <w:vAlign w:val="top"/>
          </w:tcPr>
          <w:p>
            <w:r>
              <w:rPr>
                <w:sz w:val="16"/>
              </w:rPr>
              <w:t>Engagement Management</w:t>
            </w:r>
          </w:p>
        </w:tc>
        <w:tc>
          <w:tcPr>
            <w:tcW w:type="dxa" w:w="3408"/>
            <w:vAlign w:val="top"/>
          </w:tcPr>
          <w:p>
            <w:r>
              <w:rPr>
                <w:sz w:val="16"/>
              </w:rPr>
              <w:t>Audit initiation, scope, objectives, team, dates, risk/control mapping, audit program, milestones.</w:t>
            </w:r>
          </w:p>
        </w:tc>
      </w:tr>
      <w:tr>
        <w:tc>
          <w:tcPr>
            <w:tcW w:type="dxa" w:w="3408"/>
            <w:vAlign w:val="top"/>
          </w:tcPr>
          <w:p>
            <w:r>
              <w:rPr>
                <w:sz w:val="16"/>
              </w:rPr>
              <w:t>M06</w:t>
            </w:r>
          </w:p>
        </w:tc>
        <w:tc>
          <w:tcPr>
            <w:tcW w:type="dxa" w:w="3408"/>
            <w:vAlign w:val="top"/>
          </w:tcPr>
          <w:p>
            <w:r>
              <w:rPr>
                <w:sz w:val="16"/>
              </w:rPr>
              <w:t>Fieldwork &amp; Workpapers</w:t>
            </w:r>
          </w:p>
        </w:tc>
        <w:tc>
          <w:tcPr>
            <w:tcW w:type="dxa" w:w="3408"/>
            <w:vAlign w:val="top"/>
          </w:tcPr>
          <w:p>
            <w:r>
              <w:rPr>
                <w:sz w:val="16"/>
              </w:rPr>
              <w:t>Procedures, samples, tests, evidence, observations, reviewer notes, sign-off, versioning and cross-referencing.</w:t>
            </w:r>
          </w:p>
        </w:tc>
      </w:tr>
      <w:tr>
        <w:tc>
          <w:tcPr>
            <w:tcW w:type="dxa" w:w="3408"/>
            <w:vAlign w:val="top"/>
          </w:tcPr>
          <w:p>
            <w:r>
              <w:rPr>
                <w:sz w:val="16"/>
              </w:rPr>
              <w:t>M07</w:t>
            </w:r>
          </w:p>
        </w:tc>
        <w:tc>
          <w:tcPr>
            <w:tcW w:type="dxa" w:w="3408"/>
            <w:vAlign w:val="top"/>
          </w:tcPr>
          <w:p>
            <w:r>
              <w:rPr>
                <w:sz w:val="16"/>
              </w:rPr>
              <w:t>Branch &amp; Concurrent Audit</w:t>
            </w:r>
          </w:p>
        </w:tc>
        <w:tc>
          <w:tcPr>
            <w:tcW w:type="dxa" w:w="3408"/>
            <w:vAlign w:val="top"/>
          </w:tcPr>
          <w:p>
            <w:r>
              <w:rPr>
                <w:sz w:val="16"/>
              </w:rPr>
              <w:t>Branch checklists, cash/vault, operations, loans, trade, AML/CFT, IT controls, concurrent exceptions and escalations.</w:t>
            </w:r>
          </w:p>
        </w:tc>
      </w:tr>
      <w:tr>
        <w:tc>
          <w:tcPr>
            <w:tcW w:type="dxa" w:w="3408"/>
            <w:vAlign w:val="top"/>
          </w:tcPr>
          <w:p>
            <w:r>
              <w:rPr>
                <w:sz w:val="16"/>
              </w:rPr>
              <w:t>M08</w:t>
            </w:r>
          </w:p>
        </w:tc>
        <w:tc>
          <w:tcPr>
            <w:tcW w:type="dxa" w:w="3408"/>
            <w:vAlign w:val="top"/>
          </w:tcPr>
          <w:p>
            <w:r>
              <w:rPr>
                <w:sz w:val="16"/>
              </w:rPr>
              <w:t>Findings &amp; Issues</w:t>
            </w:r>
          </w:p>
        </w:tc>
        <w:tc>
          <w:tcPr>
            <w:tcW w:type="dxa" w:w="3408"/>
            <w:vAlign w:val="top"/>
          </w:tcPr>
          <w:p>
            <w:r>
              <w:rPr>
                <w:sz w:val="16"/>
              </w:rPr>
              <w:t>Finding lifecycle, severity, root cause, impact, recommendation, management response, due date, owner and closure evidence.</w:t>
            </w:r>
          </w:p>
        </w:tc>
      </w:tr>
      <w:tr>
        <w:tc>
          <w:tcPr>
            <w:tcW w:type="dxa" w:w="3408"/>
            <w:vAlign w:val="top"/>
          </w:tcPr>
          <w:p>
            <w:r>
              <w:rPr>
                <w:sz w:val="16"/>
              </w:rPr>
              <w:t>M09</w:t>
            </w:r>
          </w:p>
        </w:tc>
        <w:tc>
          <w:tcPr>
            <w:tcW w:type="dxa" w:w="3408"/>
            <w:vAlign w:val="top"/>
          </w:tcPr>
          <w:p>
            <w:r>
              <w:rPr>
                <w:sz w:val="16"/>
              </w:rPr>
              <w:t>CAPA / Remediation</w:t>
            </w:r>
          </w:p>
        </w:tc>
        <w:tc>
          <w:tcPr>
            <w:tcW w:type="dxa" w:w="3408"/>
            <w:vAlign w:val="top"/>
          </w:tcPr>
          <w:p>
            <w:r>
              <w:rPr>
                <w:sz w:val="16"/>
              </w:rPr>
              <w:t>Corrective action plans, milestones, overdue escalation, validation and closure approval.</w:t>
            </w:r>
          </w:p>
        </w:tc>
      </w:tr>
      <w:tr>
        <w:tc>
          <w:tcPr>
            <w:tcW w:type="dxa" w:w="3408"/>
            <w:vAlign w:val="top"/>
          </w:tcPr>
          <w:p>
            <w:r>
              <w:rPr>
                <w:sz w:val="16"/>
              </w:rPr>
              <w:t>M10</w:t>
            </w:r>
          </w:p>
        </w:tc>
        <w:tc>
          <w:tcPr>
            <w:tcW w:type="dxa" w:w="3408"/>
            <w:vAlign w:val="top"/>
          </w:tcPr>
          <w:p>
            <w:r>
              <w:rPr>
                <w:sz w:val="16"/>
              </w:rPr>
              <w:t>Internal Control / RCM</w:t>
            </w:r>
          </w:p>
        </w:tc>
        <w:tc>
          <w:tcPr>
            <w:tcW w:type="dxa" w:w="3408"/>
            <w:vAlign w:val="top"/>
          </w:tcPr>
          <w:p>
            <w:r>
              <w:rPr>
                <w:sz w:val="16"/>
              </w:rPr>
              <w:t>Risk-control matrices, control owners, frequency, evidence, testing, effectiveness and deficiencies.</w:t>
            </w:r>
          </w:p>
        </w:tc>
      </w:tr>
      <w:tr>
        <w:tc>
          <w:tcPr>
            <w:tcW w:type="dxa" w:w="3408"/>
            <w:vAlign w:val="top"/>
          </w:tcPr>
          <w:p>
            <w:r>
              <w:rPr>
                <w:sz w:val="16"/>
              </w:rPr>
              <w:t>M11</w:t>
            </w:r>
          </w:p>
        </w:tc>
        <w:tc>
          <w:tcPr>
            <w:tcW w:type="dxa" w:w="3408"/>
            <w:vAlign w:val="top"/>
          </w:tcPr>
          <w:p>
            <w:r>
              <w:rPr>
                <w:sz w:val="16"/>
              </w:rPr>
              <w:t>Regulatory Compliance</w:t>
            </w:r>
          </w:p>
        </w:tc>
        <w:tc>
          <w:tcPr>
            <w:tcW w:type="dxa" w:w="3408"/>
            <w:vAlign w:val="top"/>
          </w:tcPr>
          <w:p>
            <w:r>
              <w:rPr>
                <w:sz w:val="16"/>
              </w:rPr>
              <w:t>Obligation library, regulatory mapping, compliance testing, evidence, exceptions, attestations and action plans.</w:t>
            </w:r>
          </w:p>
        </w:tc>
      </w:tr>
      <w:tr>
        <w:tc>
          <w:tcPr>
            <w:tcW w:type="dxa" w:w="3408"/>
            <w:vAlign w:val="top"/>
          </w:tcPr>
          <w:p>
            <w:r>
              <w:rPr>
                <w:sz w:val="16"/>
              </w:rPr>
              <w:t>M12</w:t>
            </w:r>
          </w:p>
        </w:tc>
        <w:tc>
          <w:tcPr>
            <w:tcW w:type="dxa" w:w="3408"/>
            <w:vAlign w:val="top"/>
          </w:tcPr>
          <w:p>
            <w:r>
              <w:rPr>
                <w:sz w:val="16"/>
              </w:rPr>
              <w:t>CAAT Data Hub</w:t>
            </w:r>
          </w:p>
        </w:tc>
        <w:tc>
          <w:tcPr>
            <w:tcW w:type="dxa" w:w="3408"/>
            <w:vAlign w:val="top"/>
          </w:tcPr>
          <w:p>
            <w:r>
              <w:rPr>
                <w:sz w:val="16"/>
              </w:rPr>
              <w:t>Data ingestion, mapping, data quality, query/rule engine, audit analytics and exception generation.</w:t>
            </w:r>
          </w:p>
        </w:tc>
      </w:tr>
      <w:tr>
        <w:tc>
          <w:tcPr>
            <w:tcW w:type="dxa" w:w="3408"/>
            <w:vAlign w:val="top"/>
          </w:tcPr>
          <w:p>
            <w:r>
              <w:rPr>
                <w:sz w:val="16"/>
              </w:rPr>
              <w:t>M13</w:t>
            </w:r>
          </w:p>
        </w:tc>
        <w:tc>
          <w:tcPr>
            <w:tcW w:type="dxa" w:w="3408"/>
            <w:vAlign w:val="top"/>
          </w:tcPr>
          <w:p>
            <w:r>
              <w:rPr>
                <w:sz w:val="16"/>
              </w:rPr>
              <w:t>AI/ML Intelligence – Premium</w:t>
            </w:r>
          </w:p>
        </w:tc>
        <w:tc>
          <w:tcPr>
            <w:tcW w:type="dxa" w:w="3408"/>
            <w:vAlign w:val="top"/>
          </w:tcPr>
          <w:p>
            <w:r>
              <w:rPr>
                <w:sz w:val="16"/>
              </w:rPr>
              <w:t>Anomaly detection, risk prediction, peer comparison, entity risk scoring, explainability, model governance.</w:t>
            </w:r>
          </w:p>
        </w:tc>
      </w:tr>
      <w:tr>
        <w:tc>
          <w:tcPr>
            <w:tcW w:type="dxa" w:w="3408"/>
            <w:vAlign w:val="top"/>
          </w:tcPr>
          <w:p>
            <w:r>
              <w:rPr>
                <w:sz w:val="16"/>
              </w:rPr>
              <w:t>M14</w:t>
            </w:r>
          </w:p>
        </w:tc>
        <w:tc>
          <w:tcPr>
            <w:tcW w:type="dxa" w:w="3408"/>
            <w:vAlign w:val="top"/>
          </w:tcPr>
          <w:p>
            <w:r>
              <w:rPr>
                <w:sz w:val="16"/>
              </w:rPr>
              <w:t>Reporting &amp; Dashboards</w:t>
            </w:r>
          </w:p>
        </w:tc>
        <w:tc>
          <w:tcPr>
            <w:tcW w:type="dxa" w:w="3408"/>
            <w:vAlign w:val="top"/>
          </w:tcPr>
          <w:p>
            <w:r>
              <w:rPr>
                <w:sz w:val="16"/>
              </w:rPr>
              <w:t>Audit plan progress, findings, risk heatmaps, branch rankings, overdue actions, CAAT exceptions, AI alerts.</w:t>
            </w:r>
          </w:p>
        </w:tc>
      </w:tr>
      <w:tr>
        <w:tc>
          <w:tcPr>
            <w:tcW w:type="dxa" w:w="3408"/>
            <w:vAlign w:val="top"/>
          </w:tcPr>
          <w:p>
            <w:r>
              <w:rPr>
                <w:sz w:val="16"/>
              </w:rPr>
              <w:t>M15</w:t>
            </w:r>
          </w:p>
        </w:tc>
        <w:tc>
          <w:tcPr>
            <w:tcW w:type="dxa" w:w="3408"/>
            <w:vAlign w:val="top"/>
          </w:tcPr>
          <w:p>
            <w:r>
              <w:rPr>
                <w:sz w:val="16"/>
              </w:rPr>
              <w:t>Notifications &amp; Workflow</w:t>
            </w:r>
          </w:p>
        </w:tc>
        <w:tc>
          <w:tcPr>
            <w:tcW w:type="dxa" w:w="3408"/>
            <w:vAlign w:val="top"/>
          </w:tcPr>
          <w:p>
            <w:r>
              <w:rPr>
                <w:sz w:val="16"/>
              </w:rPr>
              <w:t>Email/in-app/SMS optional, reminders, escalation, approvals, SLA timers and task queues.</w:t>
            </w:r>
          </w:p>
        </w:tc>
      </w:tr>
      <w:tr>
        <w:tc>
          <w:tcPr>
            <w:tcW w:type="dxa" w:w="3408"/>
            <w:vAlign w:val="top"/>
          </w:tcPr>
          <w:p>
            <w:r>
              <w:rPr>
                <w:sz w:val="16"/>
              </w:rPr>
              <w:t>M16</w:t>
            </w:r>
          </w:p>
        </w:tc>
        <w:tc>
          <w:tcPr>
            <w:tcW w:type="dxa" w:w="3408"/>
            <w:vAlign w:val="top"/>
          </w:tcPr>
          <w:p>
            <w:r>
              <w:rPr>
                <w:sz w:val="16"/>
              </w:rPr>
              <w:t>Administration &amp; Audit Trail</w:t>
            </w:r>
          </w:p>
        </w:tc>
        <w:tc>
          <w:tcPr>
            <w:tcW w:type="dxa" w:w="3408"/>
            <w:vAlign w:val="top"/>
          </w:tcPr>
          <w:p>
            <w:r>
              <w:rPr>
                <w:sz w:val="16"/>
              </w:rPr>
              <w:t>RBAC, SSO/MFA, configuration, immutable logs, retention, export and system monitoring.</w:t>
            </w:r>
          </w:p>
        </w:tc>
      </w:tr>
      <w:tr>
        <w:tc>
          <w:tcPr>
            <w:tcW w:type="dxa" w:w="3408"/>
            <w:vAlign w:val="top"/>
          </w:tcPr>
          <w:p>
            <w:r>
              <w:rPr>
                <w:sz w:val="16"/>
              </w:rPr>
              <w:t>M17</w:t>
            </w:r>
          </w:p>
        </w:tc>
        <w:tc>
          <w:tcPr>
            <w:tcW w:type="dxa" w:w="3408"/>
            <w:vAlign w:val="top"/>
          </w:tcPr>
          <w:p>
            <w:r>
              <w:rPr>
                <w:sz w:val="16"/>
              </w:rPr>
              <w:t>API &amp; Integration Layer</w:t>
            </w:r>
          </w:p>
        </w:tc>
        <w:tc>
          <w:tcPr>
            <w:tcW w:type="dxa" w:w="3408"/>
            <w:vAlign w:val="top"/>
          </w:tcPr>
          <w:p>
            <w:r>
              <w:rPr>
                <w:sz w:val="16"/>
              </w:rPr>
              <w:t>CBS, HRMS, LOS, LMS, GL/ERP, AML, treasury, card, payment rails, data warehouse, SIEM and document repositories.</w:t>
            </w:r>
          </w:p>
        </w:tc>
      </w:tr>
    </w:tbl>
    <w:p>
      <w:pPr>
        <w:pStyle w:val="Heading1"/>
      </w:pPr>
      <w:r>
        <w:t>7. Detailed Functional Requirements</w:t>
      </w:r>
    </w:p>
    <w:p>
      <w:pPr>
        <w:pStyle w:val="Heading2"/>
      </w:pPr>
      <w:r>
        <w:t>7.1 Organisation, Master Data &amp; RBAC</w:t>
      </w:r>
    </w:p>
    <w:p>
      <w:r>
        <w:rPr>
          <w:b/>
        </w:rPr>
        <w:t xml:space="preserve">FR-ORG-001 [Must] </w:t>
      </w:r>
      <w:r>
        <w:t>Support multi-level hierarchy: bank → region/zone → branch → department/unit → process → sub-process.</w:t>
      </w:r>
    </w:p>
    <w:p>
      <w:r>
        <w:rPr>
          <w:b/>
        </w:rPr>
        <w:t xml:space="preserve">FR-ORG-002 [Must] </w:t>
      </w:r>
      <w:r>
        <w:t>Support configurable audit types: branch, head-office, process, thematic, IT/IS, AML/CFT, credit, trade, treasury, concurrent and follow-up.</w:t>
      </w:r>
    </w:p>
    <w:p>
      <w:r>
        <w:rPr>
          <w:b/>
        </w:rPr>
        <w:t xml:space="preserve">FR-ORG-003 [Must] </w:t>
      </w:r>
      <w:r>
        <w:t>Support role-based and scope-based permissions (e.g., auditor can see assigned branches only).</w:t>
      </w:r>
    </w:p>
    <w:p>
      <w:r>
        <w:rPr>
          <w:b/>
        </w:rPr>
        <w:t xml:space="preserve">FR-ORG-004 [Must] </w:t>
      </w:r>
      <w:r>
        <w:t>Support maker-checker/dual control for high-impact configuration and approvals.</w:t>
      </w:r>
    </w:p>
    <w:p>
      <w:r>
        <w:rPr>
          <w:b/>
        </w:rPr>
        <w:t xml:space="preserve">FR-ORG-005 [Must] </w:t>
      </w:r>
      <w:r>
        <w:t>Maintain effective-dated user roles and organisational assignments so historical audit records retain the correct context.</w:t>
      </w:r>
    </w:p>
    <w:p>
      <w:pPr>
        <w:pStyle w:val="Heading2"/>
      </w:pPr>
      <w:r>
        <w:t>7.2 Audit Universe</w:t>
      </w:r>
    </w:p>
    <w:p>
      <w:r>
        <w:rPr>
          <w:b/>
        </w:rPr>
        <w:t xml:space="preserve">FR-AU-001 [Must] </w:t>
      </w:r>
      <w:r>
        <w:t>Create and maintain an audit universe containing auditable entities, processes, products, branches, systems and themes.</w:t>
      </w:r>
    </w:p>
    <w:p>
      <w:r>
        <w:rPr>
          <w:b/>
        </w:rPr>
        <w:t xml:space="preserve">FR-AU-002 [Must] </w:t>
      </w:r>
      <w:r>
        <w:t>Map each universe item to risks, controls, prior audits, findings, incidents and analytics signals.</w:t>
      </w:r>
    </w:p>
    <w:p>
      <w:r>
        <w:rPr>
          <w:b/>
        </w:rPr>
        <w:t xml:space="preserve">FR-AU-003 [Must] </w:t>
      </w:r>
      <w:r>
        <w:t>Maintain audit frequency and mandatory coverage rules.</w:t>
      </w:r>
    </w:p>
    <w:p>
      <w:r>
        <w:rPr>
          <w:b/>
        </w:rPr>
        <w:t xml:space="preserve">FR-AU-004 [Must] </w:t>
      </w:r>
      <w:r>
        <w:t>Display coverage gaps and stale risk assessments.</w:t>
      </w:r>
    </w:p>
    <w:p>
      <w:r>
        <w:rPr>
          <w:b/>
        </w:rPr>
        <w:t xml:space="preserve">FR-AU-005 [Must] </w:t>
      </w:r>
      <w:r>
        <w:t>Allow configurable audit universe templates for different bank types.</w:t>
      </w:r>
    </w:p>
    <w:p>
      <w:pPr>
        <w:pStyle w:val="Heading2"/>
      </w:pPr>
      <w:r>
        <w:t>7.3 Risk Assessment &amp; Risk-Based Planning</w:t>
      </w:r>
    </w:p>
    <w:p>
      <w:r>
        <w:rPr>
          <w:b/>
        </w:rPr>
        <w:t xml:space="preserve">FR-RISK-001 [Must] </w:t>
      </w:r>
      <w:r>
        <w:t>Support configurable risk dimensions including inherent risk, control effectiveness, residual risk, financial impact, regulatory impact, operational impact, customer impact, fraud risk, cyber/IT risk and management concern.</w:t>
      </w:r>
    </w:p>
    <w:p>
      <w:r>
        <w:rPr>
          <w:b/>
        </w:rPr>
        <w:t xml:space="preserve">FR-RISK-002 [Must] </w:t>
      </w:r>
      <w:r>
        <w:t>Allow weighted scoring models; administrators can configure scale, weights, thresholds and risk bands without code changes.</w:t>
      </w:r>
    </w:p>
    <w:p>
      <w:r>
        <w:rPr>
          <w:b/>
        </w:rPr>
        <w:t xml:space="preserve">FR-RISK-003 [Must] </w:t>
      </w:r>
      <w:r>
        <w:t>Calculate risk scores at branch, process, product, unit and enterprise level.</w:t>
      </w:r>
    </w:p>
    <w:p>
      <w:r>
        <w:rPr>
          <w:b/>
        </w:rPr>
        <w:t xml:space="preserve">FR-RISK-004 [Must] </w:t>
      </w:r>
      <w:r>
        <w:t>Incorporate prior findings, repeat findings, overdue actions, incident data, complaints and CAAT/AI signals as optional risk inputs.</w:t>
      </w:r>
    </w:p>
    <w:p>
      <w:r>
        <w:rPr>
          <w:b/>
        </w:rPr>
        <w:t xml:space="preserve">FR-RISK-005 [Must] </w:t>
      </w:r>
      <w:r>
        <w:t>Produce a ranked audit universe and recommended audit frequency.</w:t>
      </w:r>
    </w:p>
    <w:p>
      <w:r>
        <w:rPr>
          <w:b/>
        </w:rPr>
        <w:t xml:space="preserve">FR-PLAN-001 [Must] </w:t>
      </w:r>
      <w:r>
        <w:t>Create annual audit plans with proposed audits, objectives, risk rationale, resources, timing and estimated effort.</w:t>
      </w:r>
    </w:p>
    <w:p>
      <w:r>
        <w:rPr>
          <w:b/>
        </w:rPr>
        <w:t xml:space="preserve">FR-PLAN-002 [Must] </w:t>
      </w:r>
      <w:r>
        <w:t>Support quarterly/monthly plans derived from the approved annual plan.</w:t>
      </w:r>
    </w:p>
    <w:p>
      <w:r>
        <w:rPr>
          <w:b/>
        </w:rPr>
        <w:t xml:space="preserve">FR-PLAN-003 [Must] </w:t>
      </w:r>
      <w:r>
        <w:t>Require approval workflow for plan creation, modification and cancellation.</w:t>
      </w:r>
    </w:p>
    <w:p>
      <w:r>
        <w:rPr>
          <w:b/>
        </w:rPr>
        <w:t xml:space="preserve">FR-PLAN-004 [Must] </w:t>
      </w:r>
      <w:r>
        <w:t>Show planned vs actual coverage and risk coverage.</w:t>
      </w:r>
    </w:p>
    <w:p>
      <w:r>
        <w:rPr>
          <w:b/>
        </w:rPr>
        <w:t xml:space="preserve">FR-PLAN-005 [Must] </w:t>
      </w:r>
      <w:r>
        <w:t>Allow AI-generated planning suggestions as non-binding recommendations.</w:t>
      </w:r>
    </w:p>
    <w:p>
      <w:pPr>
        <w:pStyle w:val="Heading2"/>
      </w:pPr>
      <w:r>
        <w:t>7.4 Engagement Management</w:t>
      </w:r>
    </w:p>
    <w:p>
      <w:r>
        <w:rPr>
          <w:b/>
        </w:rPr>
        <w:t xml:space="preserve">FR-ENG-001 [Must] </w:t>
      </w:r>
      <w:r>
        <w:t>Create an engagement from an approved plan or as an ad-hoc engagement with appropriate approval.</w:t>
      </w:r>
    </w:p>
    <w:p>
      <w:r>
        <w:rPr>
          <w:b/>
        </w:rPr>
        <w:t xml:space="preserve">FR-ENG-002 [Must] </w:t>
      </w:r>
      <w:r>
        <w:t>Capture objective, scope, period, auditable unit, risks, controls, audit criteria, team, budget/effort and timetable.</w:t>
      </w:r>
    </w:p>
    <w:p>
      <w:r>
        <w:rPr>
          <w:b/>
        </w:rPr>
        <w:t xml:space="preserve">FR-ENG-003 [Must] </w:t>
      </w:r>
      <w:r>
        <w:t>Generate an engagement audit program from templates mapped to risk/control objectives.</w:t>
      </w:r>
    </w:p>
    <w:p>
      <w:r>
        <w:rPr>
          <w:b/>
        </w:rPr>
        <w:t xml:space="preserve">FR-ENG-004 [Must] </w:t>
      </w:r>
      <w:r>
        <w:t>Allow the engagement manager to add, remove or customise procedures with an audit trail.</w:t>
      </w:r>
    </w:p>
    <w:p>
      <w:r>
        <w:rPr>
          <w:b/>
        </w:rPr>
        <w:t xml:space="preserve">FR-ENG-005 [Must] </w:t>
      </w:r>
      <w:r>
        <w:t>Support engagement status: Draft → Approved → Planning → Fieldwork → Review → Draft Report → Management Response → Final → Follow-up → Closed.</w:t>
      </w:r>
    </w:p>
    <w:p>
      <w:pPr>
        <w:pStyle w:val="Heading2"/>
      </w:pPr>
      <w:r>
        <w:t>7.5 Fieldwork, Workpapers &amp; Evidence</w:t>
      </w:r>
    </w:p>
    <w:p>
      <w:r>
        <w:rPr>
          <w:b/>
        </w:rPr>
        <w:t xml:space="preserve">FR-WP-001 [Must] </w:t>
      </w:r>
      <w:r>
        <w:t>Provide structured workpapers for each audit procedure.</w:t>
      </w:r>
    </w:p>
    <w:p>
      <w:r>
        <w:rPr>
          <w:b/>
        </w:rPr>
        <w:t xml:space="preserve">FR-WP-002 [Must] </w:t>
      </w:r>
      <w:r>
        <w:t>Support evidence upload for PDF, Office documents, images, spreadsheets and configurable file types.</w:t>
      </w:r>
    </w:p>
    <w:p>
      <w:r>
        <w:rPr>
          <w:b/>
        </w:rPr>
        <w:t xml:space="preserve">FR-WP-003 [Must] </w:t>
      </w:r>
      <w:r>
        <w:t>Record evidence source, date, owner, hash/checksum, reviewer and linkage to procedure/finding.</w:t>
      </w:r>
    </w:p>
    <w:p>
      <w:r>
        <w:rPr>
          <w:b/>
        </w:rPr>
        <w:t xml:space="preserve">FR-WP-004 [Must] </w:t>
      </w:r>
      <w:r>
        <w:t>Support sample-based testing and full-population testing.</w:t>
      </w:r>
    </w:p>
    <w:p>
      <w:r>
        <w:rPr>
          <w:b/>
        </w:rPr>
        <w:t xml:space="preserve">FR-WP-005 [Must] </w:t>
      </w:r>
      <w:r>
        <w:t>Allow configurable sampling methods: random, systematic, stratified, monetary-unit and judgemental.</w:t>
      </w:r>
    </w:p>
    <w:p>
      <w:r>
        <w:rPr>
          <w:b/>
        </w:rPr>
        <w:t xml:space="preserve">FR-WP-006 [Must] </w:t>
      </w:r>
      <w:r>
        <w:t>Support reviewer notes, review status, clearance and re-submission.</w:t>
      </w:r>
    </w:p>
    <w:p>
      <w:r>
        <w:rPr>
          <w:b/>
        </w:rPr>
        <w:t xml:space="preserve">FR-WP-007 [Must] </w:t>
      </w:r>
      <w:r>
        <w:t>Version workpapers and preserve previous versions; completed/final workpapers must be tamper-evident.</w:t>
      </w:r>
    </w:p>
    <w:p>
      <w:r>
        <w:rPr>
          <w:b/>
        </w:rPr>
        <w:t xml:space="preserve">FR-WP-008 [Must] </w:t>
      </w:r>
      <w:r>
        <w:t>Support electronic sign-off and timestamped approval.</w:t>
      </w:r>
    </w:p>
    <w:p>
      <w:r>
        <w:rPr>
          <w:b/>
        </w:rPr>
        <w:t xml:space="preserve">FR-WP-009 [Must] </w:t>
      </w:r>
      <w:r>
        <w:t>Allow field auditors to use a responsive/mobile interface; offline capability is a future option.</w:t>
      </w:r>
    </w:p>
    <w:p>
      <w:pPr>
        <w:pStyle w:val="Heading2"/>
      </w:pPr>
      <w:r>
        <w:t>7.6 Branch &amp; Concurrent Audit</w:t>
      </w:r>
    </w:p>
    <w:p>
      <w:r>
        <w:rPr>
          <w:b/>
        </w:rPr>
        <w:t xml:space="preserve">FR-BR-001 [Must] </w:t>
      </w:r>
      <w:r>
        <w:t>Provide branch audit templates with configurable sections and checklists.</w:t>
      </w:r>
    </w:p>
    <w:p>
      <w:r>
        <w:rPr>
          <w:b/>
        </w:rPr>
        <w:t xml:space="preserve">FR-BR-002 [Must] </w:t>
      </w:r>
      <w:r>
        <w:t>Support recurring concurrent audit assignments and daily/weekly/monthly exception reporting.</w:t>
      </w:r>
    </w:p>
    <w:p>
      <w:r>
        <w:rPr>
          <w:b/>
        </w:rPr>
        <w:t xml:space="preserve">FR-BR-003 [Must] </w:t>
      </w:r>
      <w:r>
        <w:t>Support branch risk grading using configurable factors and weights.</w:t>
      </w:r>
    </w:p>
    <w:p>
      <w:r>
        <w:rPr>
          <w:b/>
        </w:rPr>
        <w:t xml:space="preserve">FR-BR-004 [Must] </w:t>
      </w:r>
      <w:r>
        <w:t>Support cash/vault, teller, clearing, account opening, loan operations, trade, foreign exchange, AML/CFT and IT checklists as configurable templates.</w:t>
      </w:r>
    </w:p>
    <w:p>
      <w:r>
        <w:rPr>
          <w:b/>
        </w:rPr>
        <w:t xml:space="preserve">FR-BR-005 [Must] </w:t>
      </w:r>
      <w:r>
        <w:t>Allow automatic pre-population of audit questions or exceptions from CAAT/AI results.</w:t>
      </w:r>
    </w:p>
    <w:p>
      <w:pPr>
        <w:pStyle w:val="Heading2"/>
      </w:pPr>
      <w:r>
        <w:t>7.7 Findings, Recommendations &amp; Remediation</w:t>
      </w:r>
    </w:p>
    <w:p>
      <w:r>
        <w:rPr>
          <w:b/>
        </w:rPr>
        <w:t xml:space="preserve">FR-FND-001 [Must] </w:t>
      </w:r>
      <w:r>
        <w:t>Create findings from workpapers, control tests, CAAT exceptions or manual observations.</w:t>
      </w:r>
    </w:p>
    <w:p>
      <w:r>
        <w:rPr>
          <w:b/>
        </w:rPr>
        <w:t xml:space="preserve">FR-FND-002 [Must] </w:t>
      </w:r>
      <w:r>
        <w:t>Classify finding severity using configurable Critical/High/Medium/Low or bank-specific scales.</w:t>
      </w:r>
    </w:p>
    <w:p>
      <w:r>
        <w:rPr>
          <w:b/>
        </w:rPr>
        <w:t xml:space="preserve">FR-FND-003 [Must] </w:t>
      </w:r>
      <w:r>
        <w:t>Capture condition, criteria, cause, consequence/risk, evidence, recommendation and management response.</w:t>
      </w:r>
    </w:p>
    <w:p>
      <w:r>
        <w:rPr>
          <w:b/>
        </w:rPr>
        <w:t xml:space="preserve">FR-FND-004 [Must] </w:t>
      </w:r>
      <w:r>
        <w:t>Assign action owner, target date, milestones and escalation path.</w:t>
      </w:r>
    </w:p>
    <w:p>
      <w:r>
        <w:rPr>
          <w:b/>
        </w:rPr>
        <w:t xml:space="preserve">FR-FND-005 [Must] </w:t>
      </w:r>
      <w:r>
        <w:t>Support management response acceptance/rejection and CAE approval.</w:t>
      </w:r>
    </w:p>
    <w:p>
      <w:r>
        <w:rPr>
          <w:b/>
        </w:rPr>
        <w:t xml:space="preserve">FR-FND-006 [Must] </w:t>
      </w:r>
      <w:r>
        <w:t>Prevent final closure without required closure evidence and authorised validation.</w:t>
      </w:r>
    </w:p>
    <w:p>
      <w:r>
        <w:rPr>
          <w:b/>
        </w:rPr>
        <w:t xml:space="preserve">FR-FND-007 [Must] </w:t>
      </w:r>
      <w:r>
        <w:t>Track repeat findings and automatically increase risk where configurable.</w:t>
      </w:r>
    </w:p>
    <w:p>
      <w:r>
        <w:rPr>
          <w:b/>
        </w:rPr>
        <w:t xml:space="preserve">FR-FND-008 [Must] </w:t>
      </w:r>
      <w:r>
        <w:t>Maintain complete finding history even when due dates, owners or classifications change.</w:t>
      </w:r>
    </w:p>
    <w:p>
      <w:pPr>
        <w:pStyle w:val="Heading2"/>
      </w:pPr>
      <w:r>
        <w:t>7.8 Risk &amp; Control Matrix</w:t>
      </w:r>
    </w:p>
    <w:p>
      <w:r>
        <w:rPr>
          <w:b/>
        </w:rPr>
        <w:t xml:space="preserve">FR-RCM-001 [Must] </w:t>
      </w:r>
      <w:r>
        <w:t>Maintain a central risk/control library with risk statements, control objectives, control descriptions, owners and frequencies.</w:t>
      </w:r>
    </w:p>
    <w:p>
      <w:r>
        <w:rPr>
          <w:b/>
        </w:rPr>
        <w:t xml:space="preserve">FR-RCM-002 [Must] </w:t>
      </w:r>
      <w:r>
        <w:t>Map controls to processes, risks, regulatory obligations and audit procedures.</w:t>
      </w:r>
    </w:p>
    <w:p>
      <w:r>
        <w:rPr>
          <w:b/>
        </w:rPr>
        <w:t xml:space="preserve">FR-RCM-003 [Must] </w:t>
      </w:r>
      <w:r>
        <w:t>Record control design assessment and operating effectiveness.</w:t>
      </w:r>
    </w:p>
    <w:p>
      <w:r>
        <w:rPr>
          <w:b/>
        </w:rPr>
        <w:t xml:space="preserve">FR-RCM-004 [Must] </w:t>
      </w:r>
      <w:r>
        <w:t>Support control testing results: Effective / Partially Effective / Ineffective / Not Tested.</w:t>
      </w:r>
    </w:p>
    <w:p>
      <w:r>
        <w:rPr>
          <w:b/>
        </w:rPr>
        <w:t xml:space="preserve">FR-RCM-005 [Must] </w:t>
      </w:r>
      <w:r>
        <w:t>Track key controls and overdue control attestations.</w:t>
      </w:r>
    </w:p>
    <w:p>
      <w:pPr>
        <w:pStyle w:val="Heading2"/>
      </w:pPr>
      <w:r>
        <w:t>7.9 Regulatory Compliance</w:t>
      </w:r>
    </w:p>
    <w:p>
      <w:r>
        <w:rPr>
          <w:b/>
        </w:rPr>
        <w:t xml:space="preserve">FR-CMP-001 [Must] </w:t>
      </w:r>
      <w:r>
        <w:t>Maintain a regulatory obligation register with source, issue date, effective date, owner, applicability and status.</w:t>
      </w:r>
    </w:p>
    <w:p>
      <w:r>
        <w:rPr>
          <w:b/>
        </w:rPr>
        <w:t xml:space="preserve">FR-CMP-002 [Must] </w:t>
      </w:r>
      <w:r>
        <w:t>Map each obligation to processes, risks, controls, audit procedures and evidence.</w:t>
      </w:r>
    </w:p>
    <w:p>
      <w:r>
        <w:rPr>
          <w:b/>
        </w:rPr>
        <w:t xml:space="preserve">FR-CMP-003 [Must] </w:t>
      </w:r>
      <w:r>
        <w:t>Support compliance self-assessment and independent testing.</w:t>
      </w:r>
    </w:p>
    <w:p>
      <w:r>
        <w:rPr>
          <w:b/>
        </w:rPr>
        <w:t xml:space="preserve">FR-CMP-004 [Must] </w:t>
      </w:r>
      <w:r>
        <w:t>Track breaches, exceptions, corrective actions and regulatory reporting deadlines.</w:t>
      </w:r>
    </w:p>
    <w:p>
      <w:r>
        <w:rPr>
          <w:b/>
        </w:rPr>
        <w:t xml:space="preserve">FR-CMP-005 [Must] </w:t>
      </w:r>
      <w:r>
        <w:t>Support versioning so changes in regulatory requirements can be traced over time.</w:t>
      </w:r>
    </w:p>
    <w:p>
      <w:pPr>
        <w:pStyle w:val="Heading2"/>
      </w:pPr>
      <w:r>
        <w:t>7.10 CAAT Data Hub</w:t>
      </w:r>
    </w:p>
    <w:p>
      <w:r>
        <w:rPr>
          <w:b/>
        </w:rPr>
        <w:t xml:space="preserve">FR-CAAT-001 [Must] </w:t>
      </w:r>
      <w:r>
        <w:t>Ingest data through REST/SOAP APIs, secure database connectors, SFTP, CSV/XLSX and scheduled batch jobs.</w:t>
      </w:r>
    </w:p>
    <w:p>
      <w:r>
        <w:rPr>
          <w:b/>
        </w:rPr>
        <w:t xml:space="preserve">FR-CAAT-002 [Must] </w:t>
      </w:r>
      <w:r>
        <w:t>Provide a canonical data model for common banking objects: customer, account, transaction, loan, repayment, employee, branch, GL, vendor, card, trade and payment.</w:t>
      </w:r>
    </w:p>
    <w:p>
      <w:r>
        <w:rPr>
          <w:b/>
        </w:rPr>
        <w:t xml:space="preserve">FR-CAAT-003 [Must] </w:t>
      </w:r>
      <w:r>
        <w:t>Maintain source-to-target data mappings and data quality results.</w:t>
      </w:r>
    </w:p>
    <w:p>
      <w:r>
        <w:rPr>
          <w:b/>
        </w:rPr>
        <w:t xml:space="preserve">FR-CAAT-004 [Must] </w:t>
      </w:r>
      <w:r>
        <w:t>Allow auditors/analytics administrators to configure rules without software deployment.</w:t>
      </w:r>
    </w:p>
    <w:p>
      <w:r>
        <w:rPr>
          <w:b/>
        </w:rPr>
        <w:t xml:space="preserve">FR-CAAT-005 [Must] </w:t>
      </w:r>
      <w:r>
        <w:t>Generate exceptions with transaction/entity reference, rule, reason, severity, timestamp and source system.</w:t>
      </w:r>
    </w:p>
    <w:p>
      <w:r>
        <w:rPr>
          <w:b/>
        </w:rPr>
        <w:t xml:space="preserve">FR-CAAT-006 [Must] </w:t>
      </w:r>
      <w:r>
        <w:t>Support full-population analytics, not only samples.</w:t>
      </w:r>
    </w:p>
    <w:p>
      <w:r>
        <w:rPr>
          <w:b/>
        </w:rPr>
        <w:t xml:space="preserve">FR-CAAT-007 [Must] </w:t>
      </w:r>
      <w:r>
        <w:t>Support scheduling and incremental processing to minimise production-system load.</w:t>
      </w:r>
    </w:p>
    <w:p>
      <w:r>
        <w:rPr>
          <w:b/>
        </w:rPr>
        <w:t xml:space="preserve">FR-CAAT-008 [Must] </w:t>
      </w:r>
      <w:r>
        <w:t>Do not write back to CBS/production systems unless a separately approved integration requires it.</w:t>
      </w:r>
    </w:p>
    <w:p>
      <w:pPr>
        <w:pStyle w:val="Heading1"/>
      </w:pPr>
      <w:r>
        <w:t>8. CAAT Rule Library – Initial Banking Use Cases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Domain</w:t>
            </w:r>
          </w:p>
        </w:tc>
        <w:tc>
          <w:tcPr>
            <w:tcW w:type="dxa" w:w="5112"/>
            <w:shd w:fill="D9EAF7"/>
            <w:vAlign w:val="center"/>
          </w:tcPr>
          <w:p>
            <w:r>
              <w:rPr>
                <w:b/>
                <w:sz w:val="16"/>
              </w:rPr>
              <w:t>Example analytic test</w:t>
            </w:r>
          </w:p>
        </w:tc>
      </w:tr>
      <w:tr>
        <w:tc>
          <w:tcPr>
            <w:tcW w:type="dxa" w:w="5112"/>
            <w:vAlign w:val="top"/>
          </w:tcPr>
          <w:p>
            <w:r>
              <w:rPr>
                <w:sz w:val="16"/>
              </w:rPr>
              <w:t>Transactions</w:t>
            </w:r>
          </w:p>
        </w:tc>
        <w:tc>
          <w:tcPr>
            <w:tcW w:type="dxa" w:w="5112"/>
            <w:vAlign w:val="top"/>
          </w:tcPr>
          <w:p>
            <w:r>
              <w:rPr>
                <w:sz w:val="16"/>
              </w:rPr>
              <w:t>Duplicate transactions; unusual reversals; round-amount transactions; unusual timing; rapid in/out movement; dormant-account activity.</w:t>
            </w:r>
          </w:p>
        </w:tc>
      </w:tr>
      <w:tr>
        <w:tc>
          <w:tcPr>
            <w:tcW w:type="dxa" w:w="5112"/>
            <w:vAlign w:val="top"/>
          </w:tcPr>
          <w:p>
            <w:r>
              <w:rPr>
                <w:sz w:val="16"/>
              </w:rPr>
              <w:t>Cash</w:t>
            </w:r>
          </w:p>
        </w:tc>
        <w:tc>
          <w:tcPr>
            <w:tcW w:type="dxa" w:w="5112"/>
            <w:vAlign w:val="top"/>
          </w:tcPr>
          <w:p>
            <w:r>
              <w:rPr>
                <w:sz w:val="16"/>
              </w:rPr>
              <w:t>Unusual teller cash activity; excessive overrides; transactions outside normal branch patterns; threshold splitting.</w:t>
            </w:r>
          </w:p>
        </w:tc>
      </w:tr>
      <w:tr>
        <w:tc>
          <w:tcPr>
            <w:tcW w:type="dxa" w:w="5112"/>
            <w:vAlign w:val="top"/>
          </w:tcPr>
          <w:p>
            <w:r>
              <w:rPr>
                <w:sz w:val="16"/>
              </w:rPr>
              <w:t>Loans</w:t>
            </w:r>
          </w:p>
        </w:tc>
        <w:tc>
          <w:tcPr>
            <w:tcW w:type="dxa" w:w="5112"/>
            <w:vAlign w:val="top"/>
          </w:tcPr>
          <w:p>
            <w:r>
              <w:rPr>
                <w:sz w:val="16"/>
              </w:rPr>
              <w:t>Disbursement before required approval; overdue restructuring patterns; unusual write-offs; repeated exceptions; related-party indicators.</w:t>
            </w:r>
          </w:p>
        </w:tc>
      </w:tr>
      <w:tr>
        <w:tc>
          <w:tcPr>
            <w:tcW w:type="dxa" w:w="5112"/>
            <w:vAlign w:val="top"/>
          </w:tcPr>
          <w:p>
            <w:r>
              <w:rPr>
                <w:sz w:val="16"/>
              </w:rPr>
              <w:t>Deposits</w:t>
            </w:r>
          </w:p>
        </w:tc>
        <w:tc>
          <w:tcPr>
            <w:tcW w:type="dxa" w:w="5112"/>
            <w:vAlign w:val="top"/>
          </w:tcPr>
          <w:p>
            <w:r>
              <w:rPr>
                <w:sz w:val="16"/>
              </w:rPr>
              <w:t>Dormant account activation; unusual high-value deposits; threshold splitting; rapid withdrawal after deposit.</w:t>
            </w:r>
          </w:p>
        </w:tc>
      </w:tr>
      <w:tr>
        <w:tc>
          <w:tcPr>
            <w:tcW w:type="dxa" w:w="5112"/>
            <w:vAlign w:val="top"/>
          </w:tcPr>
          <w:p>
            <w:r>
              <w:rPr>
                <w:sz w:val="16"/>
              </w:rPr>
              <w:t>User access</w:t>
            </w:r>
          </w:p>
        </w:tc>
        <w:tc>
          <w:tcPr>
            <w:tcW w:type="dxa" w:w="5112"/>
            <w:vAlign w:val="top"/>
          </w:tcPr>
          <w:p>
            <w:r>
              <w:rPr>
                <w:sz w:val="16"/>
              </w:rPr>
              <w:t>Transactions outside employee role/profile; terminated employee activity; privileged user activity; unusual maker-checker combinations.</w:t>
            </w:r>
          </w:p>
        </w:tc>
      </w:tr>
      <w:tr>
        <w:tc>
          <w:tcPr>
            <w:tcW w:type="dxa" w:w="5112"/>
            <w:vAlign w:val="top"/>
          </w:tcPr>
          <w:p>
            <w:r>
              <w:rPr>
                <w:sz w:val="16"/>
              </w:rPr>
              <w:t>Branch</w:t>
            </w:r>
          </w:p>
        </w:tc>
        <w:tc>
          <w:tcPr>
            <w:tcW w:type="dxa" w:w="5112"/>
            <w:vAlign w:val="top"/>
          </w:tcPr>
          <w:p>
            <w:r>
              <w:rPr>
                <w:sz w:val="16"/>
              </w:rPr>
              <w:t>Peer deviation from branch norms; abnormal fee reversals; manual GL entries; excessive suspense entries.</w:t>
            </w:r>
          </w:p>
        </w:tc>
      </w:tr>
      <w:tr>
        <w:tc>
          <w:tcPr>
            <w:tcW w:type="dxa" w:w="5112"/>
            <w:vAlign w:val="top"/>
          </w:tcPr>
          <w:p>
            <w:r>
              <w:rPr>
                <w:sz w:val="16"/>
              </w:rPr>
              <w:t>Payments</w:t>
            </w:r>
          </w:p>
        </w:tc>
        <w:tc>
          <w:tcPr>
            <w:tcW w:type="dxa" w:w="5112"/>
            <w:vAlign w:val="top"/>
          </w:tcPr>
          <w:p>
            <w:r>
              <w:rPr>
                <w:sz w:val="16"/>
              </w:rPr>
              <w:t>Duplicate beneficiary/account patterns; unusual payment timing; repeated failed/returned transactions; unusual originator-beneficiary relationships.</w:t>
            </w:r>
          </w:p>
        </w:tc>
      </w:tr>
      <w:tr>
        <w:tc>
          <w:tcPr>
            <w:tcW w:type="dxa" w:w="5112"/>
            <w:vAlign w:val="top"/>
          </w:tcPr>
          <w:p>
            <w:r>
              <w:rPr>
                <w:sz w:val="16"/>
              </w:rPr>
              <w:t>Trade</w:t>
            </w:r>
          </w:p>
        </w:tc>
        <w:tc>
          <w:tcPr>
            <w:tcW w:type="dxa" w:w="5112"/>
            <w:vAlign w:val="top"/>
          </w:tcPr>
          <w:p>
            <w:r>
              <w:rPr>
                <w:sz w:val="16"/>
              </w:rPr>
              <w:t>Unusual amendments; repeated manual overrides; missing approvals; outlier amounts/tenors.</w:t>
            </w:r>
          </w:p>
        </w:tc>
      </w:tr>
      <w:tr>
        <w:tc>
          <w:tcPr>
            <w:tcW w:type="dxa" w:w="5112"/>
            <w:vAlign w:val="top"/>
          </w:tcPr>
          <w:p>
            <w:r>
              <w:rPr>
                <w:sz w:val="16"/>
              </w:rPr>
              <w:t>Procurement</w:t>
            </w:r>
          </w:p>
        </w:tc>
        <w:tc>
          <w:tcPr>
            <w:tcW w:type="dxa" w:w="5112"/>
            <w:vAlign w:val="top"/>
          </w:tcPr>
          <w:p>
            <w:r>
              <w:rPr>
                <w:sz w:val="16"/>
              </w:rPr>
              <w:t>Split purchases; duplicate vendors; same-day invoices; unusual vendor concentration; employee-vendor overlap.</w:t>
            </w:r>
          </w:p>
        </w:tc>
      </w:tr>
      <w:tr>
        <w:tc>
          <w:tcPr>
            <w:tcW w:type="dxa" w:w="5112"/>
            <w:vAlign w:val="top"/>
          </w:tcPr>
          <w:p>
            <w:r>
              <w:rPr>
                <w:sz w:val="16"/>
              </w:rPr>
              <w:t>HR/Payroll</w:t>
            </w:r>
          </w:p>
        </w:tc>
        <w:tc>
          <w:tcPr>
            <w:tcW w:type="dxa" w:w="5112"/>
            <w:vAlign w:val="top"/>
          </w:tcPr>
          <w:p>
            <w:r>
              <w:rPr>
                <w:sz w:val="16"/>
              </w:rPr>
              <w:t>Duplicate bank accounts; unusual salary changes; terminated employee payments; ghost employee indicators.</w:t>
            </w:r>
          </w:p>
        </w:tc>
      </w:tr>
      <w:tr>
        <w:tc>
          <w:tcPr>
            <w:tcW w:type="dxa" w:w="5112"/>
            <w:vAlign w:val="top"/>
          </w:tcPr>
          <w:p>
            <w:r>
              <w:rPr>
                <w:sz w:val="16"/>
              </w:rPr>
              <w:t>General Ledger</w:t>
            </w:r>
          </w:p>
        </w:tc>
        <w:tc>
          <w:tcPr>
            <w:tcW w:type="dxa" w:w="5112"/>
            <w:vAlign w:val="top"/>
          </w:tcPr>
          <w:p>
            <w:r>
              <w:rPr>
                <w:sz w:val="16"/>
              </w:rPr>
              <w:t>Backdated entries; unusual manual journals; entries near period close; unusual user/branch combinations.</w:t>
            </w:r>
          </w:p>
        </w:tc>
      </w:tr>
    </w:tbl>
    <w:p>
      <w:pPr>
        <w:pStyle w:val="Heading1"/>
      </w:pPr>
      <w:r>
        <w:t>9. AI/ML Premium Module – Product Strategy</w:t>
      </w:r>
    </w:p>
    <w:p>
      <w:r>
        <w:t>AI/ML should be a separately licensable premium capability. The core platform must work fully without AI. The premium layer should enrich risk-based auditing rather than make autonomous audit decisions.</w:t>
      </w:r>
    </w:p>
    <w:p>
      <w:pPr>
        <w:pStyle w:val="Heading2"/>
      </w:pPr>
      <w:r>
        <w:t>9.1 AI Use Cases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AI capability</w:t>
            </w:r>
          </w:p>
        </w:tc>
        <w:tc>
          <w:tcPr>
            <w:tcW w:type="dxa" w:w="3408"/>
            <w:shd w:fill="D9EAF7"/>
            <w:vAlign w:val="center"/>
          </w:tcPr>
          <w:p>
            <w:r>
              <w:rPr>
                <w:b/>
                <w:sz w:val="16"/>
              </w:rPr>
              <w:t>Description</w:t>
            </w:r>
          </w:p>
        </w:tc>
        <w:tc>
          <w:tcPr>
            <w:tcW w:type="dxa" w:w="3408"/>
            <w:shd w:fill="D9EAF7"/>
            <w:vAlign w:val="center"/>
          </w:tcPr>
          <w:p>
            <w:r>
              <w:rPr>
                <w:b/>
                <w:sz w:val="16"/>
              </w:rPr>
              <w:t>Priority</w:t>
            </w:r>
          </w:p>
        </w:tc>
      </w:tr>
      <w:tr>
        <w:tc>
          <w:tcPr>
            <w:tcW w:type="dxa" w:w="3408"/>
            <w:vAlign w:val="top"/>
          </w:tcPr>
          <w:p>
            <w:r>
              <w:rPr>
                <w:sz w:val="16"/>
              </w:rPr>
              <w:t>Unsupervised anomaly detection</w:t>
            </w:r>
          </w:p>
        </w:tc>
        <w:tc>
          <w:tcPr>
            <w:tcW w:type="dxa" w:w="3408"/>
            <w:vAlign w:val="top"/>
          </w:tcPr>
          <w:p>
            <w:r>
              <w:rPr>
                <w:sz w:val="16"/>
              </w:rPr>
              <w:t>Learn normal behaviour from historical data and identify unusual transactions/entities without labelled fraud data.</w:t>
            </w:r>
          </w:p>
        </w:tc>
        <w:tc>
          <w:tcPr>
            <w:tcW w:type="dxa" w:w="3408"/>
            <w:vAlign w:val="top"/>
          </w:tcPr>
          <w:p>
            <w:r>
              <w:rPr>
                <w:sz w:val="16"/>
              </w:rPr>
              <w:t>P0</w:t>
            </w:r>
          </w:p>
        </w:tc>
      </w:tr>
      <w:tr>
        <w:tc>
          <w:tcPr>
            <w:tcW w:type="dxa" w:w="3408"/>
            <w:vAlign w:val="top"/>
          </w:tcPr>
          <w:p>
            <w:r>
              <w:rPr>
                <w:sz w:val="16"/>
              </w:rPr>
              <w:t>Hybrid rules + ML</w:t>
            </w:r>
          </w:p>
        </w:tc>
        <w:tc>
          <w:tcPr>
            <w:tcW w:type="dxa" w:w="3408"/>
            <w:vAlign w:val="top"/>
          </w:tcPr>
          <w:p>
            <w:r>
              <w:rPr>
                <w:sz w:val="16"/>
              </w:rPr>
              <w:t>Combine deterministic CAAT rules with ML anomaly scores to reduce false positives and increase explainability.</w:t>
            </w:r>
          </w:p>
        </w:tc>
        <w:tc>
          <w:tcPr>
            <w:tcW w:type="dxa" w:w="3408"/>
            <w:vAlign w:val="top"/>
          </w:tcPr>
          <w:p>
            <w:r>
              <w:rPr>
                <w:sz w:val="16"/>
              </w:rPr>
              <w:t>P0</w:t>
            </w:r>
          </w:p>
        </w:tc>
      </w:tr>
      <w:tr>
        <w:tc>
          <w:tcPr>
            <w:tcW w:type="dxa" w:w="3408"/>
            <w:vAlign w:val="top"/>
          </w:tcPr>
          <w:p>
            <w:r>
              <w:rPr>
                <w:sz w:val="16"/>
              </w:rPr>
              <w:t>Entity risk scoring</w:t>
            </w:r>
          </w:p>
        </w:tc>
        <w:tc>
          <w:tcPr>
            <w:tcW w:type="dxa" w:w="3408"/>
            <w:vAlign w:val="top"/>
          </w:tcPr>
          <w:p>
            <w:r>
              <w:rPr>
                <w:sz w:val="16"/>
              </w:rPr>
              <w:t>Aggregate transaction, branch, customer/account, employee and historical audit signals into a dynamic risk score.</w:t>
            </w:r>
          </w:p>
        </w:tc>
        <w:tc>
          <w:tcPr>
            <w:tcW w:type="dxa" w:w="3408"/>
            <w:vAlign w:val="top"/>
          </w:tcPr>
          <w:p>
            <w:r>
              <w:rPr>
                <w:sz w:val="16"/>
              </w:rPr>
              <w:t>P0</w:t>
            </w:r>
          </w:p>
        </w:tc>
      </w:tr>
      <w:tr>
        <w:tc>
          <w:tcPr>
            <w:tcW w:type="dxa" w:w="3408"/>
            <w:vAlign w:val="top"/>
          </w:tcPr>
          <w:p>
            <w:r>
              <w:rPr>
                <w:sz w:val="16"/>
              </w:rPr>
              <w:t>Peer benchmarking</w:t>
            </w:r>
          </w:p>
        </w:tc>
        <w:tc>
          <w:tcPr>
            <w:tcW w:type="dxa" w:w="3408"/>
            <w:vAlign w:val="top"/>
          </w:tcPr>
          <w:p>
            <w:r>
              <w:rPr>
                <w:sz w:val="16"/>
              </w:rPr>
              <w:t>Compare branches/users/processes to statistically similar peers and flag material deviations.</w:t>
            </w:r>
          </w:p>
        </w:tc>
        <w:tc>
          <w:tcPr>
            <w:tcW w:type="dxa" w:w="3408"/>
            <w:vAlign w:val="top"/>
          </w:tcPr>
          <w:p>
            <w:r>
              <w:rPr>
                <w:sz w:val="16"/>
              </w:rPr>
              <w:t>P1</w:t>
            </w:r>
          </w:p>
        </w:tc>
      </w:tr>
      <w:tr>
        <w:tc>
          <w:tcPr>
            <w:tcW w:type="dxa" w:w="3408"/>
            <w:vAlign w:val="top"/>
          </w:tcPr>
          <w:p>
            <w:r>
              <w:rPr>
                <w:sz w:val="16"/>
              </w:rPr>
              <w:t>Predictive finding risk</w:t>
            </w:r>
          </w:p>
        </w:tc>
        <w:tc>
          <w:tcPr>
            <w:tcW w:type="dxa" w:w="3408"/>
            <w:vAlign w:val="top"/>
          </w:tcPr>
          <w:p>
            <w:r>
              <w:rPr>
                <w:sz w:val="16"/>
              </w:rPr>
              <w:t>Estimate probability of repeat finding, overdue remediation or control failure.</w:t>
            </w:r>
          </w:p>
        </w:tc>
        <w:tc>
          <w:tcPr>
            <w:tcW w:type="dxa" w:w="3408"/>
            <w:vAlign w:val="top"/>
          </w:tcPr>
          <w:p>
            <w:r>
              <w:rPr>
                <w:sz w:val="16"/>
              </w:rPr>
              <w:t>P1</w:t>
            </w:r>
          </w:p>
        </w:tc>
      </w:tr>
      <w:tr>
        <w:tc>
          <w:tcPr>
            <w:tcW w:type="dxa" w:w="3408"/>
            <w:vAlign w:val="top"/>
          </w:tcPr>
          <w:p>
            <w:r>
              <w:rPr>
                <w:sz w:val="16"/>
              </w:rPr>
              <w:t>Audit planning recommender</w:t>
            </w:r>
          </w:p>
        </w:tc>
        <w:tc>
          <w:tcPr>
            <w:tcW w:type="dxa" w:w="3408"/>
            <w:vAlign w:val="top"/>
          </w:tcPr>
          <w:p>
            <w:r>
              <w:rPr>
                <w:sz w:val="16"/>
              </w:rPr>
              <w:t>Rank audit universe items using risk, prior findings, change indicators and AI signals.</w:t>
            </w:r>
          </w:p>
        </w:tc>
        <w:tc>
          <w:tcPr>
            <w:tcW w:type="dxa" w:w="3408"/>
            <w:vAlign w:val="top"/>
          </w:tcPr>
          <w:p>
            <w:r>
              <w:rPr>
                <w:sz w:val="16"/>
              </w:rPr>
              <w:t>P1</w:t>
            </w:r>
          </w:p>
        </w:tc>
      </w:tr>
      <w:tr>
        <w:tc>
          <w:tcPr>
            <w:tcW w:type="dxa" w:w="3408"/>
            <w:vAlign w:val="top"/>
          </w:tcPr>
          <w:p>
            <w:r>
              <w:rPr>
                <w:sz w:val="16"/>
              </w:rPr>
              <w:t>Document intelligence</w:t>
            </w:r>
          </w:p>
        </w:tc>
        <w:tc>
          <w:tcPr>
            <w:tcW w:type="dxa" w:w="3408"/>
            <w:vAlign w:val="top"/>
          </w:tcPr>
          <w:p>
            <w:r>
              <w:rPr>
                <w:sz w:val="16"/>
              </w:rPr>
              <w:t>Extract obligations, dates, control statements and evidence metadata from policies/regulatory documents.</w:t>
            </w:r>
          </w:p>
        </w:tc>
        <w:tc>
          <w:tcPr>
            <w:tcW w:type="dxa" w:w="3408"/>
            <w:vAlign w:val="top"/>
          </w:tcPr>
          <w:p>
            <w:r>
              <w:rPr>
                <w:sz w:val="16"/>
              </w:rPr>
              <w:t>P1</w:t>
            </w:r>
          </w:p>
        </w:tc>
      </w:tr>
      <w:tr>
        <w:tc>
          <w:tcPr>
            <w:tcW w:type="dxa" w:w="3408"/>
            <w:vAlign w:val="top"/>
          </w:tcPr>
          <w:p>
            <w:r>
              <w:rPr>
                <w:sz w:val="16"/>
              </w:rPr>
              <w:t>GenAI audit assistant</w:t>
            </w:r>
          </w:p>
        </w:tc>
        <w:tc>
          <w:tcPr>
            <w:tcW w:type="dxa" w:w="3408"/>
            <w:vAlign w:val="top"/>
          </w:tcPr>
          <w:p>
            <w:r>
              <w:rPr>
                <w:sz w:val="16"/>
              </w:rPr>
              <w:t>Draft audit objectives, test procedures, finding summaries and management-request text from approved context.</w:t>
            </w:r>
          </w:p>
        </w:tc>
        <w:tc>
          <w:tcPr>
            <w:tcW w:type="dxa" w:w="3408"/>
            <w:vAlign w:val="top"/>
          </w:tcPr>
          <w:p>
            <w:r>
              <w:rPr>
                <w:sz w:val="16"/>
              </w:rPr>
              <w:t>P1</w:t>
            </w:r>
          </w:p>
        </w:tc>
      </w:tr>
      <w:tr>
        <w:tc>
          <w:tcPr>
            <w:tcW w:type="dxa" w:w="3408"/>
            <w:vAlign w:val="top"/>
          </w:tcPr>
          <w:p>
            <w:r>
              <w:rPr>
                <w:sz w:val="16"/>
              </w:rPr>
              <w:t>Natural-language analytics</w:t>
            </w:r>
          </w:p>
        </w:tc>
        <w:tc>
          <w:tcPr>
            <w:tcW w:type="dxa" w:w="3408"/>
            <w:vAlign w:val="top"/>
          </w:tcPr>
          <w:p>
            <w:r>
              <w:rPr>
                <w:sz w:val="16"/>
              </w:rPr>
              <w:t>Auditor asks a question in plain language; system converts it into an approved query/analysis and shows results.</w:t>
            </w:r>
          </w:p>
        </w:tc>
        <w:tc>
          <w:tcPr>
            <w:tcW w:type="dxa" w:w="3408"/>
            <w:vAlign w:val="top"/>
          </w:tcPr>
          <w:p>
            <w:r>
              <w:rPr>
                <w:sz w:val="16"/>
              </w:rPr>
              <w:t>P2</w:t>
            </w:r>
          </w:p>
        </w:tc>
      </w:tr>
      <w:tr>
        <w:tc>
          <w:tcPr>
            <w:tcW w:type="dxa" w:w="3408"/>
            <w:vAlign w:val="top"/>
          </w:tcPr>
          <w:p>
            <w:r>
              <w:rPr>
                <w:sz w:val="16"/>
              </w:rPr>
              <w:t>Continuous assurance</w:t>
            </w:r>
          </w:p>
        </w:tc>
        <w:tc>
          <w:tcPr>
            <w:tcW w:type="dxa" w:w="3408"/>
            <w:vAlign w:val="top"/>
          </w:tcPr>
          <w:p>
            <w:r>
              <w:rPr>
                <w:sz w:val="16"/>
              </w:rPr>
              <w:t>Near-real-time or daily monitoring of selected risk indicators and transaction populations.</w:t>
            </w:r>
          </w:p>
        </w:tc>
        <w:tc>
          <w:tcPr>
            <w:tcW w:type="dxa" w:w="3408"/>
            <w:vAlign w:val="top"/>
          </w:tcPr>
          <w:p>
            <w:r>
              <w:rPr>
                <w:sz w:val="16"/>
              </w:rPr>
              <w:t>P2</w:t>
            </w:r>
          </w:p>
        </w:tc>
      </w:tr>
    </w:tbl>
    <w:p>
      <w:pPr>
        <w:pStyle w:val="Heading2"/>
      </w:pPr>
      <w:r>
        <w:t>9.2 Recommended Anomaly Detection Architecture</w:t>
      </w:r>
    </w:p>
    <w:p>
      <w:pPr>
        <w:pStyle w:val="ListBullet"/>
      </w:pPr>
      <w:r>
        <w:t>Stage 1 – deterministic CAAT rules: transparent, configurable and easy to validate.</w:t>
      </w:r>
    </w:p>
    <w:p>
      <w:pPr>
        <w:pStyle w:val="ListBullet"/>
      </w:pPr>
      <w:r>
        <w:t>Stage 2 – statistical detection: z-score, percentile, robust statistics, seasonality and peer deviation.</w:t>
      </w:r>
    </w:p>
    <w:p>
      <w:pPr>
        <w:pStyle w:val="ListBullet"/>
      </w:pPr>
      <w:r>
        <w:t>Stage 3 – unsupervised ML: Isolation Forest, Local Outlier Factor and/or autoencoder depending on data maturity.</w:t>
      </w:r>
    </w:p>
    <w:p>
      <w:pPr>
        <w:pStyle w:val="ListBullet"/>
      </w:pPr>
      <w:r>
        <w:t>Stage 4 – entity/network analytics: graph-based relationships for accounts, employees, branches, vendors and counterparties.</w:t>
      </w:r>
    </w:p>
    <w:p>
      <w:pPr>
        <w:pStyle w:val="ListBullet"/>
      </w:pPr>
      <w:r>
        <w:t>Stage 5 – supervised models only when sufficient labelled outcomes exist.</w:t>
      </w:r>
    </w:p>
    <w:p>
      <w:pPr>
        <w:pStyle w:val="ListBullet"/>
      </w:pPr>
      <w:r>
        <w:t>Stage 6 – ensemble score: combine rules, statistical score, ML score, entity risk and business context.</w:t>
      </w:r>
    </w:p>
    <w:p>
      <w:pPr>
        <w:pStyle w:val="ListBullet"/>
      </w:pPr>
      <w:r>
        <w:t>Stage 7 – explainability: show the main contributing features and baseline comparison; do not expose an opaque score alone.</w:t>
      </w:r>
    </w:p>
    <w:p>
      <w:pPr>
        <w:pStyle w:val="Heading2"/>
      </w:pPr>
      <w:r>
        <w:t>9.3 Example AI Anomaly Score</w:t>
      </w:r>
    </w:p>
    <w:p>
      <w:r>
        <w:t>Recommended conceptual score: Anomaly Score = weighted combination of rule severity + statistical deviation + ML anomaly score + peer deviation + entity history + contextual risk. Weights must be configurable and versioned. A score is a prioritisation signal, not a finding.</w:t>
      </w:r>
    </w:p>
    <w:p>
      <w:r>
        <w:rPr>
          <w:b/>
        </w:rPr>
        <w:t xml:space="preserve">AI-001 [Must] </w:t>
      </w:r>
      <w:r>
        <w:t>Every AI alert must retain model version, feature set/version, input timestamp, score, threshold, explanation and disposition.</w:t>
      </w:r>
    </w:p>
    <w:p>
      <w:r>
        <w:rPr>
          <w:b/>
        </w:rPr>
        <w:t xml:space="preserve">AI-002 [Must] </w:t>
      </w:r>
      <w:r>
        <w:t>Auditors must be able to mark an alert as Valid, False Positive, Needs Investigation, Escalated or Converted to Finding.</w:t>
      </w:r>
    </w:p>
    <w:p>
      <w:r>
        <w:rPr>
          <w:b/>
        </w:rPr>
        <w:t xml:space="preserve">AI-003 [Must] </w:t>
      </w:r>
      <w:r>
        <w:t>The model must learn from approved dispositions only; feedback ingestion must be controlled and auditable.</w:t>
      </w:r>
    </w:p>
    <w:p>
      <w:r>
        <w:rPr>
          <w:b/>
        </w:rPr>
        <w:t xml:space="preserve">AI-004 [Must] </w:t>
      </w:r>
      <w:r>
        <w:t>AI-generated findings, summaries and recommendations require human approval before being added to an official audit record.</w:t>
      </w:r>
    </w:p>
    <w:p>
      <w:r>
        <w:rPr>
          <w:b/>
        </w:rPr>
        <w:t xml:space="preserve">AI-005 [Must] </w:t>
      </w:r>
      <w:r>
        <w:t>AI outputs must never silently overwrite risk scores, findings or management responses.</w:t>
      </w:r>
    </w:p>
    <w:p>
      <w:r>
        <w:rPr>
          <w:b/>
        </w:rPr>
        <w:t xml:space="preserve">AI-006 [Must] </w:t>
      </w:r>
      <w:r>
        <w:t>Support model drift monitoring, false-positive rate, precision/recall where labels exist, alert volume and reviewer acceptance rate.</w:t>
      </w:r>
    </w:p>
    <w:p>
      <w:r>
        <w:rPr>
          <w:b/>
        </w:rPr>
        <w:t xml:space="preserve">AI-007 [Must] </w:t>
      </w:r>
      <w:r>
        <w:t>Support model rollback and side-by-side model validation.</w:t>
      </w:r>
    </w:p>
    <w:p>
      <w:r>
        <w:rPr>
          <w:b/>
        </w:rPr>
        <w:t xml:space="preserve">AI-008 [Must] </w:t>
      </w:r>
      <w:r>
        <w:t>For GenAI, use retrieval from authorised bank content only; prohibit unauthorised training on client data.</w:t>
      </w:r>
    </w:p>
    <w:p>
      <w:pPr>
        <w:pStyle w:val="Heading2"/>
      </w:pPr>
      <w:r>
        <w:t>9.4 AI Explainability UX</w:t>
      </w:r>
    </w:p>
    <w:p>
      <w:pPr>
        <w:pStyle w:val="ListBullet"/>
      </w:pPr>
      <w:r>
        <w:t>Alert: 'Why was this flagged?'</w:t>
      </w:r>
    </w:p>
    <w:p>
      <w:pPr>
        <w:pStyle w:val="ListBullet"/>
      </w:pPr>
      <w:r>
        <w:t>Show transaction/entity baseline and peer baseline.</w:t>
      </w:r>
    </w:p>
    <w:p>
      <w:pPr>
        <w:pStyle w:val="ListBullet"/>
      </w:pPr>
      <w:r>
        <w:t>Show top contributing factors, e.g. amount 6.4x peer median; transaction at unusual hour; user role mismatch; rapid sequence.</w:t>
      </w:r>
    </w:p>
    <w:p>
      <w:pPr>
        <w:pStyle w:val="ListBullet"/>
      </w:pPr>
      <w:r>
        <w:t>Show linked historical findings and prior similar alerts.</w:t>
      </w:r>
    </w:p>
    <w:p>
      <w:pPr>
        <w:pStyle w:val="ListBullet"/>
      </w:pPr>
      <w:r>
        <w:t>Allow auditor feedback and disposition.</w:t>
      </w:r>
    </w:p>
    <w:p>
      <w:pPr>
        <w:pStyle w:val="ListBullet"/>
      </w:pPr>
      <w:r>
        <w:t>Never label an alert 'fraud' unless a human-authorised workflow explicitly establishes that outcome.</w:t>
      </w:r>
    </w:p>
    <w:p>
      <w:pPr>
        <w:pStyle w:val="Heading1"/>
      </w:pPr>
      <w:r>
        <w:t>10. AI Governance &amp; Model Risk Controls</w:t>
      </w:r>
    </w:p>
    <w:p>
      <w:r>
        <w:rPr>
          <w:b/>
        </w:rPr>
        <w:t xml:space="preserve">AIG-001 [Must] </w:t>
      </w:r>
      <w:r>
        <w:t>Maintain a model registry containing model name, purpose, owner, version, training data period, features, algorithm, threshold, validation status and approval.</w:t>
      </w:r>
    </w:p>
    <w:p>
      <w:r>
        <w:rPr>
          <w:b/>
        </w:rPr>
        <w:t xml:space="preserve">AIG-002 [Must] </w:t>
      </w:r>
      <w:r>
        <w:t>Separate development, validation and production model environments.</w:t>
      </w:r>
    </w:p>
    <w:p>
      <w:r>
        <w:rPr>
          <w:b/>
        </w:rPr>
        <w:t xml:space="preserve">AIG-003 [Must] </w:t>
      </w:r>
      <w:r>
        <w:t>Maintain model performance and drift monitoring.</w:t>
      </w:r>
    </w:p>
    <w:p>
      <w:r>
        <w:rPr>
          <w:b/>
        </w:rPr>
        <w:t xml:space="preserve">AIG-004 [Must] </w:t>
      </w:r>
      <w:r>
        <w:t>Allow manual override of AI recommendations with mandatory reason for material decisions.</w:t>
      </w:r>
    </w:p>
    <w:p>
      <w:r>
        <w:rPr>
          <w:b/>
        </w:rPr>
        <w:t xml:space="preserve">AIG-005 [Must] </w:t>
      </w:r>
      <w:r>
        <w:t>Maintain audit logs for prompts, retrieved context, generated outputs and user approval for GenAI features.</w:t>
      </w:r>
    </w:p>
    <w:p>
      <w:r>
        <w:rPr>
          <w:b/>
        </w:rPr>
        <w:t xml:space="preserve">AIG-006 [Must] </w:t>
      </w:r>
      <w:r>
        <w:t>Sensitive banking data must not be sent to public consumer AI services; use private/self-hosted or contractually controlled enterprise inference where required.</w:t>
      </w:r>
    </w:p>
    <w:p>
      <w:r>
        <w:rPr>
          <w:b/>
        </w:rPr>
        <w:t xml:space="preserve">AIG-007 [Must] </w:t>
      </w:r>
      <w:r>
        <w:t>Provide data minimisation, masking/tokenisation and field-level access controls for AI pipelines.</w:t>
      </w:r>
    </w:p>
    <w:p>
      <w:r>
        <w:rPr>
          <w:b/>
        </w:rPr>
        <w:t xml:space="preserve">AIG-008 [Must] </w:t>
      </w:r>
      <w:r>
        <w:t>The bank owns the final audit conclusion; the system must clearly distinguish AI suggestion from approved audit judgement.</w:t>
      </w:r>
    </w:p>
    <w:p>
      <w:pPr>
        <w:pStyle w:val="Heading1"/>
      </w:pPr>
      <w:r>
        <w:t>11. GenAI Assistant – Optional Premium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Feature</w:t>
            </w:r>
          </w:p>
        </w:tc>
        <w:tc>
          <w:tcPr>
            <w:tcW w:type="dxa" w:w="3408"/>
            <w:shd w:fill="D9EAF7"/>
            <w:vAlign w:val="center"/>
          </w:tcPr>
          <w:p>
            <w:r>
              <w:rPr>
                <w:b/>
                <w:sz w:val="16"/>
              </w:rPr>
              <w:t>Input</w:t>
            </w:r>
          </w:p>
        </w:tc>
        <w:tc>
          <w:tcPr>
            <w:tcW w:type="dxa" w:w="3408"/>
            <w:shd w:fill="D9EAF7"/>
            <w:vAlign w:val="center"/>
          </w:tcPr>
          <w:p>
            <w:r>
              <w:rPr>
                <w:b/>
                <w:sz w:val="16"/>
              </w:rPr>
              <w:t>Output / control</w:t>
            </w:r>
          </w:p>
        </w:tc>
      </w:tr>
      <w:tr>
        <w:tc>
          <w:tcPr>
            <w:tcW w:type="dxa" w:w="3408"/>
            <w:vAlign w:val="top"/>
          </w:tcPr>
          <w:p>
            <w:r>
              <w:rPr>
                <w:sz w:val="16"/>
              </w:rPr>
              <w:t>Audit planning assistant</w:t>
            </w:r>
          </w:p>
        </w:tc>
        <w:tc>
          <w:tcPr>
            <w:tcW w:type="dxa" w:w="3408"/>
            <w:vAlign w:val="top"/>
          </w:tcPr>
          <w:p>
            <w:r>
              <w:rPr>
                <w:sz w:val="16"/>
              </w:rPr>
              <w:t>Audit universe, risk history, prior findings, incidents</w:t>
            </w:r>
          </w:p>
        </w:tc>
        <w:tc>
          <w:tcPr>
            <w:tcW w:type="dxa" w:w="3408"/>
            <w:vAlign w:val="top"/>
          </w:tcPr>
          <w:p>
            <w:r>
              <w:rPr>
                <w:sz w:val="16"/>
              </w:rPr>
              <w:t>Suggested audit scope/objectives with citations to internal records; human approval required.</w:t>
            </w:r>
          </w:p>
        </w:tc>
      </w:tr>
      <w:tr>
        <w:tc>
          <w:tcPr>
            <w:tcW w:type="dxa" w:w="3408"/>
            <w:vAlign w:val="top"/>
          </w:tcPr>
          <w:p>
            <w:r>
              <w:rPr>
                <w:sz w:val="16"/>
              </w:rPr>
              <w:t>Audit program assistant</w:t>
            </w:r>
          </w:p>
        </w:tc>
        <w:tc>
          <w:tcPr>
            <w:tcW w:type="dxa" w:w="3408"/>
            <w:vAlign w:val="top"/>
          </w:tcPr>
          <w:p>
            <w:r>
              <w:rPr>
                <w:sz w:val="16"/>
              </w:rPr>
              <w:t>Risk/control objectives and approved templates</w:t>
            </w:r>
          </w:p>
        </w:tc>
        <w:tc>
          <w:tcPr>
            <w:tcW w:type="dxa" w:w="3408"/>
            <w:vAlign w:val="top"/>
          </w:tcPr>
          <w:p>
            <w:r>
              <w:rPr>
                <w:sz w:val="16"/>
              </w:rPr>
              <w:t>Suggested test procedures and sampling considerations.</w:t>
            </w:r>
          </w:p>
        </w:tc>
      </w:tr>
      <w:tr>
        <w:tc>
          <w:tcPr>
            <w:tcW w:type="dxa" w:w="3408"/>
            <w:vAlign w:val="top"/>
          </w:tcPr>
          <w:p>
            <w:r>
              <w:rPr>
                <w:sz w:val="16"/>
              </w:rPr>
              <w:t>Evidence summariser</w:t>
            </w:r>
          </w:p>
        </w:tc>
        <w:tc>
          <w:tcPr>
            <w:tcW w:type="dxa" w:w="3408"/>
            <w:vAlign w:val="top"/>
          </w:tcPr>
          <w:p>
            <w:r>
              <w:rPr>
                <w:sz w:val="16"/>
              </w:rPr>
              <w:t>Approved workpapers/evidence</w:t>
            </w:r>
          </w:p>
        </w:tc>
        <w:tc>
          <w:tcPr>
            <w:tcW w:type="dxa" w:w="3408"/>
            <w:vAlign w:val="top"/>
          </w:tcPr>
          <w:p>
            <w:r>
              <w:rPr>
                <w:sz w:val="16"/>
              </w:rPr>
              <w:t>Concise summary with source links; no unsupported claims.</w:t>
            </w:r>
          </w:p>
        </w:tc>
      </w:tr>
      <w:tr>
        <w:tc>
          <w:tcPr>
            <w:tcW w:type="dxa" w:w="3408"/>
            <w:vAlign w:val="top"/>
          </w:tcPr>
          <w:p>
            <w:r>
              <w:rPr>
                <w:sz w:val="16"/>
              </w:rPr>
              <w:t>Finding drafting</w:t>
            </w:r>
          </w:p>
        </w:tc>
        <w:tc>
          <w:tcPr>
            <w:tcW w:type="dxa" w:w="3408"/>
            <w:vAlign w:val="top"/>
          </w:tcPr>
          <w:p>
            <w:r>
              <w:rPr>
                <w:sz w:val="16"/>
              </w:rPr>
              <w:t>Condition, evidence, criteria, cause and consequence</w:t>
            </w:r>
          </w:p>
        </w:tc>
        <w:tc>
          <w:tcPr>
            <w:tcW w:type="dxa" w:w="3408"/>
            <w:vAlign w:val="top"/>
          </w:tcPr>
          <w:p>
            <w:r>
              <w:rPr>
                <w:sz w:val="16"/>
              </w:rPr>
              <w:t>Draft finding wording, recommendation and management-request questions.</w:t>
            </w:r>
          </w:p>
        </w:tc>
      </w:tr>
      <w:tr>
        <w:tc>
          <w:tcPr>
            <w:tcW w:type="dxa" w:w="3408"/>
            <w:vAlign w:val="top"/>
          </w:tcPr>
          <w:p>
            <w:r>
              <w:rPr>
                <w:sz w:val="16"/>
              </w:rPr>
              <w:t>Regulatory mapping assistant</w:t>
            </w:r>
          </w:p>
        </w:tc>
        <w:tc>
          <w:tcPr>
            <w:tcW w:type="dxa" w:w="3408"/>
            <w:vAlign w:val="top"/>
          </w:tcPr>
          <w:p>
            <w:r>
              <w:rPr>
                <w:sz w:val="16"/>
              </w:rPr>
              <w:t>Regulatory text + internal control library</w:t>
            </w:r>
          </w:p>
        </w:tc>
        <w:tc>
          <w:tcPr>
            <w:tcW w:type="dxa" w:w="3408"/>
            <w:vAlign w:val="top"/>
          </w:tcPr>
          <w:p>
            <w:r>
              <w:rPr>
                <w:sz w:val="16"/>
              </w:rPr>
              <w:t>Suggested mappings and gaps; compliance owner validates.</w:t>
            </w:r>
          </w:p>
        </w:tc>
      </w:tr>
      <w:tr>
        <w:tc>
          <w:tcPr>
            <w:tcW w:type="dxa" w:w="3408"/>
            <w:vAlign w:val="top"/>
          </w:tcPr>
          <w:p>
            <w:r>
              <w:rPr>
                <w:sz w:val="16"/>
              </w:rPr>
              <w:t>Management response assistant</w:t>
            </w:r>
          </w:p>
        </w:tc>
        <w:tc>
          <w:tcPr>
            <w:tcW w:type="dxa" w:w="3408"/>
            <w:vAlign w:val="top"/>
          </w:tcPr>
          <w:p>
            <w:r>
              <w:rPr>
                <w:sz w:val="16"/>
              </w:rPr>
              <w:t>Finding + policy context</w:t>
            </w:r>
          </w:p>
        </w:tc>
        <w:tc>
          <w:tcPr>
            <w:tcW w:type="dxa" w:w="3408"/>
            <w:vAlign w:val="top"/>
          </w:tcPr>
          <w:p>
            <w:r>
              <w:rPr>
                <w:sz w:val="16"/>
              </w:rPr>
              <w:t>Draft response/action plan; owner remains responsible.</w:t>
            </w:r>
          </w:p>
        </w:tc>
      </w:tr>
      <w:tr>
        <w:tc>
          <w:tcPr>
            <w:tcW w:type="dxa" w:w="3408"/>
            <w:vAlign w:val="top"/>
          </w:tcPr>
          <w:p>
            <w:r>
              <w:rPr>
                <w:sz w:val="16"/>
              </w:rPr>
              <w:t>Audit Q&amp;A</w:t>
            </w:r>
          </w:p>
        </w:tc>
        <w:tc>
          <w:tcPr>
            <w:tcW w:type="dxa" w:w="3408"/>
            <w:vAlign w:val="top"/>
          </w:tcPr>
          <w:p>
            <w:r>
              <w:rPr>
                <w:sz w:val="16"/>
              </w:rPr>
              <w:t>Authorised audit repository</w:t>
            </w:r>
          </w:p>
        </w:tc>
        <w:tc>
          <w:tcPr>
            <w:tcW w:type="dxa" w:w="3408"/>
            <w:vAlign w:val="top"/>
          </w:tcPr>
          <w:p>
            <w:r>
              <w:rPr>
                <w:sz w:val="16"/>
              </w:rPr>
              <w:t>Answers with source references and confidence/coverage indicator.</w:t>
            </w:r>
          </w:p>
        </w:tc>
      </w:tr>
    </w:tbl>
    <w:p>
      <w:pPr>
        <w:pStyle w:val="Heading1"/>
      </w:pPr>
      <w:r>
        <w:t>12. Dashboards &amp; Reporting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Dashboard</w:t>
            </w:r>
          </w:p>
        </w:tc>
        <w:tc>
          <w:tcPr>
            <w:tcW w:type="dxa" w:w="5112"/>
            <w:shd w:fill="D9EAF7"/>
            <w:vAlign w:val="center"/>
          </w:tcPr>
          <w:p>
            <w:r>
              <w:rPr>
                <w:b/>
                <w:sz w:val="16"/>
              </w:rPr>
              <w:t>Key indicators</w:t>
            </w:r>
          </w:p>
        </w:tc>
      </w:tr>
      <w:tr>
        <w:tc>
          <w:tcPr>
            <w:tcW w:type="dxa" w:w="5112"/>
            <w:vAlign w:val="top"/>
          </w:tcPr>
          <w:p>
            <w:r>
              <w:rPr>
                <w:sz w:val="16"/>
              </w:rPr>
              <w:t>Board / Audit Committee</w:t>
            </w:r>
          </w:p>
        </w:tc>
        <w:tc>
          <w:tcPr>
            <w:tcW w:type="dxa" w:w="5112"/>
            <w:vAlign w:val="top"/>
          </w:tcPr>
          <w:p>
            <w:r>
              <w:rPr>
                <w:sz w:val="16"/>
              </w:rPr>
              <w:t>Overall audit plan status, high/critical findings, overdue actions, risk heatmap, repeat findings, top emerging risks.</w:t>
            </w:r>
          </w:p>
        </w:tc>
      </w:tr>
      <w:tr>
        <w:tc>
          <w:tcPr>
            <w:tcW w:type="dxa" w:w="5112"/>
            <w:vAlign w:val="top"/>
          </w:tcPr>
          <w:p>
            <w:r>
              <w:rPr>
                <w:sz w:val="16"/>
              </w:rPr>
              <w:t>CAE</w:t>
            </w:r>
          </w:p>
        </w:tc>
        <w:tc>
          <w:tcPr>
            <w:tcW w:type="dxa" w:w="5112"/>
            <w:vAlign w:val="top"/>
          </w:tcPr>
          <w:p>
            <w:r>
              <w:rPr>
                <w:sz w:val="16"/>
              </w:rPr>
              <w:t>Plan coverage, risk coverage, audit cycle time, team utilisation, findings by severity, overdue remediation, branch ranking.</w:t>
            </w:r>
          </w:p>
        </w:tc>
      </w:tr>
      <w:tr>
        <w:tc>
          <w:tcPr>
            <w:tcW w:type="dxa" w:w="5112"/>
            <w:vAlign w:val="top"/>
          </w:tcPr>
          <w:p>
            <w:r>
              <w:rPr>
                <w:sz w:val="16"/>
              </w:rPr>
              <w:t>Audit Manager</w:t>
            </w:r>
          </w:p>
        </w:tc>
        <w:tc>
          <w:tcPr>
            <w:tcW w:type="dxa" w:w="5112"/>
            <w:vAlign w:val="top"/>
          </w:tcPr>
          <w:p>
            <w:r>
              <w:rPr>
                <w:sz w:val="16"/>
              </w:rPr>
              <w:t>Engagement progress, workpaper review queue, open evidence requests, findings pending response, overdue tasks.</w:t>
            </w:r>
          </w:p>
        </w:tc>
      </w:tr>
      <w:tr>
        <w:tc>
          <w:tcPr>
            <w:tcW w:type="dxa" w:w="5112"/>
            <w:vAlign w:val="top"/>
          </w:tcPr>
          <w:p>
            <w:r>
              <w:rPr>
                <w:sz w:val="16"/>
              </w:rPr>
              <w:t>Branch</w:t>
            </w:r>
          </w:p>
        </w:tc>
        <w:tc>
          <w:tcPr>
            <w:tcW w:type="dxa" w:w="5112"/>
            <w:vAlign w:val="top"/>
          </w:tcPr>
          <w:p>
            <w:r>
              <w:rPr>
                <w:sz w:val="16"/>
              </w:rPr>
              <w:t>Branch risk grade, open findings, repeat findings, current audit status, CAAT exceptions.</w:t>
            </w:r>
          </w:p>
        </w:tc>
      </w:tr>
      <w:tr>
        <w:tc>
          <w:tcPr>
            <w:tcW w:type="dxa" w:w="5112"/>
            <w:vAlign w:val="top"/>
          </w:tcPr>
          <w:p>
            <w:r>
              <w:rPr>
                <w:sz w:val="16"/>
              </w:rPr>
              <w:t>Risk / Compliance</w:t>
            </w:r>
          </w:p>
        </w:tc>
        <w:tc>
          <w:tcPr>
            <w:tcW w:type="dxa" w:w="5112"/>
            <w:vAlign w:val="top"/>
          </w:tcPr>
          <w:p>
            <w:r>
              <w:rPr>
                <w:sz w:val="16"/>
              </w:rPr>
              <w:t>Top risks, control effectiveness, compliance breaches, overdue attestations, linked audit coverage.</w:t>
            </w:r>
          </w:p>
        </w:tc>
      </w:tr>
      <w:tr>
        <w:tc>
          <w:tcPr>
            <w:tcW w:type="dxa" w:w="5112"/>
            <w:vAlign w:val="top"/>
          </w:tcPr>
          <w:p>
            <w:r>
              <w:rPr>
                <w:sz w:val="16"/>
              </w:rPr>
              <w:t>CAAT/AI</w:t>
            </w:r>
          </w:p>
        </w:tc>
        <w:tc>
          <w:tcPr>
            <w:tcW w:type="dxa" w:w="5112"/>
            <w:vAlign w:val="top"/>
          </w:tcPr>
          <w:p>
            <w:r>
              <w:rPr>
                <w:sz w:val="16"/>
              </w:rPr>
              <w:t>Alerts by severity, alert ageing, false-positive rate, dispositions, top anomalous entities, model performance.</w:t>
            </w:r>
          </w:p>
        </w:tc>
      </w:tr>
      <w:tr>
        <w:tc>
          <w:tcPr>
            <w:tcW w:type="dxa" w:w="5112"/>
            <w:vAlign w:val="top"/>
          </w:tcPr>
          <w:p>
            <w:r>
              <w:rPr>
                <w:sz w:val="16"/>
              </w:rPr>
              <w:t>Management</w:t>
            </w:r>
          </w:p>
        </w:tc>
        <w:tc>
          <w:tcPr>
            <w:tcW w:type="dxa" w:w="5112"/>
            <w:vAlign w:val="top"/>
          </w:tcPr>
          <w:p>
            <w:r>
              <w:rPr>
                <w:sz w:val="16"/>
              </w:rPr>
              <w:t>Trend of findings, remediation, risk, control failures and regulatory exceptions.</w:t>
            </w:r>
          </w:p>
        </w:tc>
      </w:tr>
    </w:tbl>
    <w:p>
      <w:r>
        <w:t>Exports should include PDF, XLSX and CSV where appropriate. Reports should be configurable by role and scope.</w:t>
      </w:r>
    </w:p>
    <w:p>
      <w:pPr>
        <w:pStyle w:val="Heading1"/>
      </w:pPr>
      <w:r>
        <w:t>13. Workflow &amp; Status Design</w:t>
      </w:r>
    </w:p>
    <w:p>
      <w:r>
        <w:t>Recommended engagement lifecycle:</w:t>
      </w:r>
    </w:p>
    <w:p>
      <w:r>
        <w:t>Plan → Approve → Initiate → Scope → Fieldwork → Reviewer Review → Draft Report → Management Response → CAE Approval → Final Report → Remediation → Validation → Close</w:t>
      </w:r>
    </w:p>
    <w:p>
      <w:r>
        <w:t>Recommended finding lifecycle:</w:t>
      </w:r>
    </w:p>
    <w:p>
      <w:r>
        <w:t>Draft → Internal Review → Issued → Management Response → Action in Progress → Evidence Submitted → Validation → Closed / Reopened</w:t>
      </w:r>
    </w:p>
    <w:p>
      <w:r>
        <w:t>Every status transition must record user, timestamp, previous state, new state and optional reason.</w:t>
      </w:r>
    </w:p>
    <w:p>
      <w:pPr>
        <w:pStyle w:val="Heading1"/>
      </w:pPr>
      <w:r>
        <w:t>14. Notification &amp; Escalation Rules</w:t>
      </w:r>
    </w:p>
    <w:p>
      <w:r>
        <w:rPr>
          <w:b/>
        </w:rPr>
        <w:t xml:space="preserve">NTF-001 [Must] </w:t>
      </w:r>
      <w:r>
        <w:t>Notify assignees when a task/request is created.</w:t>
      </w:r>
    </w:p>
    <w:p>
      <w:r>
        <w:rPr>
          <w:b/>
        </w:rPr>
        <w:t xml:space="preserve">NTF-002 [Must] </w:t>
      </w:r>
      <w:r>
        <w:t>Send configurable reminders before due date.</w:t>
      </w:r>
    </w:p>
    <w:p>
      <w:r>
        <w:rPr>
          <w:b/>
        </w:rPr>
        <w:t xml:space="preserve">NTF-003 [Must] </w:t>
      </w:r>
      <w:r>
        <w:t>Escalate overdue evidence requests and action plans according to configurable hierarchy.</w:t>
      </w:r>
    </w:p>
    <w:p>
      <w:r>
        <w:rPr>
          <w:b/>
        </w:rPr>
        <w:t xml:space="preserve">NTF-004 [Must] </w:t>
      </w:r>
      <w:r>
        <w:t>Escalate critical findings immediately to defined senior roles.</w:t>
      </w:r>
    </w:p>
    <w:p>
      <w:r>
        <w:rPr>
          <w:b/>
        </w:rPr>
        <w:t xml:space="preserve">NTF-005 [Must] </w:t>
      </w:r>
      <w:r>
        <w:t>Allow notification schedules to be configured per bank and per audit type.</w:t>
      </w:r>
    </w:p>
    <w:p>
      <w:r>
        <w:rPr>
          <w:b/>
        </w:rPr>
        <w:t xml:space="preserve">NTF-006 [Must] </w:t>
      </w:r>
      <w:r>
        <w:t>Do not send sensitive evidence in email; notifications should deep-link into the secure system.</w:t>
      </w:r>
    </w:p>
    <w:p>
      <w:pPr>
        <w:pStyle w:val="Heading1"/>
      </w:pPr>
      <w:r>
        <w:t>15. Security &amp; Non-Functional Requirements</w:t>
      </w:r>
    </w:p>
    <w:p>
      <w:r>
        <w:rPr>
          <w:b/>
        </w:rPr>
        <w:t xml:space="preserve">NFR-SEC-001 [Must] </w:t>
      </w:r>
      <w:r>
        <w:t>Support SSO via SAML 2.0 and/or OIDC; MFA must be supported.</w:t>
      </w:r>
    </w:p>
    <w:p>
      <w:r>
        <w:rPr>
          <w:b/>
        </w:rPr>
        <w:t xml:space="preserve">NFR-SEC-002 [Must] </w:t>
      </w:r>
      <w:r>
        <w:t>Use RBAC plus organisational/data-scope controls.</w:t>
      </w:r>
    </w:p>
    <w:p>
      <w:r>
        <w:rPr>
          <w:b/>
        </w:rPr>
        <w:t xml:space="preserve">NFR-SEC-003 [Must] </w:t>
      </w:r>
      <w:r>
        <w:t>Encrypt data in transit using TLS and data at rest using strong industry-standard encryption.</w:t>
      </w:r>
    </w:p>
    <w:p>
      <w:r>
        <w:rPr>
          <w:b/>
        </w:rPr>
        <w:t xml:space="preserve">NFR-SEC-004 [Must] </w:t>
      </w:r>
      <w:r>
        <w:t>Use secrets management; never store credentials in source code or configuration repositories.</w:t>
      </w:r>
    </w:p>
    <w:p>
      <w:r>
        <w:rPr>
          <w:b/>
        </w:rPr>
        <w:t xml:space="preserve">NFR-SEC-005 [Must] </w:t>
      </w:r>
      <w:r>
        <w:t>Maintain tamper-evident audit logs for authentication, authorisation, data changes, workflow transitions, exports, configuration and AI actions.</w:t>
      </w:r>
    </w:p>
    <w:p>
      <w:r>
        <w:rPr>
          <w:b/>
        </w:rPr>
        <w:t xml:space="preserve">NFR-SEC-006 [Must] </w:t>
      </w:r>
      <w:r>
        <w:t>Support IP/device/session controls as an optional bank policy.</w:t>
      </w:r>
    </w:p>
    <w:p>
      <w:r>
        <w:rPr>
          <w:b/>
        </w:rPr>
        <w:t xml:space="preserve">NFR-SEC-007 [Must] </w:t>
      </w:r>
      <w:r>
        <w:t>Implement secure file scanning, content-type validation and malware scanning for uploaded evidence.</w:t>
      </w:r>
    </w:p>
    <w:p>
      <w:r>
        <w:rPr>
          <w:b/>
        </w:rPr>
        <w:t xml:space="preserve">NFR-SEC-008 [Must] </w:t>
      </w:r>
      <w:r>
        <w:t>Support data retention, legal hold and secure deletion according to bank policy.</w:t>
      </w:r>
    </w:p>
    <w:p>
      <w:r>
        <w:rPr>
          <w:b/>
        </w:rPr>
        <w:t xml:space="preserve">NFR-SEC-009 [Must] </w:t>
      </w:r>
      <w:r>
        <w:t>Conduct independent VAPT before production and after material security changes.</w:t>
      </w:r>
    </w:p>
    <w:p>
      <w:r>
        <w:rPr>
          <w:b/>
        </w:rPr>
        <w:t xml:space="preserve">NFR-SEC-010 [Must] </w:t>
      </w:r>
      <w:r>
        <w:t>Support segregation of tenant/client data where SaaS is used; dedicated database or dedicated deployment should be an enterprise option.</w:t>
      </w:r>
    </w:p>
    <w:p>
      <w:r>
        <w:rPr>
          <w:b/>
        </w:rPr>
        <w:t xml:space="preserve">NFR-PERF-001 [Must] </w:t>
      </w:r>
      <w:r>
        <w:t>Normal interactive pages should target sub-3-second response for common operations under agreed load.</w:t>
      </w:r>
    </w:p>
    <w:p>
      <w:r>
        <w:rPr>
          <w:b/>
        </w:rPr>
        <w:t xml:space="preserve">NFR-PERF-002 [Must] </w:t>
      </w:r>
      <w:r>
        <w:t>CAAT workloads must run asynchronously and must not block transactional application use.</w:t>
      </w:r>
    </w:p>
    <w:p>
      <w:r>
        <w:rPr>
          <w:b/>
        </w:rPr>
        <w:t xml:space="preserve">NFR-PERF-003 [Must] </w:t>
      </w:r>
      <w:r>
        <w:t>Support horizontal scaling of analytics workers independently from the transactional application.</w:t>
      </w:r>
    </w:p>
    <w:p>
      <w:r>
        <w:rPr>
          <w:b/>
        </w:rPr>
        <w:t xml:space="preserve">NFR-AVL-001 [Must] </w:t>
      </w:r>
      <w:r>
        <w:t>Target 99.9% availability for production core services, subject to deployment model and SLA.</w:t>
      </w:r>
    </w:p>
    <w:p>
      <w:r>
        <w:rPr>
          <w:b/>
        </w:rPr>
        <w:t xml:space="preserve">NFR-DR-001 [Must] </w:t>
      </w:r>
      <w:r>
        <w:t>Define RPO/RTO per client; enterprise baseline recommendation: RPO ≤ 15 minutes and RTO ≤ 4 hours where infrastructure supports it.</w:t>
      </w:r>
    </w:p>
    <w:p>
      <w:r>
        <w:rPr>
          <w:b/>
        </w:rPr>
        <w:t xml:space="preserve">NFR-AUD-001 [Must] </w:t>
      </w:r>
      <w:r>
        <w:t>All audit records must be traceable, time-stamped and exportable.</w:t>
      </w:r>
    </w:p>
    <w:p>
      <w:r>
        <w:rPr>
          <w:b/>
        </w:rPr>
        <w:t xml:space="preserve">NFR-UX-001 [Must] </w:t>
      </w:r>
      <w:r>
        <w:t>Responsive web UI; accessibility and keyboard navigation should be included in the design system.</w:t>
      </w:r>
    </w:p>
    <w:p>
      <w:r>
        <w:rPr>
          <w:b/>
        </w:rPr>
        <w:t xml:space="preserve">NFR-I18N-001 [Must] </w:t>
      </w:r>
      <w:r>
        <w:t>Architecture must support English first and Bangla as a future language pack; avoid hard-coded UI strings.</w:t>
      </w:r>
    </w:p>
    <w:p>
      <w:pPr>
        <w:pStyle w:val="Heading1"/>
      </w:pPr>
      <w:r>
        <w:t>16. Data Model – Core Entities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Entity</w:t>
            </w:r>
          </w:p>
        </w:tc>
        <w:tc>
          <w:tcPr>
            <w:tcW w:type="dxa" w:w="5112"/>
            <w:shd w:fill="D9EAF7"/>
            <w:vAlign w:val="center"/>
          </w:tcPr>
          <w:p>
            <w:r>
              <w:rPr>
                <w:b/>
                <w:sz w:val="16"/>
              </w:rPr>
              <w:t>Important relationships</w:t>
            </w:r>
          </w:p>
        </w:tc>
      </w:tr>
      <w:tr>
        <w:tc>
          <w:tcPr>
            <w:tcW w:type="dxa" w:w="5112"/>
            <w:vAlign w:val="top"/>
          </w:tcPr>
          <w:p>
            <w:r>
              <w:rPr>
                <w:sz w:val="16"/>
              </w:rPr>
              <w:t>Organisation</w:t>
            </w:r>
          </w:p>
        </w:tc>
        <w:tc>
          <w:tcPr>
            <w:tcW w:type="dxa" w:w="5112"/>
            <w:vAlign w:val="top"/>
          </w:tcPr>
          <w:p>
            <w:r>
              <w:rPr>
                <w:sz w:val="16"/>
              </w:rPr>
              <w:t>Parent/child hierarchy; branches; departments.</w:t>
            </w:r>
          </w:p>
        </w:tc>
      </w:tr>
      <w:tr>
        <w:tc>
          <w:tcPr>
            <w:tcW w:type="dxa" w:w="5112"/>
            <w:vAlign w:val="top"/>
          </w:tcPr>
          <w:p>
            <w:r>
              <w:rPr>
                <w:sz w:val="16"/>
              </w:rPr>
              <w:t>User / Role</w:t>
            </w:r>
          </w:p>
        </w:tc>
        <w:tc>
          <w:tcPr>
            <w:tcW w:type="dxa" w:w="5112"/>
            <w:vAlign w:val="top"/>
          </w:tcPr>
          <w:p>
            <w:r>
              <w:rPr>
                <w:sz w:val="16"/>
              </w:rPr>
              <w:t>User-to-role-to-scope; effective dates.</w:t>
            </w:r>
          </w:p>
        </w:tc>
      </w:tr>
      <w:tr>
        <w:tc>
          <w:tcPr>
            <w:tcW w:type="dxa" w:w="5112"/>
            <w:vAlign w:val="top"/>
          </w:tcPr>
          <w:p>
            <w:r>
              <w:rPr>
                <w:sz w:val="16"/>
              </w:rPr>
              <w:t>Audit Universe Item</w:t>
            </w:r>
          </w:p>
        </w:tc>
        <w:tc>
          <w:tcPr>
            <w:tcW w:type="dxa" w:w="5112"/>
            <w:vAlign w:val="top"/>
          </w:tcPr>
          <w:p>
            <w:r>
              <w:rPr>
                <w:sz w:val="16"/>
              </w:rPr>
              <w:t>Entity/process/system linked to risks, controls, audits and findings.</w:t>
            </w:r>
          </w:p>
        </w:tc>
      </w:tr>
      <w:tr>
        <w:tc>
          <w:tcPr>
            <w:tcW w:type="dxa" w:w="5112"/>
            <w:vAlign w:val="top"/>
          </w:tcPr>
          <w:p>
            <w:r>
              <w:rPr>
                <w:sz w:val="16"/>
              </w:rPr>
              <w:t>Risk</w:t>
            </w:r>
          </w:p>
        </w:tc>
        <w:tc>
          <w:tcPr>
            <w:tcW w:type="dxa" w:w="5112"/>
            <w:vAlign w:val="top"/>
          </w:tcPr>
          <w:p>
            <w:r>
              <w:rPr>
                <w:sz w:val="16"/>
              </w:rPr>
              <w:t>Risk linked to universe item, control, score, incidents and findings.</w:t>
            </w:r>
          </w:p>
        </w:tc>
      </w:tr>
      <w:tr>
        <w:tc>
          <w:tcPr>
            <w:tcW w:type="dxa" w:w="5112"/>
            <w:vAlign w:val="top"/>
          </w:tcPr>
          <w:p>
            <w:r>
              <w:rPr>
                <w:sz w:val="16"/>
              </w:rPr>
              <w:t>Control</w:t>
            </w:r>
          </w:p>
        </w:tc>
        <w:tc>
          <w:tcPr>
            <w:tcW w:type="dxa" w:w="5112"/>
            <w:vAlign w:val="top"/>
          </w:tcPr>
          <w:p>
            <w:r>
              <w:rPr>
                <w:sz w:val="16"/>
              </w:rPr>
              <w:t>Control linked to risk, process, regulatory obligation and test results.</w:t>
            </w:r>
          </w:p>
        </w:tc>
      </w:tr>
      <w:tr>
        <w:tc>
          <w:tcPr>
            <w:tcW w:type="dxa" w:w="5112"/>
            <w:vAlign w:val="top"/>
          </w:tcPr>
          <w:p>
            <w:r>
              <w:rPr>
                <w:sz w:val="16"/>
              </w:rPr>
              <w:t>Audit Plan</w:t>
            </w:r>
          </w:p>
        </w:tc>
        <w:tc>
          <w:tcPr>
            <w:tcW w:type="dxa" w:w="5112"/>
            <w:vAlign w:val="top"/>
          </w:tcPr>
          <w:p>
            <w:r>
              <w:rPr>
                <w:sz w:val="16"/>
              </w:rPr>
              <w:t>Contains planned engagements and risk rationale.</w:t>
            </w:r>
          </w:p>
        </w:tc>
      </w:tr>
      <w:tr>
        <w:tc>
          <w:tcPr>
            <w:tcW w:type="dxa" w:w="5112"/>
            <w:vAlign w:val="top"/>
          </w:tcPr>
          <w:p>
            <w:r>
              <w:rPr>
                <w:sz w:val="16"/>
              </w:rPr>
              <w:t>Engagement</w:t>
            </w:r>
          </w:p>
        </w:tc>
        <w:tc>
          <w:tcPr>
            <w:tcW w:type="dxa" w:w="5112"/>
            <w:vAlign w:val="top"/>
          </w:tcPr>
          <w:p>
            <w:r>
              <w:rPr>
                <w:sz w:val="16"/>
              </w:rPr>
              <w:t>Links auditable unit, objectives, scope, risks, controls, team and workpapers.</w:t>
            </w:r>
          </w:p>
        </w:tc>
      </w:tr>
      <w:tr>
        <w:tc>
          <w:tcPr>
            <w:tcW w:type="dxa" w:w="5112"/>
            <w:vAlign w:val="top"/>
          </w:tcPr>
          <w:p>
            <w:r>
              <w:rPr>
                <w:sz w:val="16"/>
              </w:rPr>
              <w:t>Audit Procedure</w:t>
            </w:r>
          </w:p>
        </w:tc>
        <w:tc>
          <w:tcPr>
            <w:tcW w:type="dxa" w:w="5112"/>
            <w:vAlign w:val="top"/>
          </w:tcPr>
          <w:p>
            <w:r>
              <w:rPr>
                <w:sz w:val="16"/>
              </w:rPr>
              <w:t>Belongs to engagement; links to evidence and test results.</w:t>
            </w:r>
          </w:p>
        </w:tc>
      </w:tr>
      <w:tr>
        <w:tc>
          <w:tcPr>
            <w:tcW w:type="dxa" w:w="5112"/>
            <w:vAlign w:val="top"/>
          </w:tcPr>
          <w:p>
            <w:r>
              <w:rPr>
                <w:sz w:val="16"/>
              </w:rPr>
              <w:t>Workpaper</w:t>
            </w:r>
          </w:p>
        </w:tc>
        <w:tc>
          <w:tcPr>
            <w:tcW w:type="dxa" w:w="5112"/>
            <w:vAlign w:val="top"/>
          </w:tcPr>
          <w:p>
            <w:r>
              <w:rPr>
                <w:sz w:val="16"/>
              </w:rPr>
              <w:t>Versioned record with evidence and reviewer sign-off.</w:t>
            </w:r>
          </w:p>
        </w:tc>
      </w:tr>
      <w:tr>
        <w:tc>
          <w:tcPr>
            <w:tcW w:type="dxa" w:w="5112"/>
            <w:vAlign w:val="top"/>
          </w:tcPr>
          <w:p>
            <w:r>
              <w:rPr>
                <w:sz w:val="16"/>
              </w:rPr>
              <w:t>Evidence</w:t>
            </w:r>
          </w:p>
        </w:tc>
        <w:tc>
          <w:tcPr>
            <w:tcW w:type="dxa" w:w="5112"/>
            <w:vAlign w:val="top"/>
          </w:tcPr>
          <w:p>
            <w:r>
              <w:rPr>
                <w:sz w:val="16"/>
              </w:rPr>
              <w:t>Secure file/record with metadata, checksum and source.</w:t>
            </w:r>
          </w:p>
        </w:tc>
      </w:tr>
      <w:tr>
        <w:tc>
          <w:tcPr>
            <w:tcW w:type="dxa" w:w="5112"/>
            <w:vAlign w:val="top"/>
          </w:tcPr>
          <w:p>
            <w:r>
              <w:rPr>
                <w:sz w:val="16"/>
              </w:rPr>
              <w:t>Finding</w:t>
            </w:r>
          </w:p>
        </w:tc>
        <w:tc>
          <w:tcPr>
            <w:tcW w:type="dxa" w:w="5112"/>
            <w:vAlign w:val="top"/>
          </w:tcPr>
          <w:p>
            <w:r>
              <w:rPr>
                <w:sz w:val="16"/>
              </w:rPr>
              <w:t>Links condition, criteria, cause, consequence, recommendation, evidence and action plan.</w:t>
            </w:r>
          </w:p>
        </w:tc>
      </w:tr>
      <w:tr>
        <w:tc>
          <w:tcPr>
            <w:tcW w:type="dxa" w:w="5112"/>
            <w:vAlign w:val="top"/>
          </w:tcPr>
          <w:p>
            <w:r>
              <w:rPr>
                <w:sz w:val="16"/>
              </w:rPr>
              <w:t>Action Plan</w:t>
            </w:r>
          </w:p>
        </w:tc>
        <w:tc>
          <w:tcPr>
            <w:tcW w:type="dxa" w:w="5112"/>
            <w:vAlign w:val="top"/>
          </w:tcPr>
          <w:p>
            <w:r>
              <w:rPr>
                <w:sz w:val="16"/>
              </w:rPr>
              <w:t>Owner, due date, milestones, evidence and validation.</w:t>
            </w:r>
          </w:p>
        </w:tc>
      </w:tr>
      <w:tr>
        <w:tc>
          <w:tcPr>
            <w:tcW w:type="dxa" w:w="5112"/>
            <w:vAlign w:val="top"/>
          </w:tcPr>
          <w:p>
            <w:r>
              <w:rPr>
                <w:sz w:val="16"/>
              </w:rPr>
              <w:t>Regulatory Obligation</w:t>
            </w:r>
          </w:p>
        </w:tc>
        <w:tc>
          <w:tcPr>
            <w:tcW w:type="dxa" w:w="5112"/>
            <w:vAlign w:val="top"/>
          </w:tcPr>
          <w:p>
            <w:r>
              <w:rPr>
                <w:sz w:val="16"/>
              </w:rPr>
              <w:t>Maps to controls, processes, audits and evidence.</w:t>
            </w:r>
          </w:p>
        </w:tc>
      </w:tr>
      <w:tr>
        <w:tc>
          <w:tcPr>
            <w:tcW w:type="dxa" w:w="5112"/>
            <w:vAlign w:val="top"/>
          </w:tcPr>
          <w:p>
            <w:r>
              <w:rPr>
                <w:sz w:val="16"/>
              </w:rPr>
              <w:t>CAAT Rule</w:t>
            </w:r>
          </w:p>
        </w:tc>
        <w:tc>
          <w:tcPr>
            <w:tcW w:type="dxa" w:w="5112"/>
            <w:vAlign w:val="top"/>
          </w:tcPr>
          <w:p>
            <w:r>
              <w:rPr>
                <w:sz w:val="16"/>
              </w:rPr>
              <w:t>Logic, scope, schedule, threshold, severity and version.</w:t>
            </w:r>
          </w:p>
        </w:tc>
      </w:tr>
      <w:tr>
        <w:tc>
          <w:tcPr>
            <w:tcW w:type="dxa" w:w="5112"/>
            <w:vAlign w:val="top"/>
          </w:tcPr>
          <w:p>
            <w:r>
              <w:rPr>
                <w:sz w:val="16"/>
              </w:rPr>
              <w:t>CAAT Exception</w:t>
            </w:r>
          </w:p>
        </w:tc>
        <w:tc>
          <w:tcPr>
            <w:tcW w:type="dxa" w:w="5112"/>
            <w:vAlign w:val="top"/>
          </w:tcPr>
          <w:p>
            <w:r>
              <w:rPr>
                <w:sz w:val="16"/>
              </w:rPr>
              <w:t>Source transaction/entity, rule, reason, status and linked finding.</w:t>
            </w:r>
          </w:p>
        </w:tc>
      </w:tr>
      <w:tr>
        <w:tc>
          <w:tcPr>
            <w:tcW w:type="dxa" w:w="5112"/>
            <w:vAlign w:val="top"/>
          </w:tcPr>
          <w:p>
            <w:r>
              <w:rPr>
                <w:sz w:val="16"/>
              </w:rPr>
              <w:t>AI Model</w:t>
            </w:r>
          </w:p>
        </w:tc>
        <w:tc>
          <w:tcPr>
            <w:tcW w:type="dxa" w:w="5112"/>
            <w:vAlign w:val="top"/>
          </w:tcPr>
          <w:p>
            <w:r>
              <w:rPr>
                <w:sz w:val="16"/>
              </w:rPr>
              <w:t>Version, training period, features, validation, approval and status.</w:t>
            </w:r>
          </w:p>
        </w:tc>
      </w:tr>
      <w:tr>
        <w:tc>
          <w:tcPr>
            <w:tcW w:type="dxa" w:w="5112"/>
            <w:vAlign w:val="top"/>
          </w:tcPr>
          <w:p>
            <w:r>
              <w:rPr>
                <w:sz w:val="16"/>
              </w:rPr>
              <w:t>AI Alert</w:t>
            </w:r>
          </w:p>
        </w:tc>
        <w:tc>
          <w:tcPr>
            <w:tcW w:type="dxa" w:w="5112"/>
            <w:vAlign w:val="top"/>
          </w:tcPr>
          <w:p>
            <w:r>
              <w:rPr>
                <w:sz w:val="16"/>
              </w:rPr>
              <w:t>Score, explanation, model version, entity, evidence, disposition.</w:t>
            </w:r>
          </w:p>
        </w:tc>
      </w:tr>
      <w:tr>
        <w:tc>
          <w:tcPr>
            <w:tcW w:type="dxa" w:w="5112"/>
            <w:vAlign w:val="top"/>
          </w:tcPr>
          <w:p>
            <w:r>
              <w:rPr>
                <w:sz w:val="16"/>
              </w:rPr>
              <w:t>Audit Log</w:t>
            </w:r>
          </w:p>
        </w:tc>
        <w:tc>
          <w:tcPr>
            <w:tcW w:type="dxa" w:w="5112"/>
            <w:vAlign w:val="top"/>
          </w:tcPr>
          <w:p>
            <w:r>
              <w:rPr>
                <w:sz w:val="16"/>
              </w:rPr>
              <w:t>Immutable actor/action/time/object/context record.</w:t>
            </w:r>
          </w:p>
        </w:tc>
      </w:tr>
    </w:tbl>
    <w:p>
      <w:pPr>
        <w:pStyle w:val="Heading1"/>
      </w:pPr>
      <w:r>
        <w:t>17. Integration Architecture</w:t>
      </w:r>
    </w:p>
    <w:p>
      <w:r>
        <w:t>Recommended pattern: API-first modular platform with an integration/data ingestion layer between bank systems and analytics.</w:t>
      </w:r>
    </w:p>
    <w:p>
      <w:pPr>
        <w:pStyle w:val="ListBullet"/>
      </w:pPr>
      <w:r>
        <w:t>CBS: account, customer, transaction, branch, GL and operational data.</w:t>
      </w:r>
    </w:p>
    <w:p>
      <w:pPr>
        <w:pStyle w:val="ListBullet"/>
      </w:pPr>
      <w:r>
        <w:t>HRMS: employee status, branch, role, joining/exit dates and organisational hierarchy.</w:t>
      </w:r>
    </w:p>
    <w:p>
      <w:pPr>
        <w:pStyle w:val="ListBullet"/>
      </w:pPr>
      <w:r>
        <w:t>Loan systems: applications, approvals, disbursement, repayment, restructuring and delinquency.</w:t>
      </w:r>
    </w:p>
    <w:p>
      <w:pPr>
        <w:pStyle w:val="ListBullet"/>
      </w:pPr>
      <w:r>
        <w:t>AML/CFT: alerts and risk indicators where permitted.</w:t>
      </w:r>
    </w:p>
    <w:p>
      <w:pPr>
        <w:pStyle w:val="ListBullet"/>
      </w:pPr>
      <w:r>
        <w:t>ERP/GL: journals, vendors, procurement and finance data.</w:t>
      </w:r>
    </w:p>
    <w:p>
      <w:pPr>
        <w:pStyle w:val="ListBullet"/>
      </w:pPr>
      <w:r>
        <w:t>Payment systems: transaction feeds and exception data.</w:t>
      </w:r>
    </w:p>
    <w:p>
      <w:pPr>
        <w:pStyle w:val="ListBullet"/>
      </w:pPr>
      <w:r>
        <w:t>Data warehouse/lake: preferred source for large-scale analytics where available.</w:t>
      </w:r>
    </w:p>
    <w:p>
      <w:pPr>
        <w:pStyle w:val="ListBullet"/>
      </w:pPr>
      <w:r>
        <w:t>Identity provider: SSO, directory and MFA.</w:t>
      </w:r>
    </w:p>
    <w:p>
      <w:pPr>
        <w:pStyle w:val="ListBullet"/>
      </w:pPr>
      <w:r>
        <w:t>Email/SMS gateway: notifications.</w:t>
      </w:r>
    </w:p>
    <w:p>
      <w:pPr>
        <w:pStyle w:val="ListBullet"/>
      </w:pPr>
      <w:r>
        <w:t>Optional document management: enterprise records repository.</w:t>
      </w:r>
    </w:p>
    <w:p>
      <w:r>
        <w:t>The system should support both push and pull integration, scheduled ingestion, retries, reconciliation, data quality checks and source lineage.</w:t>
      </w:r>
    </w:p>
    <w:p>
      <w:pPr>
        <w:pStyle w:val="Heading1"/>
      </w:pPr>
      <w:r>
        <w:t>18. Suggested Technical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Layer</w:t>
            </w:r>
          </w:p>
        </w:tc>
        <w:tc>
          <w:tcPr>
            <w:tcW w:type="dxa" w:w="5112"/>
            <w:shd w:fill="D9EAF7"/>
            <w:vAlign w:val="center"/>
          </w:tcPr>
          <w:p>
            <w:r>
              <w:rPr>
                <w:b/>
                <w:sz w:val="16"/>
              </w:rPr>
              <w:t>Recommended approach</w:t>
            </w:r>
          </w:p>
        </w:tc>
      </w:tr>
      <w:tr>
        <w:tc>
          <w:tcPr>
            <w:tcW w:type="dxa" w:w="5112"/>
            <w:vAlign w:val="top"/>
          </w:tcPr>
          <w:p>
            <w:r>
              <w:rPr>
                <w:sz w:val="16"/>
              </w:rPr>
              <w:t>Frontend</w:t>
            </w:r>
          </w:p>
        </w:tc>
        <w:tc>
          <w:tcPr>
            <w:tcW w:type="dxa" w:w="5112"/>
            <w:vAlign w:val="top"/>
          </w:tcPr>
          <w:p>
            <w:r>
              <w:rPr>
                <w:sz w:val="16"/>
              </w:rPr>
              <w:t>React/Next.js or equivalent enterprise SPA; responsive design; reusable component library.</w:t>
            </w:r>
          </w:p>
        </w:tc>
      </w:tr>
      <w:tr>
        <w:tc>
          <w:tcPr>
            <w:tcW w:type="dxa" w:w="5112"/>
            <w:vAlign w:val="top"/>
          </w:tcPr>
          <w:p>
            <w:r>
              <w:rPr>
                <w:sz w:val="16"/>
              </w:rPr>
              <w:t>Backend</w:t>
            </w:r>
          </w:p>
        </w:tc>
        <w:tc>
          <w:tcPr>
            <w:tcW w:type="dxa" w:w="5112"/>
            <w:vAlign w:val="top"/>
          </w:tcPr>
          <w:p>
            <w:r>
              <w:rPr>
                <w:sz w:val="16"/>
              </w:rPr>
              <w:t>Modular service-oriented backend using a mainstream enterprise stack such as .NET/Java/Node.js; API-first.</w:t>
            </w:r>
          </w:p>
        </w:tc>
      </w:tr>
      <w:tr>
        <w:tc>
          <w:tcPr>
            <w:tcW w:type="dxa" w:w="5112"/>
            <w:vAlign w:val="top"/>
          </w:tcPr>
          <w:p>
            <w:r>
              <w:rPr>
                <w:sz w:val="16"/>
              </w:rPr>
              <w:t>Transactional DB</w:t>
            </w:r>
          </w:p>
        </w:tc>
        <w:tc>
          <w:tcPr>
            <w:tcW w:type="dxa" w:w="5112"/>
            <w:vAlign w:val="top"/>
          </w:tcPr>
          <w:p>
            <w:r>
              <w:rPr>
                <w:sz w:val="16"/>
              </w:rPr>
              <w:t>PostgreSQL or equivalent enterprise RDBMS.</w:t>
            </w:r>
          </w:p>
        </w:tc>
      </w:tr>
      <w:tr>
        <w:tc>
          <w:tcPr>
            <w:tcW w:type="dxa" w:w="5112"/>
            <w:vAlign w:val="top"/>
          </w:tcPr>
          <w:p>
            <w:r>
              <w:rPr>
                <w:sz w:val="16"/>
              </w:rPr>
              <w:t>Analytics store</w:t>
            </w:r>
          </w:p>
        </w:tc>
        <w:tc>
          <w:tcPr>
            <w:tcW w:type="dxa" w:w="5112"/>
            <w:vAlign w:val="top"/>
          </w:tcPr>
          <w:p>
            <w:r>
              <w:rPr>
                <w:sz w:val="16"/>
              </w:rPr>
              <w:t>Separate analytical warehouse/lakehouse or columnar store for large CAAT workloads.</w:t>
            </w:r>
          </w:p>
        </w:tc>
      </w:tr>
      <w:tr>
        <w:tc>
          <w:tcPr>
            <w:tcW w:type="dxa" w:w="5112"/>
            <w:vAlign w:val="top"/>
          </w:tcPr>
          <w:p>
            <w:r>
              <w:rPr>
                <w:sz w:val="16"/>
              </w:rPr>
              <w:t>Object storage</w:t>
            </w:r>
          </w:p>
        </w:tc>
        <w:tc>
          <w:tcPr>
            <w:tcW w:type="dxa" w:w="5112"/>
            <w:vAlign w:val="top"/>
          </w:tcPr>
          <w:p>
            <w:r>
              <w:rPr>
                <w:sz w:val="16"/>
              </w:rPr>
              <w:t>Encrypted object storage for evidence with immutable/versioned capability.</w:t>
            </w:r>
          </w:p>
        </w:tc>
      </w:tr>
      <w:tr>
        <w:tc>
          <w:tcPr>
            <w:tcW w:type="dxa" w:w="5112"/>
            <w:vAlign w:val="top"/>
          </w:tcPr>
          <w:p>
            <w:r>
              <w:rPr>
                <w:sz w:val="16"/>
              </w:rPr>
              <w:t>Queue</w:t>
            </w:r>
          </w:p>
        </w:tc>
        <w:tc>
          <w:tcPr>
            <w:tcW w:type="dxa" w:w="5112"/>
            <w:vAlign w:val="top"/>
          </w:tcPr>
          <w:p>
            <w:r>
              <w:rPr>
                <w:sz w:val="16"/>
              </w:rPr>
              <w:t>Kafka/RabbitMQ/SQS-equivalent for asynchronous ingestion, notifications and analytics jobs.</w:t>
            </w:r>
          </w:p>
        </w:tc>
      </w:tr>
      <w:tr>
        <w:tc>
          <w:tcPr>
            <w:tcW w:type="dxa" w:w="5112"/>
            <w:vAlign w:val="top"/>
          </w:tcPr>
          <w:p>
            <w:r>
              <w:rPr>
                <w:sz w:val="16"/>
              </w:rPr>
              <w:t>Search</w:t>
            </w:r>
          </w:p>
        </w:tc>
        <w:tc>
          <w:tcPr>
            <w:tcW w:type="dxa" w:w="5112"/>
            <w:vAlign w:val="top"/>
          </w:tcPr>
          <w:p>
            <w:r>
              <w:rPr>
                <w:sz w:val="16"/>
              </w:rPr>
              <w:t>OpenSearch/Elasticsearch-equivalent for evidence metadata and fast audit search.</w:t>
            </w:r>
          </w:p>
        </w:tc>
      </w:tr>
      <w:tr>
        <w:tc>
          <w:tcPr>
            <w:tcW w:type="dxa" w:w="5112"/>
            <w:vAlign w:val="top"/>
          </w:tcPr>
          <w:p>
            <w:r>
              <w:rPr>
                <w:sz w:val="16"/>
              </w:rPr>
              <w:t>ML layer</w:t>
            </w:r>
          </w:p>
        </w:tc>
        <w:tc>
          <w:tcPr>
            <w:tcW w:type="dxa" w:w="5112"/>
            <w:vAlign w:val="top"/>
          </w:tcPr>
          <w:p>
            <w:r>
              <w:rPr>
                <w:sz w:val="16"/>
              </w:rPr>
              <w:t>Python services with scikit-learn/PyTorch or equivalent; model registry and feature pipeline.</w:t>
            </w:r>
          </w:p>
        </w:tc>
      </w:tr>
      <w:tr>
        <w:tc>
          <w:tcPr>
            <w:tcW w:type="dxa" w:w="5112"/>
            <w:vAlign w:val="top"/>
          </w:tcPr>
          <w:p>
            <w:r>
              <w:rPr>
                <w:sz w:val="16"/>
              </w:rPr>
              <w:t>GenAI</w:t>
            </w:r>
          </w:p>
        </w:tc>
        <w:tc>
          <w:tcPr>
            <w:tcW w:type="dxa" w:w="5112"/>
            <w:vAlign w:val="top"/>
          </w:tcPr>
          <w:p>
            <w:r>
              <w:rPr>
                <w:sz w:val="16"/>
              </w:rPr>
              <w:t>Provider-agnostic LLM gateway supporting private/enterprise models; RAG over authorised content.</w:t>
            </w:r>
          </w:p>
        </w:tc>
      </w:tr>
      <w:tr>
        <w:tc>
          <w:tcPr>
            <w:tcW w:type="dxa" w:w="5112"/>
            <w:vAlign w:val="top"/>
          </w:tcPr>
          <w:p>
            <w:r>
              <w:rPr>
                <w:sz w:val="16"/>
              </w:rPr>
              <w:t>Identity</w:t>
            </w:r>
          </w:p>
        </w:tc>
        <w:tc>
          <w:tcPr>
            <w:tcW w:type="dxa" w:w="5112"/>
            <w:vAlign w:val="top"/>
          </w:tcPr>
          <w:p>
            <w:r>
              <w:rPr>
                <w:sz w:val="16"/>
              </w:rPr>
              <w:t>OIDC/SAML SSO; MFA; centralised RBAC.</w:t>
            </w:r>
          </w:p>
        </w:tc>
      </w:tr>
      <w:tr>
        <w:tc>
          <w:tcPr>
            <w:tcW w:type="dxa" w:w="5112"/>
            <w:vAlign w:val="top"/>
          </w:tcPr>
          <w:p>
            <w:r>
              <w:rPr>
                <w:sz w:val="16"/>
              </w:rPr>
              <w:t>Deployment</w:t>
            </w:r>
          </w:p>
        </w:tc>
        <w:tc>
          <w:tcPr>
            <w:tcW w:type="dxa" w:w="5112"/>
            <w:vAlign w:val="top"/>
          </w:tcPr>
          <w:p>
            <w:r>
              <w:rPr>
                <w:sz w:val="16"/>
              </w:rPr>
              <w:t>On-premise, private cloud and managed cloud options. Containerisation recommended.</w:t>
            </w:r>
          </w:p>
        </w:tc>
      </w:tr>
      <w:tr>
        <w:tc>
          <w:tcPr>
            <w:tcW w:type="dxa" w:w="5112"/>
            <w:vAlign w:val="top"/>
          </w:tcPr>
          <w:p>
            <w:r>
              <w:rPr>
                <w:sz w:val="16"/>
              </w:rPr>
              <w:t>Observability</w:t>
            </w:r>
          </w:p>
        </w:tc>
        <w:tc>
          <w:tcPr>
            <w:tcW w:type="dxa" w:w="5112"/>
            <w:vAlign w:val="top"/>
          </w:tcPr>
          <w:p>
            <w:r>
              <w:rPr>
                <w:sz w:val="16"/>
              </w:rPr>
              <w:t>Centralised logs, metrics, traces and security monitoring.</w:t>
            </w:r>
          </w:p>
        </w:tc>
      </w:tr>
    </w:tbl>
    <w:p>
      <w:pPr>
        <w:pStyle w:val="Heading1"/>
      </w:pPr>
      <w:r>
        <w:t>19. Recommended Module Packaging / Commercial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Package</w:t>
            </w:r>
          </w:p>
        </w:tc>
        <w:tc>
          <w:tcPr>
            <w:tcW w:type="dxa" w:w="3408"/>
            <w:shd w:fill="D9EAF7"/>
            <w:vAlign w:val="center"/>
          </w:tcPr>
          <w:p>
            <w:r>
              <w:rPr>
                <w:b/>
                <w:sz w:val="16"/>
              </w:rPr>
              <w:t>Included</w:t>
            </w:r>
          </w:p>
        </w:tc>
        <w:tc>
          <w:tcPr>
            <w:tcW w:type="dxa" w:w="3408"/>
            <w:shd w:fill="D9EAF7"/>
            <w:vAlign w:val="center"/>
          </w:tcPr>
          <w:p>
            <w:r>
              <w:rPr>
                <w:b/>
                <w:sz w:val="16"/>
              </w:rPr>
              <w:t>Commercial positioning</w:t>
            </w:r>
          </w:p>
        </w:tc>
      </w:tr>
      <w:tr>
        <w:tc>
          <w:tcPr>
            <w:tcW w:type="dxa" w:w="3408"/>
            <w:vAlign w:val="top"/>
          </w:tcPr>
          <w:p>
            <w:r>
              <w:rPr>
                <w:sz w:val="16"/>
              </w:rPr>
              <w:t>Core Audit</w:t>
            </w:r>
          </w:p>
        </w:tc>
        <w:tc>
          <w:tcPr>
            <w:tcW w:type="dxa" w:w="3408"/>
            <w:vAlign w:val="top"/>
          </w:tcPr>
          <w:p>
            <w:r>
              <w:rPr>
                <w:sz w:val="16"/>
              </w:rPr>
              <w:t>Audit universe, planning, engagements, workpapers, findings, remediation, reports.</w:t>
            </w:r>
          </w:p>
        </w:tc>
        <w:tc>
          <w:tcPr>
            <w:tcW w:type="dxa" w:w="3408"/>
            <w:vAlign w:val="top"/>
          </w:tcPr>
          <w:p>
            <w:r>
              <w:rPr>
                <w:sz w:val="16"/>
              </w:rPr>
              <w:t>Base licence.</w:t>
            </w:r>
          </w:p>
        </w:tc>
      </w:tr>
      <w:tr>
        <w:tc>
          <w:tcPr>
            <w:tcW w:type="dxa" w:w="3408"/>
            <w:vAlign w:val="top"/>
          </w:tcPr>
          <w:p>
            <w:r>
              <w:rPr>
                <w:sz w:val="16"/>
              </w:rPr>
              <w:t>Bank GRC</w:t>
            </w:r>
          </w:p>
        </w:tc>
        <w:tc>
          <w:tcPr>
            <w:tcW w:type="dxa" w:w="3408"/>
            <w:vAlign w:val="top"/>
          </w:tcPr>
          <w:p>
            <w:r>
              <w:rPr>
                <w:sz w:val="16"/>
              </w:rPr>
              <w:t>Risk, RCM, control monitoring, regulatory compliance.</w:t>
            </w:r>
          </w:p>
        </w:tc>
        <w:tc>
          <w:tcPr>
            <w:tcW w:type="dxa" w:w="3408"/>
            <w:vAlign w:val="top"/>
          </w:tcPr>
          <w:p>
            <w:r>
              <w:rPr>
                <w:sz w:val="16"/>
              </w:rPr>
              <w:t>Add-on.</w:t>
            </w:r>
          </w:p>
        </w:tc>
      </w:tr>
      <w:tr>
        <w:tc>
          <w:tcPr>
            <w:tcW w:type="dxa" w:w="3408"/>
            <w:vAlign w:val="top"/>
          </w:tcPr>
          <w:p>
            <w:r>
              <w:rPr>
                <w:sz w:val="16"/>
              </w:rPr>
              <w:t>CAAT</w:t>
            </w:r>
          </w:p>
        </w:tc>
        <w:tc>
          <w:tcPr>
            <w:tcW w:type="dxa" w:w="3408"/>
            <w:vAlign w:val="top"/>
          </w:tcPr>
          <w:p>
            <w:r>
              <w:rPr>
                <w:sz w:val="16"/>
              </w:rPr>
              <w:t>Data ingestion, rule engine, exception management, analytics.</w:t>
            </w:r>
          </w:p>
        </w:tc>
        <w:tc>
          <w:tcPr>
            <w:tcW w:type="dxa" w:w="3408"/>
            <w:vAlign w:val="top"/>
          </w:tcPr>
          <w:p>
            <w:r>
              <w:rPr>
                <w:sz w:val="16"/>
              </w:rPr>
              <w:t>Add-on / premium.</w:t>
            </w:r>
          </w:p>
        </w:tc>
      </w:tr>
      <w:tr>
        <w:tc>
          <w:tcPr>
            <w:tcW w:type="dxa" w:w="3408"/>
            <w:vAlign w:val="top"/>
          </w:tcPr>
          <w:p>
            <w:r>
              <w:rPr>
                <w:sz w:val="16"/>
              </w:rPr>
              <w:t>AI Audit Intelligence</w:t>
            </w:r>
          </w:p>
        </w:tc>
        <w:tc>
          <w:tcPr>
            <w:tcW w:type="dxa" w:w="3408"/>
            <w:vAlign w:val="top"/>
          </w:tcPr>
          <w:p>
            <w:r>
              <w:rPr>
                <w:sz w:val="16"/>
              </w:rPr>
              <w:t>ML anomaly detection, risk scoring, peer analytics, continuous monitoring.</w:t>
            </w:r>
          </w:p>
        </w:tc>
        <w:tc>
          <w:tcPr>
            <w:tcW w:type="dxa" w:w="3408"/>
            <w:vAlign w:val="top"/>
          </w:tcPr>
          <w:p>
            <w:r>
              <w:rPr>
                <w:sz w:val="16"/>
              </w:rPr>
              <w:t>Premium recurring module.</w:t>
            </w:r>
          </w:p>
        </w:tc>
      </w:tr>
      <w:tr>
        <w:tc>
          <w:tcPr>
            <w:tcW w:type="dxa" w:w="3408"/>
            <w:vAlign w:val="top"/>
          </w:tcPr>
          <w:p>
            <w:r>
              <w:rPr>
                <w:sz w:val="16"/>
              </w:rPr>
              <w:t>GenAI Audit Copilot</w:t>
            </w:r>
          </w:p>
        </w:tc>
        <w:tc>
          <w:tcPr>
            <w:tcW w:type="dxa" w:w="3408"/>
            <w:vAlign w:val="top"/>
          </w:tcPr>
          <w:p>
            <w:r>
              <w:rPr>
                <w:sz w:val="16"/>
              </w:rPr>
              <w:t>Planning, workpaper, finding, document and audit Q&amp;A assistant.</w:t>
            </w:r>
          </w:p>
        </w:tc>
        <w:tc>
          <w:tcPr>
            <w:tcW w:type="dxa" w:w="3408"/>
            <w:vAlign w:val="top"/>
          </w:tcPr>
          <w:p>
            <w:r>
              <w:rPr>
                <w:sz w:val="16"/>
              </w:rPr>
              <w:t>Premium usage-based or enterprise add-on.</w:t>
            </w:r>
          </w:p>
        </w:tc>
      </w:tr>
      <w:tr>
        <w:tc>
          <w:tcPr>
            <w:tcW w:type="dxa" w:w="3408"/>
            <w:vAlign w:val="top"/>
          </w:tcPr>
          <w:p>
            <w:r>
              <w:rPr>
                <w:sz w:val="16"/>
              </w:rPr>
              <w:t>Enterprise Integration</w:t>
            </w:r>
          </w:p>
        </w:tc>
        <w:tc>
          <w:tcPr>
            <w:tcW w:type="dxa" w:w="3408"/>
            <w:vAlign w:val="top"/>
          </w:tcPr>
          <w:p>
            <w:r>
              <w:rPr>
                <w:sz w:val="16"/>
              </w:rPr>
              <w:t>CBS/HRMS/LOS/ERP connectors, private deployment, SIEM, SSO.</w:t>
            </w:r>
          </w:p>
        </w:tc>
        <w:tc>
          <w:tcPr>
            <w:tcW w:type="dxa" w:w="3408"/>
            <w:vAlign w:val="top"/>
          </w:tcPr>
          <w:p>
            <w:r>
              <w:rPr>
                <w:sz w:val="16"/>
              </w:rPr>
              <w:t>Implementation + annual support.</w:t>
            </w:r>
          </w:p>
        </w:tc>
      </w:tr>
      <w:tr>
        <w:tc>
          <w:tcPr>
            <w:tcW w:type="dxa" w:w="3408"/>
            <w:vAlign w:val="top"/>
          </w:tcPr>
          <w:p>
            <w:r>
              <w:rPr>
                <w:sz w:val="16"/>
              </w:rPr>
              <w:t>Managed Analytics</w:t>
            </w:r>
          </w:p>
        </w:tc>
        <w:tc>
          <w:tcPr>
            <w:tcW w:type="dxa" w:w="3408"/>
            <w:vAlign w:val="top"/>
          </w:tcPr>
          <w:p>
            <w:r>
              <w:rPr>
                <w:sz w:val="16"/>
              </w:rPr>
              <w:t>Vendor-managed rule/model tuning and monitoring.</w:t>
            </w:r>
          </w:p>
        </w:tc>
        <w:tc>
          <w:tcPr>
            <w:tcW w:type="dxa" w:w="3408"/>
            <w:vAlign w:val="top"/>
          </w:tcPr>
          <w:p>
            <w:r>
              <w:rPr>
                <w:sz w:val="16"/>
              </w:rPr>
              <w:t>Optional managed service.</w:t>
            </w:r>
          </w:p>
        </w:tc>
      </w:tr>
    </w:tbl>
    <w:p>
      <w:pPr>
        <w:pStyle w:val="Heading1"/>
      </w:pPr>
      <w:r>
        <w:t>20. MVP vs Phase 2 vs Premium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Phase</w:t>
            </w:r>
          </w:p>
        </w:tc>
        <w:tc>
          <w:tcPr>
            <w:tcW w:type="dxa" w:w="5112"/>
            <w:shd w:fill="D9EAF7"/>
            <w:vAlign w:val="center"/>
          </w:tcPr>
          <w:p>
            <w:r>
              <w:rPr>
                <w:b/>
                <w:sz w:val="16"/>
              </w:rPr>
              <w:t>Scope</w:t>
            </w:r>
          </w:p>
        </w:tc>
      </w:tr>
      <w:tr>
        <w:tc>
          <w:tcPr>
            <w:tcW w:type="dxa" w:w="5112"/>
            <w:vAlign w:val="top"/>
          </w:tcPr>
          <w:p>
            <w:r>
              <w:rPr>
                <w:sz w:val="16"/>
              </w:rPr>
              <w:t>MVP / Client 1</w:t>
            </w:r>
          </w:p>
        </w:tc>
        <w:tc>
          <w:tcPr>
            <w:tcW w:type="dxa" w:w="5112"/>
            <w:vAlign w:val="top"/>
          </w:tcPr>
          <w:p>
            <w:r>
              <w:rPr>
                <w:sz w:val="16"/>
              </w:rPr>
              <w:t>Organisation/RBAC; audit universe; risk assessment; annual plan; engagement; workpapers/evidence; branch audit; findings; remediation; dashboards; notifications; audit trail; basic CBS/HRMS integration; configurable CAAT rules.</w:t>
            </w:r>
          </w:p>
        </w:tc>
      </w:tr>
      <w:tr>
        <w:tc>
          <w:tcPr>
            <w:tcW w:type="dxa" w:w="5112"/>
            <w:vAlign w:val="top"/>
          </w:tcPr>
          <w:p>
            <w:r>
              <w:rPr>
                <w:sz w:val="16"/>
              </w:rPr>
              <w:t>Phase 2</w:t>
            </w:r>
          </w:p>
        </w:tc>
        <w:tc>
          <w:tcPr>
            <w:tcW w:type="dxa" w:w="5112"/>
            <w:vAlign w:val="top"/>
          </w:tcPr>
          <w:p>
            <w:r>
              <w:rPr>
                <w:sz w:val="16"/>
              </w:rPr>
              <w:t>RCM; regulatory compliance; concurrent audit; richer integrations; mobile/offline; advanced reporting; data warehouse integration; sampling engine; API marketplace.</w:t>
            </w:r>
          </w:p>
        </w:tc>
      </w:tr>
      <w:tr>
        <w:tc>
          <w:tcPr>
            <w:tcW w:type="dxa" w:w="5112"/>
            <w:vAlign w:val="top"/>
          </w:tcPr>
          <w:p>
            <w:r>
              <w:rPr>
                <w:sz w:val="16"/>
              </w:rPr>
              <w:t>Premium AI/ML</w:t>
            </w:r>
          </w:p>
        </w:tc>
        <w:tc>
          <w:tcPr>
            <w:tcW w:type="dxa" w:w="5112"/>
            <w:vAlign w:val="top"/>
          </w:tcPr>
          <w:p>
            <w:r>
              <w:rPr>
                <w:sz w:val="16"/>
              </w:rPr>
              <w:t>ML anomaly detection; hybrid rule+ML scoring; peer benchmarking; dynamic entity risk; model registry; explainability; feedback loop; continuous monitoring.</w:t>
            </w:r>
          </w:p>
        </w:tc>
      </w:tr>
      <w:tr>
        <w:tc>
          <w:tcPr>
            <w:tcW w:type="dxa" w:w="5112"/>
            <w:vAlign w:val="top"/>
          </w:tcPr>
          <w:p>
            <w:r>
              <w:rPr>
                <w:sz w:val="16"/>
              </w:rPr>
              <w:t>Premium GenAI</w:t>
            </w:r>
          </w:p>
        </w:tc>
        <w:tc>
          <w:tcPr>
            <w:tcW w:type="dxa" w:w="5112"/>
            <w:vAlign w:val="top"/>
          </w:tcPr>
          <w:p>
            <w:r>
              <w:rPr>
                <w:sz w:val="16"/>
              </w:rPr>
              <w:t>RAG-based audit copilot; document intelligence; finding drafting; regulatory mapping; natural-language analytics; secure model gateway.</w:t>
            </w:r>
          </w:p>
        </w:tc>
      </w:tr>
    </w:tbl>
    <w:p>
      <w:pPr>
        <w:pStyle w:val="Heading1"/>
      </w:pPr>
      <w:r>
        <w:t>21. AI/ML Development Roadmap</w:t>
      </w:r>
    </w:p>
    <w:p>
      <w:pPr>
        <w:pStyle w:val="ListNumber"/>
      </w:pPr>
      <w:r>
        <w:t>Start with a rules library and a clean canonical data model. This produces immediate CAAT value and generates labelled auditor feedback.</w:t>
      </w:r>
    </w:p>
    <w:p>
      <w:pPr>
        <w:pStyle w:val="ListNumber"/>
      </w:pPr>
      <w:r>
        <w:t>Introduce statistical baselines and peer groups before complex ML.</w:t>
      </w:r>
    </w:p>
    <w:p>
      <w:pPr>
        <w:pStyle w:val="ListNumber"/>
      </w:pPr>
      <w:r>
        <w:t>Deploy unsupervised anomaly detection where labelled fraud/outcome data is limited.</w:t>
      </w:r>
    </w:p>
    <w:p>
      <w:pPr>
        <w:pStyle w:val="ListNumber"/>
      </w:pPr>
      <w:r>
        <w:t>Build an alert disposition workflow and use validated outcomes to create a high-quality training dataset.</w:t>
      </w:r>
    </w:p>
    <w:p>
      <w:pPr>
        <w:pStyle w:val="ListNumber"/>
      </w:pPr>
      <w:r>
        <w:t>Introduce supervised models only after enough labelled outcomes exist and model validation is feasible.</w:t>
      </w:r>
    </w:p>
    <w:p>
      <w:pPr>
        <w:pStyle w:val="ListNumber"/>
      </w:pPr>
      <w:r>
        <w:t>Add explainability and model monitoring before marketing the feature as an enterprise AI capability.</w:t>
      </w:r>
    </w:p>
    <w:p>
      <w:pPr>
        <w:pStyle w:val="ListNumber"/>
      </w:pPr>
      <w:r>
        <w:t>Add GenAI only after access control, document lineage, audit logging and data isolation are mature.</w:t>
      </w:r>
    </w:p>
    <w:p>
      <w:r>
        <w:t>This sequencing is important commercially: the bank can buy CAAT first, then upgrade to AI/ML once sufficient data and trust exist. The same architecture therefore supports a land-and-expand sales model.</w:t>
      </w:r>
    </w:p>
    <w:p>
      <w:pPr>
        <w:pStyle w:val="Heading1"/>
      </w:pPr>
      <w:r>
        <w:t>22. AI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Test</w:t>
            </w:r>
          </w:p>
        </w:tc>
        <w:tc>
          <w:tcPr>
            <w:tcW w:type="dxa" w:w="5112"/>
            <w:shd w:fill="D9EAF7"/>
            <w:vAlign w:val="center"/>
          </w:tcPr>
          <w:p>
            <w:r>
              <w:rPr>
                <w:b/>
                <w:sz w:val="16"/>
              </w:rPr>
              <w:t>Acceptance criterion</w:t>
            </w:r>
          </w:p>
        </w:tc>
      </w:tr>
      <w:tr>
        <w:tc>
          <w:tcPr>
            <w:tcW w:type="dxa" w:w="5112"/>
            <w:vAlign w:val="top"/>
          </w:tcPr>
          <w:p>
            <w:r>
              <w:rPr>
                <w:sz w:val="16"/>
              </w:rPr>
              <w:t>Explainability</w:t>
            </w:r>
          </w:p>
        </w:tc>
        <w:tc>
          <w:tcPr>
            <w:tcW w:type="dxa" w:w="5112"/>
            <w:vAlign w:val="top"/>
          </w:tcPr>
          <w:p>
            <w:r>
              <w:rPr>
                <w:sz w:val="16"/>
              </w:rPr>
              <w:t>Every alert has an understandable reason and supporting data.</w:t>
            </w:r>
          </w:p>
        </w:tc>
      </w:tr>
      <w:tr>
        <w:tc>
          <w:tcPr>
            <w:tcW w:type="dxa" w:w="5112"/>
            <w:vAlign w:val="top"/>
          </w:tcPr>
          <w:p>
            <w:r>
              <w:rPr>
                <w:sz w:val="16"/>
              </w:rPr>
              <w:t>Traceability</w:t>
            </w:r>
          </w:p>
        </w:tc>
        <w:tc>
          <w:tcPr>
            <w:tcW w:type="dxa" w:w="5112"/>
            <w:vAlign w:val="top"/>
          </w:tcPr>
          <w:p>
            <w:r>
              <w:rPr>
                <w:sz w:val="16"/>
              </w:rPr>
              <w:t>Every alert links to source data and model/rule version.</w:t>
            </w:r>
          </w:p>
        </w:tc>
      </w:tr>
      <w:tr>
        <w:tc>
          <w:tcPr>
            <w:tcW w:type="dxa" w:w="5112"/>
            <w:vAlign w:val="top"/>
          </w:tcPr>
          <w:p>
            <w:r>
              <w:rPr>
                <w:sz w:val="16"/>
              </w:rPr>
              <w:t>False positives</w:t>
            </w:r>
          </w:p>
        </w:tc>
        <w:tc>
          <w:tcPr>
            <w:tcW w:type="dxa" w:w="5112"/>
            <w:vAlign w:val="top"/>
          </w:tcPr>
          <w:p>
            <w:r>
              <w:rPr>
                <w:sz w:val="16"/>
              </w:rPr>
              <w:t>Bank and vendor agree a target false-positive rate by use case before production.</w:t>
            </w:r>
          </w:p>
        </w:tc>
      </w:tr>
      <w:tr>
        <w:tc>
          <w:tcPr>
            <w:tcW w:type="dxa" w:w="5112"/>
            <w:vAlign w:val="top"/>
          </w:tcPr>
          <w:p>
            <w:r>
              <w:rPr>
                <w:sz w:val="16"/>
              </w:rPr>
              <w:t>Performance</w:t>
            </w:r>
          </w:p>
        </w:tc>
        <w:tc>
          <w:tcPr>
            <w:tcW w:type="dxa" w:w="5112"/>
            <w:vAlign w:val="top"/>
          </w:tcPr>
          <w:p>
            <w:r>
              <w:rPr>
                <w:sz w:val="16"/>
              </w:rPr>
              <w:t>Model metrics are measured on a holdout/validation set where labels exist.</w:t>
            </w:r>
          </w:p>
        </w:tc>
      </w:tr>
      <w:tr>
        <w:tc>
          <w:tcPr>
            <w:tcW w:type="dxa" w:w="5112"/>
            <w:vAlign w:val="top"/>
          </w:tcPr>
          <w:p>
            <w:r>
              <w:rPr>
                <w:sz w:val="16"/>
              </w:rPr>
              <w:t>Drift</w:t>
            </w:r>
          </w:p>
        </w:tc>
        <w:tc>
          <w:tcPr>
            <w:tcW w:type="dxa" w:w="5112"/>
            <w:vAlign w:val="top"/>
          </w:tcPr>
          <w:p>
            <w:r>
              <w:rPr>
                <w:sz w:val="16"/>
              </w:rPr>
              <w:t>System flags material distribution/model performance drift.</w:t>
            </w:r>
          </w:p>
        </w:tc>
      </w:tr>
      <w:tr>
        <w:tc>
          <w:tcPr>
            <w:tcW w:type="dxa" w:w="5112"/>
            <w:vAlign w:val="top"/>
          </w:tcPr>
          <w:p>
            <w:r>
              <w:rPr>
                <w:sz w:val="16"/>
              </w:rPr>
              <w:t>Human review</w:t>
            </w:r>
          </w:p>
        </w:tc>
        <w:tc>
          <w:tcPr>
            <w:tcW w:type="dxa" w:w="5112"/>
            <w:vAlign w:val="top"/>
          </w:tcPr>
          <w:p>
            <w:r>
              <w:rPr>
                <w:sz w:val="16"/>
              </w:rPr>
              <w:t>No AI alert becomes a final finding without authorised human disposition.</w:t>
            </w:r>
          </w:p>
        </w:tc>
      </w:tr>
      <w:tr>
        <w:tc>
          <w:tcPr>
            <w:tcW w:type="dxa" w:w="5112"/>
            <w:vAlign w:val="top"/>
          </w:tcPr>
          <w:p>
            <w:r>
              <w:rPr>
                <w:sz w:val="16"/>
              </w:rPr>
              <w:t>Security</w:t>
            </w:r>
          </w:p>
        </w:tc>
        <w:tc>
          <w:tcPr>
            <w:tcW w:type="dxa" w:w="5112"/>
            <w:vAlign w:val="top"/>
          </w:tcPr>
          <w:p>
            <w:r>
              <w:rPr>
                <w:sz w:val="16"/>
              </w:rPr>
              <w:t>No client data is used for general model training without explicit contractual authorisation.</w:t>
            </w:r>
          </w:p>
        </w:tc>
      </w:tr>
      <w:tr>
        <w:tc>
          <w:tcPr>
            <w:tcW w:type="dxa" w:w="5112"/>
            <w:vAlign w:val="top"/>
          </w:tcPr>
          <w:p>
            <w:r>
              <w:rPr>
                <w:sz w:val="16"/>
              </w:rPr>
              <w:t>Rollback</w:t>
            </w:r>
          </w:p>
        </w:tc>
        <w:tc>
          <w:tcPr>
            <w:tcW w:type="dxa" w:w="5112"/>
            <w:vAlign w:val="top"/>
          </w:tcPr>
          <w:p>
            <w:r>
              <w:rPr>
                <w:sz w:val="16"/>
              </w:rPr>
              <w:t>Previous model version can be restored without loss of historical results.</w:t>
            </w:r>
          </w:p>
        </w:tc>
      </w:tr>
    </w:tbl>
    <w:p>
      <w:pPr>
        <w:pStyle w:val="Heading1"/>
      </w:pPr>
      <w:r>
        <w:t>23. Audit Trail &amp; Evidence Integrity</w:t>
      </w:r>
    </w:p>
    <w:p>
      <w:r>
        <w:rPr>
          <w:b/>
        </w:rPr>
        <w:t xml:space="preserve">AUD-001 [Must] </w:t>
      </w:r>
      <w:r>
        <w:t>Log create/update/delete/status/approval/export operations for material objects.</w:t>
      </w:r>
    </w:p>
    <w:p>
      <w:r>
        <w:rPr>
          <w:b/>
        </w:rPr>
        <w:t xml:space="preserve">AUD-002 [Must] </w:t>
      </w:r>
      <w:r>
        <w:t>Use append-only or tamper-evident logging for final audit records.</w:t>
      </w:r>
    </w:p>
    <w:p>
      <w:r>
        <w:rPr>
          <w:b/>
        </w:rPr>
        <w:t xml:space="preserve">AUD-003 [Must] </w:t>
      </w:r>
      <w:r>
        <w:t>Evidence should have checksum/hash metadata and preserve versions.</w:t>
      </w:r>
    </w:p>
    <w:p>
      <w:r>
        <w:rPr>
          <w:b/>
        </w:rPr>
        <w:t xml:space="preserve">AUD-004 [Must] </w:t>
      </w:r>
      <w:r>
        <w:t>Record who accessed/downloaded sensitive evidence where technically feasible.</w:t>
      </w:r>
    </w:p>
    <w:p>
      <w:r>
        <w:rPr>
          <w:b/>
        </w:rPr>
        <w:t xml:space="preserve">AUD-005 [Must] </w:t>
      </w:r>
      <w:r>
        <w:t>Record AI prompt/context/output/approval events for AI-generated artefacts.</w:t>
      </w:r>
    </w:p>
    <w:p>
      <w:r>
        <w:rPr>
          <w:b/>
        </w:rPr>
        <w:t xml:space="preserve">AUD-006 [Must] </w:t>
      </w:r>
      <w:r>
        <w:t>Provide audit-log export for authorised compliance/security teams.</w:t>
      </w:r>
    </w:p>
    <w:p>
      <w:pPr>
        <w:pStyle w:val="Heading1"/>
      </w:pPr>
      <w:r>
        <w:t>24. Quality Assurance &amp; Testing</w:t>
      </w:r>
    </w:p>
    <w:p>
      <w:pPr>
        <w:pStyle w:val="ListBullet"/>
      </w:pPr>
      <w:r>
        <w:t>Unit, integration, API, UI and end-to-end tests.</w:t>
      </w:r>
    </w:p>
    <w:p>
      <w:pPr>
        <w:pStyle w:val="ListBullet"/>
      </w:pPr>
      <w:r>
        <w:t>Role/permission matrix testing for every major module.</w:t>
      </w:r>
    </w:p>
    <w:p>
      <w:pPr>
        <w:pStyle w:val="ListBullet"/>
      </w:pPr>
      <w:r>
        <w:t>Workflow state-transition testing, including rejected/reopened/overdue cases.</w:t>
      </w:r>
    </w:p>
    <w:p>
      <w:pPr>
        <w:pStyle w:val="ListBullet"/>
      </w:pPr>
      <w:r>
        <w:t>Data ingestion reconciliation tests against source totals.</w:t>
      </w:r>
    </w:p>
    <w:p>
      <w:pPr>
        <w:pStyle w:val="ListBullet"/>
      </w:pPr>
      <w:r>
        <w:t>CAAT rule test packs with known-positive and known-negative examples.</w:t>
      </w:r>
    </w:p>
    <w:p>
      <w:pPr>
        <w:pStyle w:val="ListBullet"/>
      </w:pPr>
      <w:r>
        <w:t>AI validation: precision/recall where labelled data exists; false-positive rate; drift; stability; explainability review.</w:t>
      </w:r>
    </w:p>
    <w:p>
      <w:pPr>
        <w:pStyle w:val="ListBullet"/>
      </w:pPr>
      <w:r>
        <w:t>Security testing: SAST, DAST, dependency scanning, secrets scanning, VAPT and access-control testing.</w:t>
      </w:r>
    </w:p>
    <w:p>
      <w:pPr>
        <w:pStyle w:val="ListBullet"/>
      </w:pPr>
      <w:r>
        <w:t>Performance testing with realistic branch/transaction/audit volumes.</w:t>
      </w:r>
    </w:p>
    <w:p>
      <w:pPr>
        <w:pStyle w:val="ListBullet"/>
      </w:pPr>
      <w:r>
        <w:t>Disaster recovery and backup restore testing.</w:t>
      </w:r>
    </w:p>
    <w:p>
      <w:pPr>
        <w:pStyle w:val="ListBullet"/>
      </w:pPr>
      <w:r>
        <w:t>User acceptance testing with real audit scenarios and sample bank data.</w:t>
      </w:r>
    </w:p>
    <w:p>
      <w:pPr>
        <w:pStyle w:val="Heading1"/>
      </w:pPr>
      <w:r>
        <w:t>25. Key Product Design Principles</w:t>
      </w:r>
    </w:p>
    <w:p>
      <w:pPr>
        <w:pStyle w:val="ListBullet"/>
      </w:pPr>
      <w:r>
        <w:t>Configuration over custom code: risk scales, audit types, checklists, workflows, finding severity and rules should be configurable.</w:t>
      </w:r>
    </w:p>
    <w:p>
      <w:pPr>
        <w:pStyle w:val="ListBullet"/>
      </w:pPr>
      <w:r>
        <w:t>No hard dependency on one CBS.</w:t>
      </w:r>
    </w:p>
    <w:p>
      <w:pPr>
        <w:pStyle w:val="ListBullet"/>
      </w:pPr>
      <w:r>
        <w:t>Evidence-first: audit conclusions must remain linked to source evidence.</w:t>
      </w:r>
    </w:p>
    <w:p>
      <w:pPr>
        <w:pStyle w:val="ListBullet"/>
      </w:pPr>
      <w:r>
        <w:t>Risk-first: planning should be driven by risk rather than only a calendar.</w:t>
      </w:r>
    </w:p>
    <w:p>
      <w:pPr>
        <w:pStyle w:val="ListBullet"/>
      </w:pPr>
      <w:r>
        <w:t>Full population analytics: CAAT should support 100% data analysis where data is available.</w:t>
      </w:r>
    </w:p>
    <w:p>
      <w:pPr>
        <w:pStyle w:val="ListBullet"/>
      </w:pPr>
      <w:r>
        <w:t>Human-in-the-loop AI.</w:t>
      </w:r>
    </w:p>
    <w:p>
      <w:pPr>
        <w:pStyle w:val="ListBullet"/>
      </w:pPr>
      <w:r>
        <w:t>Explainable AI by default.</w:t>
      </w:r>
    </w:p>
    <w:p>
      <w:pPr>
        <w:pStyle w:val="ListBullet"/>
      </w:pPr>
      <w:r>
        <w:t>Least privilege and segregation of duties.</w:t>
      </w:r>
    </w:p>
    <w:p>
      <w:pPr>
        <w:pStyle w:val="ListBullet"/>
      </w:pPr>
      <w:r>
        <w:t>Bank-specific deployments must be able to operate in a private/on-premise environment.</w:t>
      </w:r>
    </w:p>
    <w:p>
      <w:pPr>
        <w:pStyle w:val="ListBullet"/>
      </w:pPr>
      <w:r>
        <w:t>All critical configuration is versioned and auditable.</w:t>
      </w:r>
    </w:p>
    <w:p>
      <w:pPr>
        <w:pStyle w:val="ListBullet"/>
      </w:pPr>
      <w:r>
        <w:t>API-first to support future fintech/bank integrations.</w:t>
      </w:r>
    </w:p>
    <w:p>
      <w:pPr>
        <w:pStyle w:val="Heading1"/>
      </w:pPr>
      <w:r>
        <w:t>26. Open Questions for Client Discovery</w:t>
      </w:r>
    </w:p>
    <w:p>
      <w:pPr>
        <w:pStyle w:val="ListBullet"/>
      </w:pPr>
      <w:r>
        <w:t>Which CBS is used, and what integration/API/database access is available?</w:t>
      </w:r>
    </w:p>
    <w:p>
      <w:pPr>
        <w:pStyle w:val="ListBullet"/>
      </w:pPr>
      <w:r>
        <w:t>Which other systems contain loan, card, trade, AML, HR, GL and payment data?</w:t>
      </w:r>
    </w:p>
    <w:p>
      <w:pPr>
        <w:pStyle w:val="ListBullet"/>
      </w:pPr>
      <w:r>
        <w:t>How is annual audit planning currently performed?</w:t>
      </w:r>
    </w:p>
    <w:p>
      <w:pPr>
        <w:pStyle w:val="ListBullet"/>
      </w:pPr>
      <w:r>
        <w:t>What is the current branch risk grading methodology and scoring formula?</w:t>
      </w:r>
    </w:p>
    <w:p>
      <w:pPr>
        <w:pStyle w:val="ListBullet"/>
      </w:pPr>
      <w:r>
        <w:t>Which audit types must be supported on day one?</w:t>
      </w:r>
    </w:p>
    <w:p>
      <w:pPr>
        <w:pStyle w:val="ListBullet"/>
      </w:pPr>
      <w:r>
        <w:t>Which standard checklists/templates already exist?</w:t>
      </w:r>
    </w:p>
    <w:p>
      <w:pPr>
        <w:pStyle w:val="ListBullet"/>
      </w:pPr>
      <w:r>
        <w:t>What are the mandatory approval levels for audit plans, reports and findings?</w:t>
      </w:r>
    </w:p>
    <w:p>
      <w:pPr>
        <w:pStyle w:val="ListBullet"/>
      </w:pPr>
      <w:r>
        <w:t>What is the current process for management responses and finding closure?</w:t>
      </w:r>
    </w:p>
    <w:p>
      <w:pPr>
        <w:pStyle w:val="ListBullet"/>
      </w:pPr>
      <w:r>
        <w:t>What reporting does the Audit Committee receive today?</w:t>
      </w:r>
    </w:p>
    <w:p>
      <w:pPr>
        <w:pStyle w:val="ListBullet"/>
      </w:pPr>
      <w:r>
        <w:t>Which Bangladesh Bank/other regulatory obligations must be mapped?</w:t>
      </w:r>
    </w:p>
    <w:p>
      <w:pPr>
        <w:pStyle w:val="ListBullet"/>
      </w:pPr>
      <w:r>
        <w:t>What data volumes are expected (transactions/day, branches, users, evidence storage)?</w:t>
      </w:r>
    </w:p>
    <w:p>
      <w:pPr>
        <w:pStyle w:val="ListBullet"/>
      </w:pPr>
      <w:r>
        <w:t>Does the bank require on-premise, private cloud or managed cloud?</w:t>
      </w:r>
    </w:p>
    <w:p>
      <w:pPr>
        <w:pStyle w:val="ListBullet"/>
      </w:pPr>
      <w:r>
        <w:t>What are the bank's RPO/RTO and retention requirements?</w:t>
      </w:r>
    </w:p>
    <w:p>
      <w:pPr>
        <w:pStyle w:val="ListBullet"/>
      </w:pPr>
      <w:r>
        <w:t>What SSO/MFA/identity infrastructure is available?</w:t>
      </w:r>
    </w:p>
    <w:p>
      <w:pPr>
        <w:pStyle w:val="ListBullet"/>
      </w:pPr>
      <w:r>
        <w:t>What data can be used for CAAT and AI/ML, and for how many years?</w:t>
      </w:r>
    </w:p>
    <w:p>
      <w:pPr>
        <w:pStyle w:val="ListBullet"/>
      </w:pPr>
      <w:r>
        <w:t>Which known audit scenarios are suitable as initial AI/ML use cases?</w:t>
      </w:r>
    </w:p>
    <w:p>
      <w:pPr>
        <w:pStyle w:val="ListBullet"/>
      </w:pPr>
      <w:r>
        <w:t>Can the client provide historical anonymised/secure datasets and historical audit outcomes for model development?</w:t>
      </w:r>
    </w:p>
    <w:p>
      <w:pPr>
        <w:pStyle w:val="ListBullet"/>
      </w:pPr>
      <w:r>
        <w:t>What constitutes a false positive, confirmed issue, fraud case and closed finding in the client's terminology?</w:t>
      </w:r>
    </w:p>
    <w:p>
      <w:pPr>
        <w:pStyle w:val="Heading1"/>
      </w:pPr>
      <w:r>
        <w:t>27. Suggested First AI Use Cases for Bangladesh Banks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Use case</w:t>
            </w:r>
          </w:p>
        </w:tc>
        <w:tc>
          <w:tcPr>
            <w:tcW w:type="dxa" w:w="3408"/>
            <w:shd w:fill="D9EAF7"/>
            <w:vAlign w:val="center"/>
          </w:tcPr>
          <w:p>
            <w:r>
              <w:rPr>
                <w:b/>
                <w:sz w:val="16"/>
              </w:rPr>
              <w:t>Why start here</w:t>
            </w:r>
          </w:p>
        </w:tc>
        <w:tc>
          <w:tcPr>
            <w:tcW w:type="dxa" w:w="3408"/>
            <w:shd w:fill="D9EAF7"/>
            <w:vAlign w:val="center"/>
          </w:tcPr>
          <w:p>
            <w:r>
              <w:rPr>
                <w:b/>
                <w:sz w:val="16"/>
              </w:rPr>
              <w:t>Data needed</w:t>
            </w:r>
          </w:p>
        </w:tc>
      </w:tr>
      <w:tr>
        <w:tc>
          <w:tcPr>
            <w:tcW w:type="dxa" w:w="3408"/>
            <w:vAlign w:val="top"/>
          </w:tcPr>
          <w:p>
            <w:r>
              <w:rPr>
                <w:sz w:val="16"/>
              </w:rPr>
              <w:t>Duplicate / near-duplicate transactions</w:t>
            </w:r>
          </w:p>
        </w:tc>
        <w:tc>
          <w:tcPr>
            <w:tcW w:type="dxa" w:w="3408"/>
            <w:vAlign w:val="top"/>
          </w:tcPr>
          <w:p>
            <w:r>
              <w:rPr>
                <w:sz w:val="16"/>
              </w:rPr>
              <w:t>Highly explainable and easy to validate.</w:t>
            </w:r>
          </w:p>
        </w:tc>
        <w:tc>
          <w:tcPr>
            <w:tcW w:type="dxa" w:w="3408"/>
            <w:vAlign w:val="top"/>
          </w:tcPr>
          <w:p>
            <w:r>
              <w:rPr>
                <w:sz w:val="16"/>
              </w:rPr>
              <w:t>Transaction ID, account, amount, date/time, branch, type.</w:t>
            </w:r>
          </w:p>
        </w:tc>
      </w:tr>
      <w:tr>
        <w:tc>
          <w:tcPr>
            <w:tcW w:type="dxa" w:w="3408"/>
            <w:vAlign w:val="top"/>
          </w:tcPr>
          <w:p>
            <w:r>
              <w:rPr>
                <w:sz w:val="16"/>
              </w:rPr>
              <w:t>Unusual teller/user behaviour</w:t>
            </w:r>
          </w:p>
        </w:tc>
        <w:tc>
          <w:tcPr>
            <w:tcW w:type="dxa" w:w="3408"/>
            <w:vAlign w:val="top"/>
          </w:tcPr>
          <w:p>
            <w:r>
              <w:rPr>
                <w:sz w:val="16"/>
              </w:rPr>
              <w:t>Useful for branch and operational audit.</w:t>
            </w:r>
          </w:p>
        </w:tc>
        <w:tc>
          <w:tcPr>
            <w:tcW w:type="dxa" w:w="3408"/>
            <w:vAlign w:val="top"/>
          </w:tcPr>
          <w:p>
            <w:r>
              <w:rPr>
                <w:sz w:val="16"/>
              </w:rPr>
              <w:t>User ID, role, branch, transaction type, amount, time.</w:t>
            </w:r>
          </w:p>
        </w:tc>
      </w:tr>
      <w:tr>
        <w:tc>
          <w:tcPr>
            <w:tcW w:type="dxa" w:w="3408"/>
            <w:vAlign w:val="top"/>
          </w:tcPr>
          <w:p>
            <w:r>
              <w:rPr>
                <w:sz w:val="16"/>
              </w:rPr>
              <w:t>Dormant account activation anomalies</w:t>
            </w:r>
          </w:p>
        </w:tc>
        <w:tc>
          <w:tcPr>
            <w:tcW w:type="dxa" w:w="3408"/>
            <w:vAlign w:val="top"/>
          </w:tcPr>
          <w:p>
            <w:r>
              <w:rPr>
                <w:sz w:val="16"/>
              </w:rPr>
              <w:t>Strong audit use case and understandable to auditors.</w:t>
            </w:r>
          </w:p>
        </w:tc>
        <w:tc>
          <w:tcPr>
            <w:tcW w:type="dxa" w:w="3408"/>
            <w:vAlign w:val="top"/>
          </w:tcPr>
          <w:p>
            <w:r>
              <w:rPr>
                <w:sz w:val="16"/>
              </w:rPr>
              <w:t>Account status/history, transactions, customer metadata.</w:t>
            </w:r>
          </w:p>
        </w:tc>
      </w:tr>
      <w:tr>
        <w:tc>
          <w:tcPr>
            <w:tcW w:type="dxa" w:w="3408"/>
            <w:vAlign w:val="top"/>
          </w:tcPr>
          <w:p>
            <w:r>
              <w:rPr>
                <w:sz w:val="16"/>
              </w:rPr>
              <w:t>Manual GL / backdated journal anomalies</w:t>
            </w:r>
          </w:p>
        </w:tc>
        <w:tc>
          <w:tcPr>
            <w:tcW w:type="dxa" w:w="3408"/>
            <w:vAlign w:val="top"/>
          </w:tcPr>
          <w:p>
            <w:r>
              <w:rPr>
                <w:sz w:val="16"/>
              </w:rPr>
              <w:t>Strong control and financial reporting relevance.</w:t>
            </w:r>
          </w:p>
        </w:tc>
        <w:tc>
          <w:tcPr>
            <w:tcW w:type="dxa" w:w="3408"/>
            <w:vAlign w:val="top"/>
          </w:tcPr>
          <w:p>
            <w:r>
              <w:rPr>
                <w:sz w:val="16"/>
              </w:rPr>
              <w:t>GL entries, user, timestamp, posting date, branch.</w:t>
            </w:r>
          </w:p>
        </w:tc>
      </w:tr>
      <w:tr>
        <w:tc>
          <w:tcPr>
            <w:tcW w:type="dxa" w:w="3408"/>
            <w:vAlign w:val="top"/>
          </w:tcPr>
          <w:p>
            <w:r>
              <w:rPr>
                <w:sz w:val="16"/>
              </w:rPr>
              <w:t>Loan exception patterns</w:t>
            </w:r>
          </w:p>
        </w:tc>
        <w:tc>
          <w:tcPr>
            <w:tcW w:type="dxa" w:w="3408"/>
            <w:vAlign w:val="top"/>
          </w:tcPr>
          <w:p>
            <w:r>
              <w:rPr>
                <w:sz w:val="16"/>
              </w:rPr>
              <w:t>High materiality and useful for credit audit.</w:t>
            </w:r>
          </w:p>
        </w:tc>
        <w:tc>
          <w:tcPr>
            <w:tcW w:type="dxa" w:w="3408"/>
            <w:vAlign w:val="top"/>
          </w:tcPr>
          <w:p>
            <w:r>
              <w:rPr>
                <w:sz w:val="16"/>
              </w:rPr>
              <w:t>Loan lifecycle, approval, disbursement, repayment, exceptions.</w:t>
            </w:r>
          </w:p>
        </w:tc>
      </w:tr>
      <w:tr>
        <w:tc>
          <w:tcPr>
            <w:tcW w:type="dxa" w:w="3408"/>
            <w:vAlign w:val="top"/>
          </w:tcPr>
          <w:p>
            <w:r>
              <w:rPr>
                <w:sz w:val="16"/>
              </w:rPr>
              <w:t>Branch peer deviation</w:t>
            </w:r>
          </w:p>
        </w:tc>
        <w:tc>
          <w:tcPr>
            <w:tcW w:type="dxa" w:w="3408"/>
            <w:vAlign w:val="top"/>
          </w:tcPr>
          <w:p>
            <w:r>
              <w:rPr>
                <w:sz w:val="16"/>
              </w:rPr>
              <w:t>Useful for dynamic branch risk grading.</w:t>
            </w:r>
          </w:p>
        </w:tc>
        <w:tc>
          <w:tcPr>
            <w:tcW w:type="dxa" w:w="3408"/>
            <w:vAlign w:val="top"/>
          </w:tcPr>
          <w:p>
            <w:r>
              <w:rPr>
                <w:sz w:val="16"/>
              </w:rPr>
              <w:t>Branch KPIs and transaction distributions.</w:t>
            </w:r>
          </w:p>
        </w:tc>
      </w:tr>
      <w:tr>
        <w:tc>
          <w:tcPr>
            <w:tcW w:type="dxa" w:w="3408"/>
            <w:vAlign w:val="top"/>
          </w:tcPr>
          <w:p>
            <w:r>
              <w:rPr>
                <w:sz w:val="16"/>
              </w:rPr>
              <w:t>Repeat finding prediction</w:t>
            </w:r>
          </w:p>
        </w:tc>
        <w:tc>
          <w:tcPr>
            <w:tcW w:type="dxa" w:w="3408"/>
            <w:vAlign w:val="top"/>
          </w:tcPr>
          <w:p>
            <w:r>
              <w:rPr>
                <w:sz w:val="16"/>
              </w:rPr>
              <w:t>Connects audit history to remediation risk.</w:t>
            </w:r>
          </w:p>
        </w:tc>
        <w:tc>
          <w:tcPr>
            <w:tcW w:type="dxa" w:w="3408"/>
            <w:vAlign w:val="top"/>
          </w:tcPr>
          <w:p>
            <w:r>
              <w:rPr>
                <w:sz w:val="16"/>
              </w:rPr>
              <w:t>Historical findings, due dates, owners, closure outcomes.</w:t>
            </w:r>
          </w:p>
        </w:tc>
      </w:tr>
      <w:tr>
        <w:tc>
          <w:tcPr>
            <w:tcW w:type="dxa" w:w="3408"/>
            <w:vAlign w:val="top"/>
          </w:tcPr>
          <w:p>
            <w:r>
              <w:rPr>
                <w:sz w:val="16"/>
              </w:rPr>
              <w:t>Privileged access transaction anomalies</w:t>
            </w:r>
          </w:p>
        </w:tc>
        <w:tc>
          <w:tcPr>
            <w:tcW w:type="dxa" w:w="3408"/>
            <w:vAlign w:val="top"/>
          </w:tcPr>
          <w:p>
            <w:r>
              <w:rPr>
                <w:sz w:val="16"/>
              </w:rPr>
              <w:t>Links IT access with financial operations.</w:t>
            </w:r>
          </w:p>
        </w:tc>
        <w:tc>
          <w:tcPr>
            <w:tcW w:type="dxa" w:w="3408"/>
            <w:vAlign w:val="top"/>
          </w:tcPr>
          <w:p>
            <w:r>
              <w:rPr>
                <w:sz w:val="16"/>
              </w:rPr>
              <w:t>IAM/HR role data + transaction logs.</w:t>
            </w:r>
          </w:p>
        </w:tc>
      </w:tr>
    </w:tbl>
    <w:p>
      <w:pPr>
        <w:pStyle w:val="Heading1"/>
      </w:pPr>
      <w:r>
        <w:t>28. Definition of Done – Core Product</w:t>
      </w:r>
    </w:p>
    <w:p>
      <w:pPr>
        <w:pStyle w:val="ListBullet"/>
      </w:pPr>
      <w:r>
        <w:t>All P0 functional requirements implemented and tested.</w:t>
      </w:r>
    </w:p>
    <w:p>
      <w:pPr>
        <w:pStyle w:val="ListBullet"/>
      </w:pPr>
      <w:r>
        <w:t>RBAC/segregation-of-duties matrix signed off by client.</w:t>
      </w:r>
    </w:p>
    <w:p>
      <w:pPr>
        <w:pStyle w:val="ListBullet"/>
      </w:pPr>
      <w:r>
        <w:t>Annual audit plan can be created, approved and converted into engagements.</w:t>
      </w:r>
    </w:p>
    <w:p>
      <w:pPr>
        <w:pStyle w:val="ListBullet"/>
      </w:pPr>
      <w:r>
        <w:t>Auditor can complete fieldwork and attach evidence.</w:t>
      </w:r>
    </w:p>
    <w:p>
      <w:pPr>
        <w:pStyle w:val="ListBullet"/>
      </w:pPr>
      <w:r>
        <w:t>Reviewer can review/clear workpapers and approve report.</w:t>
      </w:r>
    </w:p>
    <w:p>
      <w:pPr>
        <w:pStyle w:val="ListBullet"/>
      </w:pPr>
      <w:r>
        <w:t>Findings can be issued, responded to, remediated, validated and closed.</w:t>
      </w:r>
    </w:p>
    <w:p>
      <w:pPr>
        <w:pStyle w:val="ListBullet"/>
      </w:pPr>
      <w:r>
        <w:t>Audit trail is complete for material records.</w:t>
      </w:r>
    </w:p>
    <w:p>
      <w:pPr>
        <w:pStyle w:val="ListBullet"/>
      </w:pPr>
      <w:r>
        <w:t>At least one CBS and HRMS integration works end-to-end in the client environment.</w:t>
      </w:r>
    </w:p>
    <w:p>
      <w:pPr>
        <w:pStyle w:val="ListBullet"/>
      </w:pPr>
      <w:r>
        <w:t>At least 20–30 high-value CAAT rules are operational and configurable.</w:t>
      </w:r>
    </w:p>
    <w:p>
      <w:pPr>
        <w:pStyle w:val="ListBullet"/>
      </w:pPr>
      <w:r>
        <w:t>Dashboards cover CAE, manager, branch and board/audit committee use cases.</w:t>
      </w:r>
    </w:p>
    <w:p>
      <w:pPr>
        <w:pStyle w:val="ListBullet"/>
      </w:pPr>
      <w:r>
        <w:t>Security testing and VAPT completed before production.</w:t>
      </w:r>
    </w:p>
    <w:p>
      <w:pPr>
        <w:pStyle w:val="ListBullet"/>
      </w:pPr>
      <w:r>
        <w:t>Backup/restore and DR process tested.</w:t>
      </w:r>
    </w:p>
    <w:p>
      <w:pPr>
        <w:pStyle w:val="ListBullet"/>
      </w:pPr>
      <w:r>
        <w:t>User training and admin documentation completed.</w:t>
      </w:r>
    </w:p>
    <w:p>
      <w:pPr>
        <w:pStyle w:val="Heading1"/>
      </w:pPr>
      <w:r>
        <w:t>29. Source &amp; Reference Notes</w:t>
      </w:r>
    </w:p>
    <w:p>
      <w:r>
        <w:t>The following public sources informed the requirements and benchmarking:</w:t>
      </w:r>
    </w:p>
    <w:p>
      <w:pPr>
        <w:pStyle w:val="ListBullet"/>
      </w:pPr>
      <w:r>
        <w:rPr>
          <w:b/>
        </w:rPr>
        <w:t xml:space="preserve">Millennium Information Solution Ltd. – TAHQIQ: </w:t>
      </w:r>
      <w:r>
        <w:t>https://mislbd.com/tahqiq/</w:t>
      </w:r>
    </w:p>
    <w:p>
      <w:pPr>
        <w:pStyle w:val="ListBullet"/>
      </w:pPr>
      <w:r>
        <w:rPr>
          <w:b/>
        </w:rPr>
        <w:t xml:space="preserve">CTrends – GRC Platform: </w:t>
      </w:r>
      <w:r>
        <w:t>https://www.ctrends-software.com/grc</w:t>
      </w:r>
    </w:p>
    <w:p>
      <w:pPr>
        <w:pStyle w:val="ListBullet"/>
      </w:pPr>
      <w:r>
        <w:rPr>
          <w:b/>
        </w:rPr>
        <w:t xml:space="preserve">The Institute of Internal Auditors – 2024 Global Internal Audit Standards: </w:t>
      </w:r>
      <w:r>
        <w:t>https://www.theiia.org/en/standards/2024-standards/global-internal-audit-standards/</w:t>
      </w:r>
    </w:p>
    <w:p>
      <w:pPr>
        <w:pStyle w:val="ListBullet"/>
      </w:pPr>
      <w:r>
        <w:rPr>
          <w:b/>
        </w:rPr>
        <w:t xml:space="preserve">The IIA – Global Guidance: </w:t>
      </w:r>
      <w:r>
        <w:t>https://www.theiia.org/en/standards/2024-standards/global-guidance/</w:t>
      </w:r>
    </w:p>
    <w:p>
      <w:pPr>
        <w:pStyle w:val="ListBullet"/>
      </w:pPr>
      <w:r>
        <w:rPr>
          <w:b/>
        </w:rPr>
        <w:t xml:space="preserve">ISO – ISO 31000:2018 Risk Management: </w:t>
      </w:r>
      <w:r>
        <w:t>https://committee.iso.org/sites/tc262/home/projects/published/iso-31000-2018-risk-management.html</w:t>
      </w:r>
    </w:p>
    <w:p>
      <w:pPr>
        <w:pStyle w:val="ListBullet"/>
      </w:pPr>
      <w:r>
        <w:rPr>
          <w:b/>
        </w:rPr>
        <w:t xml:space="preserve">MetricStream – Internal Audit Management: </w:t>
      </w:r>
      <w:r>
        <w:t>https://www.metricstream.com/products/internal-audit-management.htm</w:t>
      </w:r>
    </w:p>
    <w:p>
      <w:pPr>
        <w:pStyle w:val="ListBullet"/>
      </w:pPr>
      <w:r>
        <w:rPr>
          <w:b/>
        </w:rPr>
        <w:t xml:space="preserve">MetricStream – AI in Auditing: </w:t>
      </w:r>
      <w:r>
        <w:t>https://www.metricstream.com/learn/how-artificial-intelligence-ai-transforming-audit-management.html</w:t>
      </w:r>
    </w:p>
    <w:p>
      <w:pPr>
        <w:pStyle w:val="ListBullet"/>
      </w:pPr>
      <w:r>
        <w:rPr>
          <w:b/>
        </w:rPr>
        <w:t xml:space="preserve">Diligent – AuditAI: </w:t>
      </w:r>
      <w:r>
        <w:t>https://www.diligent.com/lp/auditai</w:t>
      </w:r>
    </w:p>
    <w:p>
      <w:pPr>
        <w:pStyle w:val="SmallNote"/>
      </w:pPr>
      <w:r>
        <w:t>Note: Public product pages are used only for capability benchmarking. This SRS is an original product requirements document and should be validated against the client's actual workflows, applicable Bangladesh Bank requirements, security policies, data architecture and the final contractual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Bank Internal Audit, Risk, Compliance &amp; CAAT Platform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