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A730" w14:textId="77777777" w:rsidR="00277CBD" w:rsidRDefault="00000000">
      <w:pPr>
        <w:spacing w:after="0"/>
        <w:jc w:val="center"/>
      </w:pPr>
      <w:r>
        <w:rPr>
          <w:noProof/>
        </w:rPr>
        <w:drawing>
          <wp:inline distT="0" distB="0" distL="0" distR="0" wp14:anchorId="00FD06DE" wp14:editId="05FD3171">
            <wp:extent cx="6492240" cy="8401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6"/>
                    <a:stretch>
                      <a:fillRect/>
                    </a:stretch>
                  </pic:blipFill>
                  <pic:spPr>
                    <a:xfrm>
                      <a:off x="0" y="0"/>
                      <a:ext cx="6492240" cy="8401722"/>
                    </a:xfrm>
                    <a:prstGeom prst="rect">
                      <a:avLst/>
                    </a:prstGeom>
                  </pic:spPr>
                </pic:pic>
              </a:graphicData>
            </a:graphic>
          </wp:inline>
        </w:drawing>
      </w:r>
    </w:p>
    <w:p w14:paraId="7603B8D2" w14:textId="77777777" w:rsidR="00277CBD" w:rsidRDefault="00000000">
      <w:r>
        <w:br w:type="page"/>
      </w:r>
    </w:p>
    <w:p w14:paraId="07D64F12" w14:textId="77777777" w:rsidR="00277CBD" w:rsidRDefault="00000000">
      <w:pPr>
        <w:spacing w:after="0"/>
        <w:jc w:val="center"/>
      </w:pPr>
      <w:r>
        <w:rPr>
          <w:noProof/>
        </w:rPr>
        <w:lastRenderedPageBreak/>
        <w:drawing>
          <wp:inline distT="0" distB="0" distL="0" distR="0" wp14:anchorId="5D5E77C5" wp14:editId="0C259CFD">
            <wp:extent cx="6492240" cy="8401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7"/>
                    <a:stretch>
                      <a:fillRect/>
                    </a:stretch>
                  </pic:blipFill>
                  <pic:spPr>
                    <a:xfrm>
                      <a:off x="0" y="0"/>
                      <a:ext cx="6492240" cy="8401722"/>
                    </a:xfrm>
                    <a:prstGeom prst="rect">
                      <a:avLst/>
                    </a:prstGeom>
                  </pic:spPr>
                </pic:pic>
              </a:graphicData>
            </a:graphic>
          </wp:inline>
        </w:drawing>
      </w:r>
    </w:p>
    <w:p w14:paraId="43A425E7" w14:textId="77777777" w:rsidR="00277CBD" w:rsidRDefault="00000000">
      <w:r>
        <w:br w:type="page"/>
      </w:r>
    </w:p>
    <w:p w14:paraId="0B4EE9E2" w14:textId="77777777" w:rsidR="00277CBD" w:rsidRDefault="00000000">
      <w:pPr>
        <w:spacing w:after="0"/>
        <w:jc w:val="center"/>
      </w:pPr>
      <w:r>
        <w:rPr>
          <w:noProof/>
        </w:rPr>
        <w:lastRenderedPageBreak/>
        <w:drawing>
          <wp:inline distT="0" distB="0" distL="0" distR="0" wp14:anchorId="1A045707" wp14:editId="338B551A">
            <wp:extent cx="6492240" cy="8401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8"/>
                    <a:stretch>
                      <a:fillRect/>
                    </a:stretch>
                  </pic:blipFill>
                  <pic:spPr>
                    <a:xfrm>
                      <a:off x="0" y="0"/>
                      <a:ext cx="6492240" cy="8401722"/>
                    </a:xfrm>
                    <a:prstGeom prst="rect">
                      <a:avLst/>
                    </a:prstGeom>
                  </pic:spPr>
                </pic:pic>
              </a:graphicData>
            </a:graphic>
          </wp:inline>
        </w:drawing>
      </w:r>
    </w:p>
    <w:p w14:paraId="6D6F4A35" w14:textId="77777777" w:rsidR="00277CBD" w:rsidRDefault="00000000">
      <w:pPr>
        <w:pStyle w:val="Heading1"/>
      </w:pPr>
      <w:r>
        <w:lastRenderedPageBreak/>
        <w:t>QUESTION 1: SECURITY ATTACKS, THREATS, RISKS AND SECURITY GOALS</w:t>
      </w:r>
    </w:p>
    <w:p w14:paraId="617EBB8D" w14:textId="77777777" w:rsidR="00277CBD" w:rsidRDefault="00000000">
      <w:pPr>
        <w:pStyle w:val="Heading2"/>
      </w:pPr>
      <w:r>
        <w:t>1.1 Introduction</w:t>
      </w:r>
    </w:p>
    <w:p w14:paraId="55EE0A6E" w14:textId="77777777" w:rsidR="00277CBD" w:rsidRDefault="00000000">
      <w:r>
        <w:t>Information security protects information and computer systems from unauthorized access, disclosure, modification, destruction and disruption. Security attacks, threats and risks describe different aspects of possible harm, while security goals define what protection should achieve.</w:t>
      </w:r>
    </w:p>
    <w:p w14:paraId="2813019E" w14:textId="77777777" w:rsidR="00277CBD" w:rsidRDefault="00000000">
      <w:pPr>
        <w:pStyle w:val="Heading2"/>
      </w:pPr>
      <w:r>
        <w:t>1.2 Key concepts</w:t>
      </w:r>
    </w:p>
    <w:tbl>
      <w:tblPr>
        <w:tblStyle w:val="TableGrid"/>
        <w:tblW w:w="0" w:type="auto"/>
        <w:jc w:val="center"/>
        <w:tblLook w:val="04A0" w:firstRow="1" w:lastRow="0" w:firstColumn="1" w:lastColumn="0" w:noHBand="0" w:noVBand="1"/>
      </w:tblPr>
      <w:tblGrid>
        <w:gridCol w:w="1800"/>
        <w:gridCol w:w="4680"/>
        <w:gridCol w:w="3240"/>
      </w:tblGrid>
      <w:tr w:rsidR="00277CBD" w14:paraId="75F24D66" w14:textId="77777777">
        <w:trPr>
          <w:jc w:val="center"/>
        </w:trPr>
        <w:tc>
          <w:tcPr>
            <w:tcW w:w="1800" w:type="dxa"/>
            <w:shd w:val="clear" w:color="auto" w:fill="17365D"/>
            <w:vAlign w:val="center"/>
          </w:tcPr>
          <w:p w14:paraId="7C31D433" w14:textId="77777777" w:rsidR="00277CBD" w:rsidRDefault="00000000">
            <w:pPr>
              <w:spacing w:after="20"/>
            </w:pPr>
            <w:r>
              <w:rPr>
                <w:rFonts w:ascii="Arial" w:hAnsi="Arial"/>
                <w:b/>
                <w:color w:val="FFFFFF"/>
                <w:sz w:val="17"/>
              </w:rPr>
              <w:t>Concept</w:t>
            </w:r>
          </w:p>
        </w:tc>
        <w:tc>
          <w:tcPr>
            <w:tcW w:w="4680" w:type="dxa"/>
            <w:shd w:val="clear" w:color="auto" w:fill="17365D"/>
            <w:vAlign w:val="center"/>
          </w:tcPr>
          <w:p w14:paraId="1EA6A583" w14:textId="77777777" w:rsidR="00277CBD" w:rsidRDefault="00000000">
            <w:pPr>
              <w:spacing w:after="20"/>
            </w:pPr>
            <w:r>
              <w:rPr>
                <w:rFonts w:ascii="Arial" w:hAnsi="Arial"/>
                <w:b/>
                <w:color w:val="FFFFFF"/>
                <w:sz w:val="17"/>
              </w:rPr>
              <w:t>Meaning</w:t>
            </w:r>
          </w:p>
        </w:tc>
        <w:tc>
          <w:tcPr>
            <w:tcW w:w="3240" w:type="dxa"/>
            <w:shd w:val="clear" w:color="auto" w:fill="17365D"/>
            <w:vAlign w:val="center"/>
          </w:tcPr>
          <w:p w14:paraId="7A28452A" w14:textId="77777777" w:rsidR="00277CBD" w:rsidRDefault="00000000">
            <w:pPr>
              <w:spacing w:after="20"/>
            </w:pPr>
            <w:r>
              <w:rPr>
                <w:rFonts w:ascii="Arial" w:hAnsi="Arial"/>
                <w:b/>
                <w:color w:val="FFFFFF"/>
                <w:sz w:val="17"/>
              </w:rPr>
              <w:t>Examples</w:t>
            </w:r>
          </w:p>
        </w:tc>
      </w:tr>
      <w:tr w:rsidR="00277CBD" w14:paraId="08BE1609" w14:textId="77777777">
        <w:trPr>
          <w:jc w:val="center"/>
        </w:trPr>
        <w:tc>
          <w:tcPr>
            <w:tcW w:w="1800" w:type="dxa"/>
            <w:vAlign w:val="center"/>
          </w:tcPr>
          <w:p w14:paraId="6B9026AE" w14:textId="77777777" w:rsidR="00277CBD" w:rsidRDefault="00000000">
            <w:pPr>
              <w:spacing w:after="20"/>
            </w:pPr>
            <w:r>
              <w:rPr>
                <w:rFonts w:ascii="Arial" w:hAnsi="Arial"/>
                <w:sz w:val="17"/>
              </w:rPr>
              <w:t>Security attack</w:t>
            </w:r>
          </w:p>
        </w:tc>
        <w:tc>
          <w:tcPr>
            <w:tcW w:w="4680" w:type="dxa"/>
            <w:vAlign w:val="center"/>
          </w:tcPr>
          <w:p w14:paraId="1428DF51" w14:textId="77777777" w:rsidR="00277CBD" w:rsidRDefault="00000000">
            <w:pPr>
              <w:spacing w:after="20"/>
            </w:pPr>
            <w:r>
              <w:rPr>
                <w:rFonts w:ascii="Arial" w:hAnsi="Arial"/>
                <w:sz w:val="17"/>
              </w:rPr>
              <w:t>An action that attempts to compromise a system or information.</w:t>
            </w:r>
          </w:p>
        </w:tc>
        <w:tc>
          <w:tcPr>
            <w:tcW w:w="3240" w:type="dxa"/>
            <w:vAlign w:val="center"/>
          </w:tcPr>
          <w:p w14:paraId="7F0BF4DF" w14:textId="77777777" w:rsidR="00277CBD" w:rsidRDefault="00000000">
            <w:pPr>
              <w:spacing w:after="20"/>
            </w:pPr>
            <w:r>
              <w:rPr>
                <w:rFonts w:ascii="Arial" w:hAnsi="Arial"/>
                <w:sz w:val="17"/>
              </w:rPr>
              <w:t>Eavesdropping, unauthorized modification, denial of service.</w:t>
            </w:r>
          </w:p>
        </w:tc>
      </w:tr>
      <w:tr w:rsidR="00277CBD" w14:paraId="47C8CA53" w14:textId="77777777">
        <w:trPr>
          <w:jc w:val="center"/>
        </w:trPr>
        <w:tc>
          <w:tcPr>
            <w:tcW w:w="1800" w:type="dxa"/>
            <w:shd w:val="clear" w:color="auto" w:fill="F1F5F9"/>
            <w:vAlign w:val="center"/>
          </w:tcPr>
          <w:p w14:paraId="7F601708" w14:textId="77777777" w:rsidR="00277CBD" w:rsidRDefault="00000000">
            <w:pPr>
              <w:spacing w:after="20"/>
            </w:pPr>
            <w:r>
              <w:rPr>
                <w:rFonts w:ascii="Arial" w:hAnsi="Arial"/>
                <w:sz w:val="17"/>
              </w:rPr>
              <w:t>Threat</w:t>
            </w:r>
          </w:p>
        </w:tc>
        <w:tc>
          <w:tcPr>
            <w:tcW w:w="4680" w:type="dxa"/>
            <w:shd w:val="clear" w:color="auto" w:fill="F1F5F9"/>
            <w:vAlign w:val="center"/>
          </w:tcPr>
          <w:p w14:paraId="24607DDA" w14:textId="77777777" w:rsidR="00277CBD" w:rsidRDefault="00000000">
            <w:pPr>
              <w:spacing w:after="20"/>
            </w:pPr>
            <w:r>
              <w:rPr>
                <w:rFonts w:ascii="Arial" w:hAnsi="Arial"/>
                <w:sz w:val="17"/>
              </w:rPr>
              <w:t>A potential cause of harm that may exploit a vulnerability.</w:t>
            </w:r>
          </w:p>
        </w:tc>
        <w:tc>
          <w:tcPr>
            <w:tcW w:w="3240" w:type="dxa"/>
            <w:shd w:val="clear" w:color="auto" w:fill="F1F5F9"/>
            <w:vAlign w:val="center"/>
          </w:tcPr>
          <w:p w14:paraId="24C8D60F" w14:textId="77777777" w:rsidR="00277CBD" w:rsidRDefault="00000000">
            <w:pPr>
              <w:spacing w:after="20"/>
            </w:pPr>
            <w:r>
              <w:rPr>
                <w:rFonts w:ascii="Arial" w:hAnsi="Arial"/>
                <w:sz w:val="17"/>
              </w:rPr>
              <w:t>Malware, an attacker, a malicious insider, a power failure.</w:t>
            </w:r>
          </w:p>
        </w:tc>
      </w:tr>
      <w:tr w:rsidR="00277CBD" w14:paraId="0D794D47" w14:textId="77777777">
        <w:trPr>
          <w:jc w:val="center"/>
        </w:trPr>
        <w:tc>
          <w:tcPr>
            <w:tcW w:w="1800" w:type="dxa"/>
            <w:vAlign w:val="center"/>
          </w:tcPr>
          <w:p w14:paraId="7D06B9ED" w14:textId="77777777" w:rsidR="00277CBD" w:rsidRDefault="00000000">
            <w:pPr>
              <w:spacing w:after="20"/>
            </w:pPr>
            <w:r>
              <w:rPr>
                <w:rFonts w:ascii="Arial" w:hAnsi="Arial"/>
                <w:sz w:val="17"/>
              </w:rPr>
              <w:t>Risk</w:t>
            </w:r>
          </w:p>
        </w:tc>
        <w:tc>
          <w:tcPr>
            <w:tcW w:w="4680" w:type="dxa"/>
            <w:vAlign w:val="center"/>
          </w:tcPr>
          <w:p w14:paraId="0617A8E5" w14:textId="77777777" w:rsidR="00277CBD" w:rsidRDefault="00000000">
            <w:pPr>
              <w:spacing w:after="20"/>
            </w:pPr>
            <w:r>
              <w:rPr>
                <w:rFonts w:ascii="Arial" w:hAnsi="Arial"/>
                <w:sz w:val="17"/>
              </w:rPr>
              <w:t>The possibility and impact of loss when a threat exploits a vulnerability.</w:t>
            </w:r>
          </w:p>
        </w:tc>
        <w:tc>
          <w:tcPr>
            <w:tcW w:w="3240" w:type="dxa"/>
            <w:vAlign w:val="center"/>
          </w:tcPr>
          <w:p w14:paraId="54B70CF7" w14:textId="77777777" w:rsidR="00277CBD" w:rsidRDefault="00000000">
            <w:pPr>
              <w:spacing w:after="20"/>
            </w:pPr>
            <w:r>
              <w:rPr>
                <w:rFonts w:ascii="Arial" w:hAnsi="Arial"/>
                <w:sz w:val="17"/>
              </w:rPr>
              <w:t>Financial loss, data exposure, service downtime.</w:t>
            </w:r>
          </w:p>
        </w:tc>
      </w:tr>
      <w:tr w:rsidR="00277CBD" w14:paraId="60F35A70" w14:textId="77777777">
        <w:trPr>
          <w:jc w:val="center"/>
        </w:trPr>
        <w:tc>
          <w:tcPr>
            <w:tcW w:w="1800" w:type="dxa"/>
            <w:shd w:val="clear" w:color="auto" w:fill="F1F5F9"/>
            <w:vAlign w:val="center"/>
          </w:tcPr>
          <w:p w14:paraId="019665B4" w14:textId="77777777" w:rsidR="00277CBD" w:rsidRDefault="00000000">
            <w:pPr>
              <w:spacing w:after="20"/>
            </w:pPr>
            <w:r>
              <w:rPr>
                <w:rFonts w:ascii="Arial" w:hAnsi="Arial"/>
                <w:sz w:val="17"/>
              </w:rPr>
              <w:t>Security goals</w:t>
            </w:r>
          </w:p>
        </w:tc>
        <w:tc>
          <w:tcPr>
            <w:tcW w:w="4680" w:type="dxa"/>
            <w:shd w:val="clear" w:color="auto" w:fill="F1F5F9"/>
            <w:vAlign w:val="center"/>
          </w:tcPr>
          <w:p w14:paraId="01C853C1" w14:textId="77777777" w:rsidR="00277CBD" w:rsidRDefault="00000000">
            <w:pPr>
              <w:spacing w:after="20"/>
            </w:pPr>
            <w:r>
              <w:rPr>
                <w:rFonts w:ascii="Arial" w:hAnsi="Arial"/>
                <w:sz w:val="17"/>
              </w:rPr>
              <w:t>Properties that security controls aim to preserve.</w:t>
            </w:r>
          </w:p>
        </w:tc>
        <w:tc>
          <w:tcPr>
            <w:tcW w:w="3240" w:type="dxa"/>
            <w:shd w:val="clear" w:color="auto" w:fill="F1F5F9"/>
            <w:vAlign w:val="center"/>
          </w:tcPr>
          <w:p w14:paraId="7D41D0C7" w14:textId="77777777" w:rsidR="00277CBD" w:rsidRDefault="00000000">
            <w:pPr>
              <w:spacing w:after="20"/>
            </w:pPr>
            <w:r>
              <w:rPr>
                <w:rFonts w:ascii="Arial" w:hAnsi="Arial"/>
                <w:sz w:val="17"/>
              </w:rPr>
              <w:t>Confidentiality, integrity and availability.</w:t>
            </w:r>
          </w:p>
        </w:tc>
      </w:tr>
    </w:tbl>
    <w:p w14:paraId="72E15AD1" w14:textId="77777777" w:rsidR="00277CBD" w:rsidRDefault="00277CBD"/>
    <w:p w14:paraId="4A6605DA" w14:textId="77777777" w:rsidR="00277CBD" w:rsidRDefault="00000000">
      <w:pPr>
        <w:pStyle w:val="Heading2"/>
      </w:pPr>
      <w:r>
        <w:t>1.3 Concept map</w:t>
      </w:r>
    </w:p>
    <w:tbl>
      <w:tblPr>
        <w:tblStyle w:val="TableGrid"/>
        <w:tblW w:w="0" w:type="auto"/>
        <w:tblLook w:val="04A0" w:firstRow="1" w:lastRow="0" w:firstColumn="1" w:lastColumn="0" w:noHBand="0" w:noVBand="1"/>
      </w:tblPr>
      <w:tblGrid>
        <w:gridCol w:w="10080"/>
      </w:tblGrid>
      <w:tr w:rsidR="00277CBD" w14:paraId="34F2EE88" w14:textId="77777777">
        <w:tc>
          <w:tcPr>
            <w:tcW w:w="10080" w:type="dxa"/>
            <w:shd w:val="clear" w:color="auto" w:fill="DCE6F1"/>
          </w:tcPr>
          <w:p w14:paraId="46FB54D6" w14:textId="77777777" w:rsidR="00277CBD" w:rsidRDefault="00000000">
            <w:pPr>
              <w:jc w:val="center"/>
            </w:pPr>
            <w:r>
              <w:rPr>
                <w:b/>
                <w:color w:val="17365D"/>
              </w:rPr>
              <w:t>INFORMATION SECURITY</w:t>
            </w:r>
          </w:p>
          <w:p w14:paraId="32F26B03" w14:textId="77777777" w:rsidR="00277CBD" w:rsidRDefault="00000000">
            <w:pPr>
              <w:spacing w:after="40"/>
              <w:jc w:val="center"/>
            </w:pPr>
            <w:r>
              <w:t>Protect data, devices, networks and services</w:t>
            </w:r>
          </w:p>
          <w:p w14:paraId="190020B1" w14:textId="77777777" w:rsidR="00277CBD" w:rsidRDefault="00000000">
            <w:pPr>
              <w:spacing w:after="40"/>
              <w:jc w:val="center"/>
            </w:pPr>
            <w:r>
              <w:t>↓</w:t>
            </w:r>
          </w:p>
        </w:tc>
      </w:tr>
    </w:tbl>
    <w:p w14:paraId="66B5B524" w14:textId="77777777" w:rsidR="00277CBD" w:rsidRDefault="00277CBD"/>
    <w:tbl>
      <w:tblPr>
        <w:tblStyle w:val="TableGrid"/>
        <w:tblW w:w="0" w:type="auto"/>
        <w:jc w:val="center"/>
        <w:tblLook w:val="04A0" w:firstRow="1" w:lastRow="0" w:firstColumn="1" w:lastColumn="0" w:noHBand="0" w:noVBand="1"/>
      </w:tblPr>
      <w:tblGrid>
        <w:gridCol w:w="2160"/>
        <w:gridCol w:w="7560"/>
      </w:tblGrid>
      <w:tr w:rsidR="00277CBD" w14:paraId="00A03461" w14:textId="77777777">
        <w:trPr>
          <w:jc w:val="center"/>
        </w:trPr>
        <w:tc>
          <w:tcPr>
            <w:tcW w:w="2160" w:type="dxa"/>
            <w:shd w:val="clear" w:color="auto" w:fill="17365D"/>
            <w:vAlign w:val="center"/>
          </w:tcPr>
          <w:p w14:paraId="63F308D5" w14:textId="77777777" w:rsidR="00277CBD" w:rsidRDefault="00000000">
            <w:pPr>
              <w:spacing w:after="20"/>
            </w:pPr>
            <w:r>
              <w:rPr>
                <w:rFonts w:ascii="Arial" w:hAnsi="Arial"/>
                <w:b/>
                <w:color w:val="FFFFFF"/>
                <w:sz w:val="17"/>
              </w:rPr>
              <w:t>Branch</w:t>
            </w:r>
          </w:p>
        </w:tc>
        <w:tc>
          <w:tcPr>
            <w:tcW w:w="7560" w:type="dxa"/>
            <w:shd w:val="clear" w:color="auto" w:fill="17365D"/>
            <w:vAlign w:val="center"/>
          </w:tcPr>
          <w:p w14:paraId="7DA6BCA6" w14:textId="77777777" w:rsidR="00277CBD" w:rsidRDefault="00000000">
            <w:pPr>
              <w:spacing w:after="20"/>
            </w:pPr>
            <w:r>
              <w:rPr>
                <w:rFonts w:ascii="Arial" w:hAnsi="Arial"/>
                <w:b/>
                <w:color w:val="FFFFFF"/>
                <w:sz w:val="17"/>
              </w:rPr>
              <w:t>Examples / relationships</w:t>
            </w:r>
          </w:p>
        </w:tc>
      </w:tr>
      <w:tr w:rsidR="00277CBD" w14:paraId="1D869AEF" w14:textId="77777777">
        <w:trPr>
          <w:jc w:val="center"/>
        </w:trPr>
        <w:tc>
          <w:tcPr>
            <w:tcW w:w="2160" w:type="dxa"/>
            <w:vAlign w:val="center"/>
          </w:tcPr>
          <w:p w14:paraId="1D061B52" w14:textId="77777777" w:rsidR="00277CBD" w:rsidRDefault="00000000">
            <w:pPr>
              <w:spacing w:after="20"/>
            </w:pPr>
            <w:r>
              <w:rPr>
                <w:rFonts w:ascii="Arial" w:hAnsi="Arial"/>
                <w:sz w:val="17"/>
              </w:rPr>
              <w:t>Security attacks</w:t>
            </w:r>
          </w:p>
        </w:tc>
        <w:tc>
          <w:tcPr>
            <w:tcW w:w="7560" w:type="dxa"/>
            <w:vAlign w:val="center"/>
          </w:tcPr>
          <w:p w14:paraId="0E52E778" w14:textId="77777777" w:rsidR="00277CBD" w:rsidRDefault="00000000">
            <w:pPr>
              <w:spacing w:after="20"/>
            </w:pPr>
            <w:r>
              <w:rPr>
                <w:rFonts w:ascii="Arial" w:hAnsi="Arial"/>
                <w:sz w:val="17"/>
              </w:rPr>
              <w:t>Interception → information disclosure; modification → altered records; interruption → unavailable services; fabrication → false messages or transactions.</w:t>
            </w:r>
          </w:p>
        </w:tc>
      </w:tr>
      <w:tr w:rsidR="00277CBD" w14:paraId="4CEFE852" w14:textId="77777777">
        <w:trPr>
          <w:jc w:val="center"/>
        </w:trPr>
        <w:tc>
          <w:tcPr>
            <w:tcW w:w="2160" w:type="dxa"/>
            <w:shd w:val="clear" w:color="auto" w:fill="F1F5F9"/>
            <w:vAlign w:val="center"/>
          </w:tcPr>
          <w:p w14:paraId="4FF284B9" w14:textId="77777777" w:rsidR="00277CBD" w:rsidRDefault="00000000">
            <w:pPr>
              <w:spacing w:after="20"/>
            </w:pPr>
            <w:r>
              <w:rPr>
                <w:rFonts w:ascii="Arial" w:hAnsi="Arial"/>
                <w:sz w:val="17"/>
              </w:rPr>
              <w:t>Threats</w:t>
            </w:r>
          </w:p>
        </w:tc>
        <w:tc>
          <w:tcPr>
            <w:tcW w:w="7560" w:type="dxa"/>
            <w:shd w:val="clear" w:color="auto" w:fill="F1F5F9"/>
            <w:vAlign w:val="center"/>
          </w:tcPr>
          <w:p w14:paraId="25DA90C0" w14:textId="77777777" w:rsidR="00277CBD" w:rsidRDefault="00000000">
            <w:pPr>
              <w:spacing w:after="20"/>
            </w:pPr>
            <w:r>
              <w:rPr>
                <w:rFonts w:ascii="Arial" w:hAnsi="Arial"/>
                <w:sz w:val="17"/>
              </w:rPr>
              <w:t>Hackers, malware, compromised credentials, malicious insiders and natural disasters.</w:t>
            </w:r>
          </w:p>
        </w:tc>
      </w:tr>
      <w:tr w:rsidR="00277CBD" w14:paraId="17957DE2" w14:textId="77777777">
        <w:trPr>
          <w:jc w:val="center"/>
        </w:trPr>
        <w:tc>
          <w:tcPr>
            <w:tcW w:w="2160" w:type="dxa"/>
            <w:vAlign w:val="center"/>
          </w:tcPr>
          <w:p w14:paraId="2AB07213" w14:textId="77777777" w:rsidR="00277CBD" w:rsidRDefault="00000000">
            <w:pPr>
              <w:spacing w:after="20"/>
            </w:pPr>
            <w:r>
              <w:rPr>
                <w:rFonts w:ascii="Arial" w:hAnsi="Arial"/>
                <w:sz w:val="17"/>
              </w:rPr>
              <w:t>Risks</w:t>
            </w:r>
          </w:p>
        </w:tc>
        <w:tc>
          <w:tcPr>
            <w:tcW w:w="7560" w:type="dxa"/>
            <w:vAlign w:val="center"/>
          </w:tcPr>
          <w:p w14:paraId="4E15060A" w14:textId="77777777" w:rsidR="00277CBD" w:rsidRDefault="00000000">
            <w:pPr>
              <w:spacing w:after="20"/>
            </w:pPr>
            <w:r>
              <w:rPr>
                <w:rFonts w:ascii="Arial" w:hAnsi="Arial"/>
                <w:sz w:val="17"/>
              </w:rPr>
              <w:t>Data theft, inaccurate information, financial loss, reputational damage and downtime.</w:t>
            </w:r>
          </w:p>
        </w:tc>
      </w:tr>
      <w:tr w:rsidR="00277CBD" w14:paraId="4C824F02" w14:textId="77777777">
        <w:trPr>
          <w:jc w:val="center"/>
        </w:trPr>
        <w:tc>
          <w:tcPr>
            <w:tcW w:w="2160" w:type="dxa"/>
            <w:shd w:val="clear" w:color="auto" w:fill="F1F5F9"/>
            <w:vAlign w:val="center"/>
          </w:tcPr>
          <w:p w14:paraId="5D0B0F2E" w14:textId="77777777" w:rsidR="00277CBD" w:rsidRDefault="00000000">
            <w:pPr>
              <w:spacing w:after="20"/>
            </w:pPr>
            <w:r>
              <w:rPr>
                <w:rFonts w:ascii="Arial" w:hAnsi="Arial"/>
                <w:sz w:val="17"/>
              </w:rPr>
              <w:t>Security goals</w:t>
            </w:r>
          </w:p>
        </w:tc>
        <w:tc>
          <w:tcPr>
            <w:tcW w:w="7560" w:type="dxa"/>
            <w:shd w:val="clear" w:color="auto" w:fill="F1F5F9"/>
            <w:vAlign w:val="center"/>
          </w:tcPr>
          <w:p w14:paraId="0C524DE0" w14:textId="77777777" w:rsidR="00277CBD" w:rsidRDefault="00000000">
            <w:pPr>
              <w:spacing w:after="20"/>
            </w:pPr>
            <w:r>
              <w:rPr>
                <w:rFonts w:ascii="Arial" w:hAnsi="Arial"/>
                <w:sz w:val="17"/>
              </w:rPr>
              <w:t>Confidentiality + Integrity + Availability (CIA triad).</w:t>
            </w:r>
          </w:p>
        </w:tc>
      </w:tr>
      <w:tr w:rsidR="00277CBD" w14:paraId="3AFC7F4B" w14:textId="77777777">
        <w:trPr>
          <w:jc w:val="center"/>
        </w:trPr>
        <w:tc>
          <w:tcPr>
            <w:tcW w:w="2160" w:type="dxa"/>
            <w:vAlign w:val="center"/>
          </w:tcPr>
          <w:p w14:paraId="3E1DE841" w14:textId="77777777" w:rsidR="00277CBD" w:rsidRDefault="00000000">
            <w:pPr>
              <w:spacing w:after="20"/>
            </w:pPr>
            <w:r>
              <w:rPr>
                <w:rFonts w:ascii="Arial" w:hAnsi="Arial"/>
                <w:sz w:val="17"/>
              </w:rPr>
              <w:t>Controls</w:t>
            </w:r>
          </w:p>
        </w:tc>
        <w:tc>
          <w:tcPr>
            <w:tcW w:w="7560" w:type="dxa"/>
            <w:vAlign w:val="center"/>
          </w:tcPr>
          <w:p w14:paraId="1C63C801" w14:textId="77777777" w:rsidR="00277CBD" w:rsidRDefault="00000000">
            <w:pPr>
              <w:spacing w:after="20"/>
            </w:pPr>
            <w:r>
              <w:rPr>
                <w:rFonts w:ascii="Arial" w:hAnsi="Arial"/>
                <w:sz w:val="17"/>
              </w:rPr>
              <w:t>Encryption, authentication, access control, integrity checks, backups, redundancy and monitoring.</w:t>
            </w:r>
          </w:p>
        </w:tc>
      </w:tr>
    </w:tbl>
    <w:p w14:paraId="03AC2B2E" w14:textId="77777777" w:rsidR="00277CBD" w:rsidRDefault="00277CBD"/>
    <w:p w14:paraId="7F012965" w14:textId="77777777" w:rsidR="00277CBD" w:rsidRDefault="00000000">
      <w:pPr>
        <w:pStyle w:val="Heading2"/>
      </w:pPr>
      <w:r>
        <w:t>1.4 How attacks affect security goals</w:t>
      </w:r>
    </w:p>
    <w:tbl>
      <w:tblPr>
        <w:tblStyle w:val="TableGrid"/>
        <w:tblW w:w="0" w:type="auto"/>
        <w:jc w:val="center"/>
        <w:tblLook w:val="04A0" w:firstRow="1" w:lastRow="0" w:firstColumn="1" w:lastColumn="0" w:noHBand="0" w:noVBand="1"/>
      </w:tblPr>
      <w:tblGrid>
        <w:gridCol w:w="1800"/>
        <w:gridCol w:w="2592"/>
        <w:gridCol w:w="2880"/>
        <w:gridCol w:w="2448"/>
      </w:tblGrid>
      <w:tr w:rsidR="00277CBD" w14:paraId="05BBD611" w14:textId="77777777">
        <w:trPr>
          <w:jc w:val="center"/>
        </w:trPr>
        <w:tc>
          <w:tcPr>
            <w:tcW w:w="1800" w:type="dxa"/>
            <w:shd w:val="clear" w:color="auto" w:fill="17365D"/>
            <w:vAlign w:val="center"/>
          </w:tcPr>
          <w:p w14:paraId="6A9E15E7" w14:textId="77777777" w:rsidR="00277CBD" w:rsidRDefault="00000000">
            <w:pPr>
              <w:spacing w:after="20"/>
            </w:pPr>
            <w:r>
              <w:rPr>
                <w:rFonts w:ascii="Arial" w:hAnsi="Arial"/>
                <w:b/>
                <w:color w:val="FFFFFF"/>
                <w:sz w:val="16"/>
              </w:rPr>
              <w:t>Attack</w:t>
            </w:r>
          </w:p>
        </w:tc>
        <w:tc>
          <w:tcPr>
            <w:tcW w:w="2592" w:type="dxa"/>
            <w:shd w:val="clear" w:color="auto" w:fill="17365D"/>
            <w:vAlign w:val="center"/>
          </w:tcPr>
          <w:p w14:paraId="4DBB35D4" w14:textId="77777777" w:rsidR="00277CBD" w:rsidRDefault="00000000">
            <w:pPr>
              <w:spacing w:after="20"/>
            </w:pPr>
            <w:r>
              <w:rPr>
                <w:rFonts w:ascii="Arial" w:hAnsi="Arial"/>
                <w:b/>
                <w:color w:val="FFFFFF"/>
                <w:sz w:val="16"/>
              </w:rPr>
              <w:t>Threat / weakness</w:t>
            </w:r>
          </w:p>
        </w:tc>
        <w:tc>
          <w:tcPr>
            <w:tcW w:w="2880" w:type="dxa"/>
            <w:shd w:val="clear" w:color="auto" w:fill="17365D"/>
            <w:vAlign w:val="center"/>
          </w:tcPr>
          <w:p w14:paraId="220CE9F9" w14:textId="77777777" w:rsidR="00277CBD" w:rsidRDefault="00000000">
            <w:pPr>
              <w:spacing w:after="20"/>
            </w:pPr>
            <w:r>
              <w:rPr>
                <w:rFonts w:ascii="Arial" w:hAnsi="Arial"/>
                <w:b/>
                <w:color w:val="FFFFFF"/>
                <w:sz w:val="16"/>
              </w:rPr>
              <w:t>Possible risk</w:t>
            </w:r>
          </w:p>
        </w:tc>
        <w:tc>
          <w:tcPr>
            <w:tcW w:w="2448" w:type="dxa"/>
            <w:shd w:val="clear" w:color="auto" w:fill="17365D"/>
            <w:vAlign w:val="center"/>
          </w:tcPr>
          <w:p w14:paraId="6478B4C5" w14:textId="77777777" w:rsidR="00277CBD" w:rsidRDefault="00000000">
            <w:pPr>
              <w:spacing w:after="20"/>
            </w:pPr>
            <w:r>
              <w:rPr>
                <w:rFonts w:ascii="Arial" w:hAnsi="Arial"/>
                <w:b/>
                <w:color w:val="FFFFFF"/>
                <w:sz w:val="16"/>
              </w:rPr>
              <w:t>Goal affected</w:t>
            </w:r>
          </w:p>
        </w:tc>
      </w:tr>
      <w:tr w:rsidR="00277CBD" w14:paraId="33D74FFE" w14:textId="77777777">
        <w:trPr>
          <w:jc w:val="center"/>
        </w:trPr>
        <w:tc>
          <w:tcPr>
            <w:tcW w:w="1800" w:type="dxa"/>
            <w:vAlign w:val="center"/>
          </w:tcPr>
          <w:p w14:paraId="120FFE41" w14:textId="77777777" w:rsidR="00277CBD" w:rsidRDefault="00000000">
            <w:pPr>
              <w:spacing w:after="20"/>
            </w:pPr>
            <w:r>
              <w:rPr>
                <w:rFonts w:ascii="Arial" w:hAnsi="Arial"/>
                <w:sz w:val="16"/>
              </w:rPr>
              <w:t>Eavesdropping</w:t>
            </w:r>
          </w:p>
        </w:tc>
        <w:tc>
          <w:tcPr>
            <w:tcW w:w="2592" w:type="dxa"/>
            <w:vAlign w:val="center"/>
          </w:tcPr>
          <w:p w14:paraId="0A99C04F" w14:textId="77777777" w:rsidR="00277CBD" w:rsidRDefault="00000000">
            <w:pPr>
              <w:spacing w:after="20"/>
            </w:pPr>
            <w:r>
              <w:rPr>
                <w:rFonts w:ascii="Arial" w:hAnsi="Arial"/>
                <w:sz w:val="16"/>
              </w:rPr>
              <w:t>Unprotected network traffic</w:t>
            </w:r>
          </w:p>
        </w:tc>
        <w:tc>
          <w:tcPr>
            <w:tcW w:w="2880" w:type="dxa"/>
            <w:vAlign w:val="center"/>
          </w:tcPr>
          <w:p w14:paraId="47734F1F" w14:textId="77777777" w:rsidR="00277CBD" w:rsidRDefault="00000000">
            <w:pPr>
              <w:spacing w:after="20"/>
            </w:pPr>
            <w:r>
              <w:rPr>
                <w:rFonts w:ascii="Arial" w:hAnsi="Arial"/>
                <w:sz w:val="16"/>
              </w:rPr>
              <w:t>Private data is exposed</w:t>
            </w:r>
          </w:p>
        </w:tc>
        <w:tc>
          <w:tcPr>
            <w:tcW w:w="2448" w:type="dxa"/>
            <w:vAlign w:val="center"/>
          </w:tcPr>
          <w:p w14:paraId="2DAF297C" w14:textId="77777777" w:rsidR="00277CBD" w:rsidRDefault="00000000">
            <w:pPr>
              <w:spacing w:after="20"/>
            </w:pPr>
            <w:r>
              <w:rPr>
                <w:rFonts w:ascii="Arial" w:hAnsi="Arial"/>
                <w:sz w:val="16"/>
              </w:rPr>
              <w:t>Confidentiality</w:t>
            </w:r>
          </w:p>
        </w:tc>
      </w:tr>
      <w:tr w:rsidR="00277CBD" w14:paraId="6FD3BB05" w14:textId="77777777">
        <w:trPr>
          <w:jc w:val="center"/>
        </w:trPr>
        <w:tc>
          <w:tcPr>
            <w:tcW w:w="1800" w:type="dxa"/>
            <w:shd w:val="clear" w:color="auto" w:fill="F1F5F9"/>
            <w:vAlign w:val="center"/>
          </w:tcPr>
          <w:p w14:paraId="662483DC" w14:textId="77777777" w:rsidR="00277CBD" w:rsidRDefault="00000000">
            <w:pPr>
              <w:spacing w:after="20"/>
            </w:pPr>
            <w:r>
              <w:rPr>
                <w:rFonts w:ascii="Arial" w:hAnsi="Arial"/>
                <w:sz w:val="16"/>
              </w:rPr>
              <w:t>Data modification</w:t>
            </w:r>
          </w:p>
        </w:tc>
        <w:tc>
          <w:tcPr>
            <w:tcW w:w="2592" w:type="dxa"/>
            <w:shd w:val="clear" w:color="auto" w:fill="F1F5F9"/>
            <w:vAlign w:val="center"/>
          </w:tcPr>
          <w:p w14:paraId="21E37ECB" w14:textId="77777777" w:rsidR="00277CBD" w:rsidRDefault="00000000">
            <w:pPr>
              <w:spacing w:after="20"/>
            </w:pPr>
            <w:r>
              <w:rPr>
                <w:rFonts w:ascii="Arial" w:hAnsi="Arial"/>
                <w:sz w:val="16"/>
              </w:rPr>
              <w:t>Weak access controls or stolen credentials</w:t>
            </w:r>
          </w:p>
        </w:tc>
        <w:tc>
          <w:tcPr>
            <w:tcW w:w="2880" w:type="dxa"/>
            <w:shd w:val="clear" w:color="auto" w:fill="F1F5F9"/>
            <w:vAlign w:val="center"/>
          </w:tcPr>
          <w:p w14:paraId="2F83EC7E" w14:textId="77777777" w:rsidR="00277CBD" w:rsidRDefault="00000000">
            <w:pPr>
              <w:spacing w:after="20"/>
            </w:pPr>
            <w:r>
              <w:rPr>
                <w:rFonts w:ascii="Arial" w:hAnsi="Arial"/>
                <w:sz w:val="16"/>
              </w:rPr>
              <w:t>Records or transactions become incorrect</w:t>
            </w:r>
          </w:p>
        </w:tc>
        <w:tc>
          <w:tcPr>
            <w:tcW w:w="2448" w:type="dxa"/>
            <w:shd w:val="clear" w:color="auto" w:fill="F1F5F9"/>
            <w:vAlign w:val="center"/>
          </w:tcPr>
          <w:p w14:paraId="731460D5" w14:textId="77777777" w:rsidR="00277CBD" w:rsidRDefault="00000000">
            <w:pPr>
              <w:spacing w:after="20"/>
            </w:pPr>
            <w:r>
              <w:rPr>
                <w:rFonts w:ascii="Arial" w:hAnsi="Arial"/>
                <w:sz w:val="16"/>
              </w:rPr>
              <w:t>Integrity</w:t>
            </w:r>
          </w:p>
        </w:tc>
      </w:tr>
      <w:tr w:rsidR="00277CBD" w14:paraId="327D1691" w14:textId="77777777">
        <w:trPr>
          <w:jc w:val="center"/>
        </w:trPr>
        <w:tc>
          <w:tcPr>
            <w:tcW w:w="1800" w:type="dxa"/>
            <w:vAlign w:val="center"/>
          </w:tcPr>
          <w:p w14:paraId="28BAA189" w14:textId="77777777" w:rsidR="00277CBD" w:rsidRDefault="00000000">
            <w:pPr>
              <w:spacing w:after="20"/>
            </w:pPr>
            <w:r>
              <w:rPr>
                <w:rFonts w:ascii="Arial" w:hAnsi="Arial"/>
                <w:sz w:val="16"/>
              </w:rPr>
              <w:t>Denial of service</w:t>
            </w:r>
          </w:p>
        </w:tc>
        <w:tc>
          <w:tcPr>
            <w:tcW w:w="2592" w:type="dxa"/>
            <w:vAlign w:val="center"/>
          </w:tcPr>
          <w:p w14:paraId="1AD3BBD8" w14:textId="77777777" w:rsidR="00277CBD" w:rsidRDefault="00000000">
            <w:pPr>
              <w:spacing w:after="20"/>
            </w:pPr>
            <w:r>
              <w:rPr>
                <w:rFonts w:ascii="Arial" w:hAnsi="Arial"/>
                <w:sz w:val="16"/>
              </w:rPr>
              <w:t>Flooding or exhausting system resources</w:t>
            </w:r>
          </w:p>
        </w:tc>
        <w:tc>
          <w:tcPr>
            <w:tcW w:w="2880" w:type="dxa"/>
            <w:vAlign w:val="center"/>
          </w:tcPr>
          <w:p w14:paraId="47DA145A" w14:textId="77777777" w:rsidR="00277CBD" w:rsidRDefault="00000000">
            <w:pPr>
              <w:spacing w:after="20"/>
            </w:pPr>
            <w:r>
              <w:rPr>
                <w:rFonts w:ascii="Arial" w:hAnsi="Arial"/>
                <w:sz w:val="16"/>
              </w:rPr>
              <w:t>Service becomes unavailable</w:t>
            </w:r>
          </w:p>
        </w:tc>
        <w:tc>
          <w:tcPr>
            <w:tcW w:w="2448" w:type="dxa"/>
            <w:vAlign w:val="center"/>
          </w:tcPr>
          <w:p w14:paraId="144B9418" w14:textId="77777777" w:rsidR="00277CBD" w:rsidRDefault="00000000">
            <w:pPr>
              <w:spacing w:after="20"/>
            </w:pPr>
            <w:r>
              <w:rPr>
                <w:rFonts w:ascii="Arial" w:hAnsi="Arial"/>
                <w:sz w:val="16"/>
              </w:rPr>
              <w:t>Availability</w:t>
            </w:r>
          </w:p>
        </w:tc>
      </w:tr>
      <w:tr w:rsidR="00277CBD" w14:paraId="30FBC237" w14:textId="77777777">
        <w:trPr>
          <w:jc w:val="center"/>
        </w:trPr>
        <w:tc>
          <w:tcPr>
            <w:tcW w:w="1800" w:type="dxa"/>
            <w:shd w:val="clear" w:color="auto" w:fill="F1F5F9"/>
            <w:vAlign w:val="center"/>
          </w:tcPr>
          <w:p w14:paraId="03D774D9" w14:textId="77777777" w:rsidR="00277CBD" w:rsidRDefault="00000000">
            <w:pPr>
              <w:spacing w:after="20"/>
            </w:pPr>
            <w:r>
              <w:rPr>
                <w:rFonts w:ascii="Arial" w:hAnsi="Arial"/>
                <w:sz w:val="16"/>
              </w:rPr>
              <w:t>Spoofing / fabrication</w:t>
            </w:r>
          </w:p>
        </w:tc>
        <w:tc>
          <w:tcPr>
            <w:tcW w:w="2592" w:type="dxa"/>
            <w:shd w:val="clear" w:color="auto" w:fill="F1F5F9"/>
            <w:vAlign w:val="center"/>
          </w:tcPr>
          <w:p w14:paraId="7BAA56D6" w14:textId="77777777" w:rsidR="00277CBD" w:rsidRDefault="00000000">
            <w:pPr>
              <w:spacing w:after="20"/>
            </w:pPr>
            <w:r>
              <w:rPr>
                <w:rFonts w:ascii="Arial" w:hAnsi="Arial"/>
                <w:sz w:val="16"/>
              </w:rPr>
              <w:t>Weak identity verification</w:t>
            </w:r>
          </w:p>
        </w:tc>
        <w:tc>
          <w:tcPr>
            <w:tcW w:w="2880" w:type="dxa"/>
            <w:shd w:val="clear" w:color="auto" w:fill="F1F5F9"/>
            <w:vAlign w:val="center"/>
          </w:tcPr>
          <w:p w14:paraId="50D23DD0" w14:textId="77777777" w:rsidR="00277CBD" w:rsidRDefault="00000000">
            <w:pPr>
              <w:spacing w:after="20"/>
            </w:pPr>
            <w:r>
              <w:rPr>
                <w:rFonts w:ascii="Arial" w:hAnsi="Arial"/>
                <w:sz w:val="16"/>
              </w:rPr>
              <w:t>Fraud or false information</w:t>
            </w:r>
          </w:p>
        </w:tc>
        <w:tc>
          <w:tcPr>
            <w:tcW w:w="2448" w:type="dxa"/>
            <w:shd w:val="clear" w:color="auto" w:fill="F1F5F9"/>
            <w:vAlign w:val="center"/>
          </w:tcPr>
          <w:p w14:paraId="2C9A27F6" w14:textId="77777777" w:rsidR="00277CBD" w:rsidRDefault="00000000">
            <w:pPr>
              <w:spacing w:after="20"/>
            </w:pPr>
            <w:r>
              <w:rPr>
                <w:rFonts w:ascii="Arial" w:hAnsi="Arial"/>
                <w:sz w:val="16"/>
              </w:rPr>
              <w:t>Authenticity and integrity</w:t>
            </w:r>
          </w:p>
        </w:tc>
      </w:tr>
    </w:tbl>
    <w:p w14:paraId="45567426" w14:textId="77777777" w:rsidR="00277CBD" w:rsidRDefault="00277CBD"/>
    <w:p w14:paraId="20B2AA2D" w14:textId="77777777" w:rsidR="00277CBD" w:rsidRDefault="00000000">
      <w:pPr>
        <w:pStyle w:val="Heading2"/>
      </w:pPr>
      <w:r>
        <w:t>1.5 Security goals and mitigation</w:t>
      </w:r>
    </w:p>
    <w:p w14:paraId="0137480F" w14:textId="77777777" w:rsidR="00277CBD" w:rsidRDefault="00000000">
      <w:pPr>
        <w:pStyle w:val="ListBullet"/>
      </w:pPr>
      <w:r>
        <w:t>Confidentiality: Information should be available only to authorized users. Encryption and access control help prevent disclosure. Example: HTTPS protects data sent to an online banking website.</w:t>
      </w:r>
    </w:p>
    <w:p w14:paraId="40D41468" w14:textId="77777777" w:rsidR="00277CBD" w:rsidRDefault="00000000">
      <w:pPr>
        <w:pStyle w:val="ListBullet"/>
      </w:pPr>
      <w:r>
        <w:t>Integrity: Information should remain accurate and should not be changed without authorization. Hashes, message authentication codes and digital signatures can help detect unauthorized changes. Example: verifying a signed document.</w:t>
      </w:r>
    </w:p>
    <w:p w14:paraId="231FB306" w14:textId="77777777" w:rsidR="00277CBD" w:rsidRDefault="00000000">
      <w:pPr>
        <w:pStyle w:val="ListBullet"/>
      </w:pPr>
      <w:r>
        <w:t>Availability: Authorized users should be able to access systems when needed. Backups, redundant servers, traffic filtering and disaster recovery reduce downtime. Example: a bank uses backup servers when a primary server fails.</w:t>
      </w:r>
    </w:p>
    <w:p w14:paraId="1223B8EF" w14:textId="77777777" w:rsidR="00277CBD" w:rsidRDefault="00000000">
      <w:r>
        <w:t>Conclusion: Attacks exploit weaknesses, threats represent potential sources of harm, and risks describe possible consequences. Security controls reduce risks by protecting confidentiality, integrity and availability.</w:t>
      </w:r>
    </w:p>
    <w:p w14:paraId="7F7A74CC" w14:textId="77777777" w:rsidR="00277CBD" w:rsidRDefault="00000000">
      <w:r>
        <w:lastRenderedPageBreak/>
        <w:br w:type="page"/>
      </w:r>
    </w:p>
    <w:p w14:paraId="17DFBD5C" w14:textId="77777777" w:rsidR="00277CBD" w:rsidRDefault="00000000">
      <w:pPr>
        <w:pStyle w:val="Heading1"/>
      </w:pPr>
      <w:r>
        <w:lastRenderedPageBreak/>
        <w:t>QUESTION 2: COMPARISON OF SUBSTITUTION CIPHERS</w:t>
      </w:r>
    </w:p>
    <w:p w14:paraId="7D7020A6" w14:textId="77777777" w:rsidR="00277CBD" w:rsidRDefault="00000000">
      <w:pPr>
        <w:pStyle w:val="Heading2"/>
      </w:pPr>
      <w:r>
        <w:t>2.1 Introduction</w:t>
      </w:r>
    </w:p>
    <w:p w14:paraId="51A18347" w14:textId="77777777" w:rsidR="00277CBD" w:rsidRDefault="00000000">
      <w:r>
        <w:t>A substitution cipher encrypts plaintext by replacing letters or groups of letters with other letters or symbols. Caesar, monoalphabetic, Vigenère and Hill ciphers use different key structures and encryption operations.</w:t>
      </w:r>
    </w:p>
    <w:p w14:paraId="3C36281D" w14:textId="77777777" w:rsidR="00277CBD" w:rsidRDefault="00000000">
      <w:pPr>
        <w:pStyle w:val="Heading2"/>
      </w:pPr>
      <w:r>
        <w:t>2.2 Caesar cipher</w:t>
      </w:r>
    </w:p>
    <w:p w14:paraId="04ADBAE7" w14:textId="77777777" w:rsidR="00277CBD" w:rsidRDefault="00000000">
      <w:r>
        <w:t>The Caesar cipher shifts every plaintext letter by a fixed number of alphabet positions. For a shift k, encryption is C = (P + k) mod 26 and decryption is P = (C − k) mod 26, with A = 0, B = 1, …, Z = 25.</w:t>
      </w:r>
    </w:p>
    <w:tbl>
      <w:tblPr>
        <w:tblStyle w:val="TableGrid"/>
        <w:tblW w:w="0" w:type="auto"/>
        <w:tblLook w:val="04A0" w:firstRow="1" w:lastRow="0" w:firstColumn="1" w:lastColumn="0" w:noHBand="0" w:noVBand="1"/>
      </w:tblPr>
      <w:tblGrid>
        <w:gridCol w:w="10080"/>
      </w:tblGrid>
      <w:tr w:rsidR="00277CBD" w14:paraId="4F1BD439" w14:textId="77777777">
        <w:tc>
          <w:tcPr>
            <w:tcW w:w="10080" w:type="dxa"/>
            <w:shd w:val="clear" w:color="auto" w:fill="EAF1F8"/>
          </w:tcPr>
          <w:p w14:paraId="17E7E5A5" w14:textId="77777777" w:rsidR="00277CBD" w:rsidRDefault="00000000">
            <w:pPr>
              <w:jc w:val="center"/>
            </w:pPr>
            <w:r>
              <w:rPr>
                <w:b/>
                <w:color w:val="17365D"/>
              </w:rPr>
              <w:t>CAESAR CIPHER EXAMPLE</w:t>
            </w:r>
          </w:p>
          <w:p w14:paraId="3661A77C" w14:textId="77777777" w:rsidR="00277CBD" w:rsidRDefault="00000000">
            <w:pPr>
              <w:spacing w:after="40"/>
              <w:jc w:val="center"/>
            </w:pPr>
            <w:r>
              <w:t>Plaintext: HELLO</w:t>
            </w:r>
          </w:p>
          <w:p w14:paraId="5B6310E5" w14:textId="77777777" w:rsidR="00277CBD" w:rsidRDefault="00000000">
            <w:pPr>
              <w:spacing w:after="40"/>
              <w:jc w:val="center"/>
            </w:pPr>
            <w:r>
              <w:t>Shift each letter forward by 3</w:t>
            </w:r>
          </w:p>
          <w:p w14:paraId="028BFAA9" w14:textId="77777777" w:rsidR="00277CBD" w:rsidRDefault="00000000">
            <w:pPr>
              <w:spacing w:after="40"/>
              <w:jc w:val="center"/>
            </w:pPr>
            <w:r>
              <w:t>Ciphertext: KHOOR</w:t>
            </w:r>
          </w:p>
        </w:tc>
      </w:tr>
    </w:tbl>
    <w:p w14:paraId="79A97CB3" w14:textId="77777777" w:rsidR="00277CBD" w:rsidRDefault="00277CBD"/>
    <w:p w14:paraId="7621E8BE" w14:textId="77777777" w:rsidR="00277CBD" w:rsidRDefault="00000000">
      <w:r>
        <w:t>Advantage: easy to understand and implement. Limitation: there are only 25 non-zero shifts, so a brute-force search is easy.</w:t>
      </w:r>
    </w:p>
    <w:p w14:paraId="0DEABBD6" w14:textId="77777777" w:rsidR="00277CBD" w:rsidRDefault="00000000">
      <w:pPr>
        <w:pStyle w:val="Heading2"/>
      </w:pPr>
      <w:r>
        <w:t>2.3 Monoalphabetic cipher</w:t>
      </w:r>
    </w:p>
    <w:p w14:paraId="0134A922" w14:textId="77777777" w:rsidR="00277CBD" w:rsidRDefault="00000000">
      <w:r>
        <w:t>A monoalphabetic cipher uses a fixed substitution alphabet. Each plaintext letter maps to one ciphertext letter, and the same plaintext letter always maps to the same ciphertext letter. Although many substitution alphabets are possible, letter-frequency patterns are preserved, making the cipher vulnerable to frequency analysis.</w:t>
      </w:r>
    </w:p>
    <w:p w14:paraId="5C492D28" w14:textId="77777777" w:rsidR="00277CBD" w:rsidRDefault="00000000">
      <w:r>
        <w:t>Example mapping: Plain alphabet ABCDEFGHIJKLMNOPQRSTUVWXYZ; cipher alphabet QWERTYUIOPASDFGHJKLZXCVBNM.</w:t>
      </w:r>
    </w:p>
    <w:p w14:paraId="7E562D06" w14:textId="77777777" w:rsidR="00277CBD" w:rsidRDefault="00000000">
      <w:pPr>
        <w:pStyle w:val="Heading2"/>
      </w:pPr>
      <w:r>
        <w:t>2.4 Vigenère cipher</w:t>
      </w:r>
    </w:p>
    <w:p w14:paraId="4B0A2E26" w14:textId="77777777" w:rsidR="00277CBD" w:rsidRDefault="00000000">
      <w:r>
        <w:t>The Vigenère cipher uses a repeating keyword to choose different shifts for different positions. It is polyalphabetic because one plaintext letter can encrypt to different letters depending on the corresponding key letter.</w:t>
      </w:r>
    </w:p>
    <w:p w14:paraId="60994217" w14:textId="77777777" w:rsidR="00277CBD" w:rsidRDefault="00000000">
      <w:r>
        <w:t>Encryption formula: Cᵢ = (Pᵢ + Kᵢ) mod 26.</w:t>
      </w:r>
    </w:p>
    <w:tbl>
      <w:tblPr>
        <w:tblStyle w:val="TableGrid"/>
        <w:tblW w:w="0" w:type="auto"/>
        <w:tblLook w:val="04A0" w:firstRow="1" w:lastRow="0" w:firstColumn="1" w:lastColumn="0" w:noHBand="0" w:noVBand="1"/>
      </w:tblPr>
      <w:tblGrid>
        <w:gridCol w:w="10080"/>
      </w:tblGrid>
      <w:tr w:rsidR="00277CBD" w14:paraId="7B44E216" w14:textId="77777777">
        <w:tc>
          <w:tcPr>
            <w:tcW w:w="10080" w:type="dxa"/>
            <w:shd w:val="clear" w:color="auto" w:fill="EAF1F8"/>
          </w:tcPr>
          <w:p w14:paraId="728967D6" w14:textId="77777777" w:rsidR="00277CBD" w:rsidRDefault="00000000">
            <w:pPr>
              <w:jc w:val="center"/>
            </w:pPr>
            <w:r>
              <w:rPr>
                <w:b/>
                <w:color w:val="17365D"/>
              </w:rPr>
              <w:t>VIGENÈRE CIPHER EXAMPLE</w:t>
            </w:r>
          </w:p>
          <w:p w14:paraId="1C6163C5" w14:textId="77777777" w:rsidR="00277CBD" w:rsidRDefault="00000000">
            <w:pPr>
              <w:spacing w:after="40"/>
              <w:jc w:val="center"/>
            </w:pPr>
            <w:r>
              <w:t>Plaintext: ATTACKATDAWN</w:t>
            </w:r>
          </w:p>
          <w:p w14:paraId="5F3D4D1D" w14:textId="77777777" w:rsidR="00277CBD" w:rsidRDefault="00000000">
            <w:pPr>
              <w:spacing w:after="40"/>
              <w:jc w:val="center"/>
            </w:pPr>
            <w:r>
              <w:t>Key: LEMONLEMONLE</w:t>
            </w:r>
          </w:p>
          <w:p w14:paraId="4DC4357D" w14:textId="77777777" w:rsidR="00277CBD" w:rsidRDefault="00000000">
            <w:pPr>
              <w:spacing w:after="40"/>
              <w:jc w:val="center"/>
            </w:pPr>
            <w:r>
              <w:t>Ciphertext: LXFOPVEFRNHR</w:t>
            </w:r>
          </w:p>
        </w:tc>
      </w:tr>
    </w:tbl>
    <w:p w14:paraId="1CA2527E" w14:textId="77777777" w:rsidR="00277CBD" w:rsidRDefault="00277CBD"/>
    <w:p w14:paraId="1A435FDA" w14:textId="77777777" w:rsidR="00277CBD" w:rsidRDefault="00000000">
      <w:r>
        <w:t>A repeating key makes it stronger than a simple Caesar shift against basic frequency analysis, but repeated patterns can reveal information about the key.</w:t>
      </w:r>
    </w:p>
    <w:p w14:paraId="25C0EAE4" w14:textId="77777777" w:rsidR="00277CBD" w:rsidRDefault="00000000">
      <w:pPr>
        <w:pStyle w:val="Heading2"/>
      </w:pPr>
      <w:r>
        <w:t>2.5 Hill cipher</w:t>
      </w:r>
    </w:p>
    <w:p w14:paraId="74FFE53F" w14:textId="77777777" w:rsidR="00277CBD" w:rsidRDefault="00000000">
      <w:r>
        <w:t>The Hill cipher encrypts blocks of letters using matrix multiplication modulo 26. The key matrix must be invertible modulo 26 for decryption to work.</w:t>
      </w:r>
    </w:p>
    <w:p w14:paraId="180A997A" w14:textId="77777777" w:rsidR="00277CBD" w:rsidRDefault="00000000">
      <w:r>
        <w:t>Formula: C = KP mod 26.</w:t>
      </w:r>
    </w:p>
    <w:p w14:paraId="69AE8CE6" w14:textId="77777777" w:rsidR="00277CBD" w:rsidRDefault="00000000">
      <w:r>
        <w:t>Example: K = [[3, 3], [2, 5]] and plaintext HI → P = [7, 8]ᵀ.</w:t>
      </w:r>
    </w:p>
    <w:p w14:paraId="68603A81" w14:textId="77777777" w:rsidR="00277CBD" w:rsidRDefault="00000000">
      <w:r>
        <w:lastRenderedPageBreak/>
        <w:t>KP = [45, 54]ᵀ; reducing modulo 26 gives [19, 2]ᵀ, which corresponds to TC. Therefore, HI encrypts to TC. The determinant of K is 9, which is coprime to 26, so this key matrix is invertible modulo 26.</w:t>
      </w:r>
    </w:p>
    <w:p w14:paraId="4EB156BB" w14:textId="77777777" w:rsidR="00277CBD" w:rsidRDefault="00000000">
      <w:pPr>
        <w:pStyle w:val="Heading2"/>
      </w:pPr>
      <w:r>
        <w:t>2.6 Concept map</w:t>
      </w:r>
    </w:p>
    <w:tbl>
      <w:tblPr>
        <w:tblStyle w:val="TableGrid"/>
        <w:tblW w:w="0" w:type="auto"/>
        <w:jc w:val="center"/>
        <w:tblLook w:val="04A0" w:firstRow="1" w:lastRow="0" w:firstColumn="1" w:lastColumn="0" w:noHBand="0" w:noVBand="1"/>
      </w:tblPr>
      <w:tblGrid>
        <w:gridCol w:w="1728"/>
        <w:gridCol w:w="3312"/>
        <w:gridCol w:w="4752"/>
      </w:tblGrid>
      <w:tr w:rsidR="00277CBD" w14:paraId="1D49E44A" w14:textId="77777777">
        <w:trPr>
          <w:jc w:val="center"/>
        </w:trPr>
        <w:tc>
          <w:tcPr>
            <w:tcW w:w="1728" w:type="dxa"/>
            <w:shd w:val="clear" w:color="auto" w:fill="17365D"/>
            <w:vAlign w:val="center"/>
          </w:tcPr>
          <w:p w14:paraId="0459250B" w14:textId="77777777" w:rsidR="00277CBD" w:rsidRDefault="00000000">
            <w:pPr>
              <w:spacing w:after="20"/>
            </w:pPr>
            <w:r>
              <w:rPr>
                <w:rFonts w:ascii="Arial" w:hAnsi="Arial"/>
                <w:b/>
                <w:color w:val="FFFFFF"/>
                <w:sz w:val="16"/>
              </w:rPr>
              <w:t>Cipher</w:t>
            </w:r>
          </w:p>
        </w:tc>
        <w:tc>
          <w:tcPr>
            <w:tcW w:w="3312" w:type="dxa"/>
            <w:shd w:val="clear" w:color="auto" w:fill="17365D"/>
            <w:vAlign w:val="center"/>
          </w:tcPr>
          <w:p w14:paraId="6AEEDA0E" w14:textId="77777777" w:rsidR="00277CBD" w:rsidRDefault="00000000">
            <w:pPr>
              <w:spacing w:after="20"/>
            </w:pPr>
            <w:r>
              <w:rPr>
                <w:rFonts w:ascii="Arial" w:hAnsi="Arial"/>
                <w:b/>
                <w:color w:val="FFFFFF"/>
                <w:sz w:val="16"/>
              </w:rPr>
              <w:t>Key / operation</w:t>
            </w:r>
          </w:p>
        </w:tc>
        <w:tc>
          <w:tcPr>
            <w:tcW w:w="4752" w:type="dxa"/>
            <w:shd w:val="clear" w:color="auto" w:fill="17365D"/>
            <w:vAlign w:val="center"/>
          </w:tcPr>
          <w:p w14:paraId="68303ABA" w14:textId="77777777" w:rsidR="00277CBD" w:rsidRDefault="00000000">
            <w:pPr>
              <w:spacing w:after="20"/>
            </w:pPr>
            <w:r>
              <w:rPr>
                <w:rFonts w:ascii="Arial" w:hAnsi="Arial"/>
                <w:b/>
                <w:color w:val="FFFFFF"/>
                <w:sz w:val="16"/>
              </w:rPr>
              <w:t>Strength and limitation</w:t>
            </w:r>
          </w:p>
        </w:tc>
      </w:tr>
      <w:tr w:rsidR="00277CBD" w14:paraId="4CA1ECED" w14:textId="77777777">
        <w:trPr>
          <w:jc w:val="center"/>
        </w:trPr>
        <w:tc>
          <w:tcPr>
            <w:tcW w:w="1728" w:type="dxa"/>
            <w:vAlign w:val="center"/>
          </w:tcPr>
          <w:p w14:paraId="36C7A1E2" w14:textId="77777777" w:rsidR="00277CBD" w:rsidRDefault="00000000">
            <w:pPr>
              <w:spacing w:after="20"/>
            </w:pPr>
            <w:r>
              <w:rPr>
                <w:rFonts w:ascii="Arial" w:hAnsi="Arial"/>
                <w:sz w:val="16"/>
              </w:rPr>
              <w:t>Caesar</w:t>
            </w:r>
          </w:p>
        </w:tc>
        <w:tc>
          <w:tcPr>
            <w:tcW w:w="3312" w:type="dxa"/>
            <w:vAlign w:val="center"/>
          </w:tcPr>
          <w:p w14:paraId="239A1B04" w14:textId="77777777" w:rsidR="00277CBD" w:rsidRDefault="00000000">
            <w:pPr>
              <w:spacing w:after="20"/>
            </w:pPr>
            <w:r>
              <w:rPr>
                <w:rFonts w:ascii="Arial" w:hAnsi="Arial"/>
                <w:sz w:val="16"/>
              </w:rPr>
              <w:t>One fixed shift</w:t>
            </w:r>
          </w:p>
        </w:tc>
        <w:tc>
          <w:tcPr>
            <w:tcW w:w="4752" w:type="dxa"/>
            <w:vAlign w:val="center"/>
          </w:tcPr>
          <w:p w14:paraId="6A0B3FF8" w14:textId="77777777" w:rsidR="00277CBD" w:rsidRDefault="00000000">
            <w:pPr>
              <w:spacing w:after="20"/>
            </w:pPr>
            <w:r>
              <w:rPr>
                <w:rFonts w:ascii="Arial" w:hAnsi="Arial"/>
                <w:sz w:val="16"/>
              </w:rPr>
              <w:t>Very simple; vulnerable to brute force.</w:t>
            </w:r>
          </w:p>
        </w:tc>
      </w:tr>
      <w:tr w:rsidR="00277CBD" w14:paraId="24122E49" w14:textId="77777777">
        <w:trPr>
          <w:jc w:val="center"/>
        </w:trPr>
        <w:tc>
          <w:tcPr>
            <w:tcW w:w="1728" w:type="dxa"/>
            <w:shd w:val="clear" w:color="auto" w:fill="F1F5F9"/>
            <w:vAlign w:val="center"/>
          </w:tcPr>
          <w:p w14:paraId="7B0B2626" w14:textId="77777777" w:rsidR="00277CBD" w:rsidRDefault="00000000">
            <w:pPr>
              <w:spacing w:after="20"/>
            </w:pPr>
            <w:r>
              <w:rPr>
                <w:rFonts w:ascii="Arial" w:hAnsi="Arial"/>
                <w:sz w:val="16"/>
              </w:rPr>
              <w:t>Monoalphabetic</w:t>
            </w:r>
          </w:p>
        </w:tc>
        <w:tc>
          <w:tcPr>
            <w:tcW w:w="3312" w:type="dxa"/>
            <w:shd w:val="clear" w:color="auto" w:fill="F1F5F9"/>
            <w:vAlign w:val="center"/>
          </w:tcPr>
          <w:p w14:paraId="75C368C7" w14:textId="77777777" w:rsidR="00277CBD" w:rsidRDefault="00000000">
            <w:pPr>
              <w:spacing w:after="20"/>
            </w:pPr>
            <w:r>
              <w:rPr>
                <w:rFonts w:ascii="Arial" w:hAnsi="Arial"/>
                <w:sz w:val="16"/>
              </w:rPr>
              <w:t>Fixed substitution alphabet</w:t>
            </w:r>
          </w:p>
        </w:tc>
        <w:tc>
          <w:tcPr>
            <w:tcW w:w="4752" w:type="dxa"/>
            <w:shd w:val="clear" w:color="auto" w:fill="F1F5F9"/>
            <w:vAlign w:val="center"/>
          </w:tcPr>
          <w:p w14:paraId="64978690" w14:textId="77777777" w:rsidR="00277CBD" w:rsidRDefault="00000000">
            <w:pPr>
              <w:spacing w:after="20"/>
            </w:pPr>
            <w:r>
              <w:rPr>
                <w:rFonts w:ascii="Arial" w:hAnsi="Arial"/>
                <w:sz w:val="16"/>
              </w:rPr>
              <w:t>Large theoretical key space; vulnerable to frequency analysis.</w:t>
            </w:r>
          </w:p>
        </w:tc>
      </w:tr>
      <w:tr w:rsidR="00277CBD" w14:paraId="60DC92D5" w14:textId="77777777">
        <w:trPr>
          <w:jc w:val="center"/>
        </w:trPr>
        <w:tc>
          <w:tcPr>
            <w:tcW w:w="1728" w:type="dxa"/>
            <w:vAlign w:val="center"/>
          </w:tcPr>
          <w:p w14:paraId="6886768A" w14:textId="77777777" w:rsidR="00277CBD" w:rsidRDefault="00000000">
            <w:pPr>
              <w:spacing w:after="20"/>
            </w:pPr>
            <w:r>
              <w:rPr>
                <w:rFonts w:ascii="Arial" w:hAnsi="Arial"/>
                <w:sz w:val="16"/>
              </w:rPr>
              <w:t>Vigenère</w:t>
            </w:r>
          </w:p>
        </w:tc>
        <w:tc>
          <w:tcPr>
            <w:tcW w:w="3312" w:type="dxa"/>
            <w:vAlign w:val="center"/>
          </w:tcPr>
          <w:p w14:paraId="097E8C0A" w14:textId="77777777" w:rsidR="00277CBD" w:rsidRDefault="00000000">
            <w:pPr>
              <w:spacing w:after="20"/>
            </w:pPr>
            <w:r>
              <w:rPr>
                <w:rFonts w:ascii="Arial" w:hAnsi="Arial"/>
                <w:sz w:val="16"/>
              </w:rPr>
              <w:t>Repeating keyword and position-dependent shifts</w:t>
            </w:r>
          </w:p>
        </w:tc>
        <w:tc>
          <w:tcPr>
            <w:tcW w:w="4752" w:type="dxa"/>
            <w:vAlign w:val="center"/>
          </w:tcPr>
          <w:p w14:paraId="56CF116E" w14:textId="77777777" w:rsidR="00277CBD" w:rsidRDefault="00000000">
            <w:pPr>
              <w:spacing w:after="20"/>
            </w:pPr>
            <w:r>
              <w:rPr>
                <w:rFonts w:ascii="Arial" w:hAnsi="Arial"/>
                <w:sz w:val="16"/>
              </w:rPr>
              <w:t>Reduces simple single-letter frequency clues; repeated-key analysis is possible.</w:t>
            </w:r>
          </w:p>
        </w:tc>
      </w:tr>
      <w:tr w:rsidR="00277CBD" w14:paraId="6F8F9C2C" w14:textId="77777777">
        <w:trPr>
          <w:jc w:val="center"/>
        </w:trPr>
        <w:tc>
          <w:tcPr>
            <w:tcW w:w="1728" w:type="dxa"/>
            <w:shd w:val="clear" w:color="auto" w:fill="F1F5F9"/>
            <w:vAlign w:val="center"/>
          </w:tcPr>
          <w:p w14:paraId="08F9E879" w14:textId="77777777" w:rsidR="00277CBD" w:rsidRDefault="00000000">
            <w:pPr>
              <w:spacing w:after="20"/>
            </w:pPr>
            <w:r>
              <w:rPr>
                <w:rFonts w:ascii="Arial" w:hAnsi="Arial"/>
                <w:sz w:val="16"/>
              </w:rPr>
              <w:t>Hill</w:t>
            </w:r>
          </w:p>
        </w:tc>
        <w:tc>
          <w:tcPr>
            <w:tcW w:w="3312" w:type="dxa"/>
            <w:shd w:val="clear" w:color="auto" w:fill="F1F5F9"/>
            <w:vAlign w:val="center"/>
          </w:tcPr>
          <w:p w14:paraId="76581D6E" w14:textId="77777777" w:rsidR="00277CBD" w:rsidRDefault="00000000">
            <w:pPr>
              <w:spacing w:after="20"/>
            </w:pPr>
            <w:r>
              <w:rPr>
                <w:rFonts w:ascii="Arial" w:hAnsi="Arial"/>
                <w:sz w:val="16"/>
              </w:rPr>
              <w:t>Invertible matrix operating on blocks</w:t>
            </w:r>
          </w:p>
        </w:tc>
        <w:tc>
          <w:tcPr>
            <w:tcW w:w="4752" w:type="dxa"/>
            <w:shd w:val="clear" w:color="auto" w:fill="F1F5F9"/>
            <w:vAlign w:val="center"/>
          </w:tcPr>
          <w:p w14:paraId="2D6DFCFF" w14:textId="77777777" w:rsidR="00277CBD" w:rsidRDefault="00000000">
            <w:pPr>
              <w:spacing w:after="20"/>
            </w:pPr>
            <w:r>
              <w:rPr>
                <w:rFonts w:ascii="Arial" w:hAnsi="Arial"/>
                <w:sz w:val="16"/>
              </w:rPr>
              <w:t>Obscures single-letter frequencies; vulnerable to known-plaintext attacks due to its linear structure.</w:t>
            </w:r>
          </w:p>
        </w:tc>
      </w:tr>
    </w:tbl>
    <w:p w14:paraId="73674682" w14:textId="77777777" w:rsidR="00277CBD" w:rsidRDefault="00277CBD"/>
    <w:p w14:paraId="5C08D340" w14:textId="77777777" w:rsidR="00277CBD" w:rsidRDefault="00000000">
      <w:pPr>
        <w:pStyle w:val="Heading2"/>
      </w:pPr>
      <w:r>
        <w:t>2.7 Comparison and security analysis</w:t>
      </w:r>
    </w:p>
    <w:tbl>
      <w:tblPr>
        <w:tblStyle w:val="TableGrid"/>
        <w:tblW w:w="0" w:type="auto"/>
        <w:jc w:val="center"/>
        <w:tblLook w:val="04A0" w:firstRow="1" w:lastRow="0" w:firstColumn="1" w:lastColumn="0" w:noHBand="0" w:noVBand="1"/>
      </w:tblPr>
      <w:tblGrid>
        <w:gridCol w:w="1944"/>
        <w:gridCol w:w="1800"/>
        <w:gridCol w:w="2088"/>
        <w:gridCol w:w="1944"/>
        <w:gridCol w:w="2088"/>
      </w:tblGrid>
      <w:tr w:rsidR="00277CBD" w14:paraId="3B2FB311" w14:textId="77777777">
        <w:trPr>
          <w:jc w:val="center"/>
        </w:trPr>
        <w:tc>
          <w:tcPr>
            <w:tcW w:w="1944" w:type="dxa"/>
            <w:shd w:val="clear" w:color="auto" w:fill="17365D"/>
            <w:vAlign w:val="center"/>
          </w:tcPr>
          <w:p w14:paraId="599D18FD" w14:textId="77777777" w:rsidR="00277CBD" w:rsidRDefault="00000000">
            <w:pPr>
              <w:spacing w:after="20"/>
            </w:pPr>
            <w:r>
              <w:rPr>
                <w:rFonts w:ascii="Arial" w:hAnsi="Arial"/>
                <w:b/>
                <w:color w:val="FFFFFF"/>
                <w:sz w:val="15"/>
              </w:rPr>
              <w:t>Criterion</w:t>
            </w:r>
          </w:p>
        </w:tc>
        <w:tc>
          <w:tcPr>
            <w:tcW w:w="1800" w:type="dxa"/>
            <w:shd w:val="clear" w:color="auto" w:fill="17365D"/>
            <w:vAlign w:val="center"/>
          </w:tcPr>
          <w:p w14:paraId="7AD47A79" w14:textId="77777777" w:rsidR="00277CBD" w:rsidRDefault="00000000">
            <w:pPr>
              <w:spacing w:after="20"/>
            </w:pPr>
            <w:r>
              <w:rPr>
                <w:rFonts w:ascii="Arial" w:hAnsi="Arial"/>
                <w:b/>
                <w:color w:val="FFFFFF"/>
                <w:sz w:val="15"/>
              </w:rPr>
              <w:t>Caesar</w:t>
            </w:r>
          </w:p>
        </w:tc>
        <w:tc>
          <w:tcPr>
            <w:tcW w:w="2088" w:type="dxa"/>
            <w:shd w:val="clear" w:color="auto" w:fill="17365D"/>
            <w:vAlign w:val="center"/>
          </w:tcPr>
          <w:p w14:paraId="446B689F" w14:textId="77777777" w:rsidR="00277CBD" w:rsidRDefault="00000000">
            <w:pPr>
              <w:spacing w:after="20"/>
            </w:pPr>
            <w:r>
              <w:rPr>
                <w:rFonts w:ascii="Arial" w:hAnsi="Arial"/>
                <w:b/>
                <w:color w:val="FFFFFF"/>
                <w:sz w:val="15"/>
              </w:rPr>
              <w:t>Monoalphabetic</w:t>
            </w:r>
          </w:p>
        </w:tc>
        <w:tc>
          <w:tcPr>
            <w:tcW w:w="1944" w:type="dxa"/>
            <w:shd w:val="clear" w:color="auto" w:fill="17365D"/>
            <w:vAlign w:val="center"/>
          </w:tcPr>
          <w:p w14:paraId="67996E8E" w14:textId="77777777" w:rsidR="00277CBD" w:rsidRDefault="00000000">
            <w:pPr>
              <w:spacing w:after="20"/>
            </w:pPr>
            <w:r>
              <w:rPr>
                <w:rFonts w:ascii="Arial" w:hAnsi="Arial"/>
                <w:b/>
                <w:color w:val="FFFFFF"/>
                <w:sz w:val="15"/>
              </w:rPr>
              <w:t>Vigenère</w:t>
            </w:r>
          </w:p>
        </w:tc>
        <w:tc>
          <w:tcPr>
            <w:tcW w:w="2088" w:type="dxa"/>
            <w:shd w:val="clear" w:color="auto" w:fill="17365D"/>
            <w:vAlign w:val="center"/>
          </w:tcPr>
          <w:p w14:paraId="043332C7" w14:textId="77777777" w:rsidR="00277CBD" w:rsidRDefault="00000000">
            <w:pPr>
              <w:spacing w:after="20"/>
            </w:pPr>
            <w:r>
              <w:rPr>
                <w:rFonts w:ascii="Arial" w:hAnsi="Arial"/>
                <w:b/>
                <w:color w:val="FFFFFF"/>
                <w:sz w:val="15"/>
              </w:rPr>
              <w:t>Hill</w:t>
            </w:r>
          </w:p>
        </w:tc>
      </w:tr>
      <w:tr w:rsidR="00277CBD" w14:paraId="27382927" w14:textId="77777777">
        <w:trPr>
          <w:jc w:val="center"/>
        </w:trPr>
        <w:tc>
          <w:tcPr>
            <w:tcW w:w="1944" w:type="dxa"/>
            <w:vAlign w:val="center"/>
          </w:tcPr>
          <w:p w14:paraId="2FF5648D" w14:textId="77777777" w:rsidR="00277CBD" w:rsidRDefault="00000000">
            <w:pPr>
              <w:spacing w:after="20"/>
            </w:pPr>
            <w:r>
              <w:rPr>
                <w:rFonts w:ascii="Arial" w:hAnsi="Arial"/>
                <w:sz w:val="15"/>
              </w:rPr>
              <w:t>Key</w:t>
            </w:r>
          </w:p>
        </w:tc>
        <w:tc>
          <w:tcPr>
            <w:tcW w:w="1800" w:type="dxa"/>
            <w:vAlign w:val="center"/>
          </w:tcPr>
          <w:p w14:paraId="741F32BC" w14:textId="77777777" w:rsidR="00277CBD" w:rsidRDefault="00000000">
            <w:pPr>
              <w:spacing w:after="20"/>
            </w:pPr>
            <w:r>
              <w:rPr>
                <w:rFonts w:ascii="Arial" w:hAnsi="Arial"/>
                <w:sz w:val="15"/>
              </w:rPr>
              <w:t>Shift number</w:t>
            </w:r>
          </w:p>
        </w:tc>
        <w:tc>
          <w:tcPr>
            <w:tcW w:w="2088" w:type="dxa"/>
            <w:vAlign w:val="center"/>
          </w:tcPr>
          <w:p w14:paraId="6BEA5B5E" w14:textId="77777777" w:rsidR="00277CBD" w:rsidRDefault="00000000">
            <w:pPr>
              <w:spacing w:after="20"/>
            </w:pPr>
            <w:r>
              <w:rPr>
                <w:rFonts w:ascii="Arial" w:hAnsi="Arial"/>
                <w:sz w:val="15"/>
              </w:rPr>
              <w:t>Substitution alphabet</w:t>
            </w:r>
          </w:p>
        </w:tc>
        <w:tc>
          <w:tcPr>
            <w:tcW w:w="1944" w:type="dxa"/>
            <w:vAlign w:val="center"/>
          </w:tcPr>
          <w:p w14:paraId="18C015C5" w14:textId="77777777" w:rsidR="00277CBD" w:rsidRDefault="00000000">
            <w:pPr>
              <w:spacing w:after="20"/>
            </w:pPr>
            <w:r>
              <w:rPr>
                <w:rFonts w:ascii="Arial" w:hAnsi="Arial"/>
                <w:sz w:val="15"/>
              </w:rPr>
              <w:t>Keyword</w:t>
            </w:r>
          </w:p>
        </w:tc>
        <w:tc>
          <w:tcPr>
            <w:tcW w:w="2088" w:type="dxa"/>
            <w:vAlign w:val="center"/>
          </w:tcPr>
          <w:p w14:paraId="1C0FDA58" w14:textId="77777777" w:rsidR="00277CBD" w:rsidRDefault="00000000">
            <w:pPr>
              <w:spacing w:after="20"/>
            </w:pPr>
            <w:r>
              <w:rPr>
                <w:rFonts w:ascii="Arial" w:hAnsi="Arial"/>
                <w:sz w:val="15"/>
              </w:rPr>
              <w:t>Invertible matrix</w:t>
            </w:r>
          </w:p>
        </w:tc>
      </w:tr>
      <w:tr w:rsidR="00277CBD" w14:paraId="00452901" w14:textId="77777777">
        <w:trPr>
          <w:jc w:val="center"/>
        </w:trPr>
        <w:tc>
          <w:tcPr>
            <w:tcW w:w="1944" w:type="dxa"/>
            <w:shd w:val="clear" w:color="auto" w:fill="F1F5F9"/>
            <w:vAlign w:val="center"/>
          </w:tcPr>
          <w:p w14:paraId="308F8613" w14:textId="77777777" w:rsidR="00277CBD" w:rsidRDefault="00000000">
            <w:pPr>
              <w:spacing w:after="20"/>
            </w:pPr>
            <w:r>
              <w:rPr>
                <w:rFonts w:ascii="Arial" w:hAnsi="Arial"/>
                <w:sz w:val="15"/>
              </w:rPr>
              <w:t>Complexity</w:t>
            </w:r>
          </w:p>
        </w:tc>
        <w:tc>
          <w:tcPr>
            <w:tcW w:w="1800" w:type="dxa"/>
            <w:shd w:val="clear" w:color="auto" w:fill="F1F5F9"/>
            <w:vAlign w:val="center"/>
          </w:tcPr>
          <w:p w14:paraId="0D1756A1" w14:textId="77777777" w:rsidR="00277CBD" w:rsidRDefault="00000000">
            <w:pPr>
              <w:spacing w:after="20"/>
            </w:pPr>
            <w:r>
              <w:rPr>
                <w:rFonts w:ascii="Arial" w:hAnsi="Arial"/>
                <w:sz w:val="15"/>
              </w:rPr>
              <w:t>Very low</w:t>
            </w:r>
          </w:p>
        </w:tc>
        <w:tc>
          <w:tcPr>
            <w:tcW w:w="2088" w:type="dxa"/>
            <w:shd w:val="clear" w:color="auto" w:fill="F1F5F9"/>
            <w:vAlign w:val="center"/>
          </w:tcPr>
          <w:p w14:paraId="53631C27" w14:textId="77777777" w:rsidR="00277CBD" w:rsidRDefault="00000000">
            <w:pPr>
              <w:spacing w:after="20"/>
            </w:pPr>
            <w:r>
              <w:rPr>
                <w:rFonts w:ascii="Arial" w:hAnsi="Arial"/>
                <w:sz w:val="15"/>
              </w:rPr>
              <w:t>Low</w:t>
            </w:r>
          </w:p>
        </w:tc>
        <w:tc>
          <w:tcPr>
            <w:tcW w:w="1944" w:type="dxa"/>
            <w:shd w:val="clear" w:color="auto" w:fill="F1F5F9"/>
            <w:vAlign w:val="center"/>
          </w:tcPr>
          <w:p w14:paraId="1C3BF0D1" w14:textId="77777777" w:rsidR="00277CBD" w:rsidRDefault="00000000">
            <w:pPr>
              <w:spacing w:after="20"/>
            </w:pPr>
            <w:r>
              <w:rPr>
                <w:rFonts w:ascii="Arial" w:hAnsi="Arial"/>
                <w:sz w:val="15"/>
              </w:rPr>
              <w:t>Moderate</w:t>
            </w:r>
          </w:p>
        </w:tc>
        <w:tc>
          <w:tcPr>
            <w:tcW w:w="2088" w:type="dxa"/>
            <w:shd w:val="clear" w:color="auto" w:fill="F1F5F9"/>
            <w:vAlign w:val="center"/>
          </w:tcPr>
          <w:p w14:paraId="429243F0" w14:textId="77777777" w:rsidR="00277CBD" w:rsidRDefault="00000000">
            <w:pPr>
              <w:spacing w:after="20"/>
            </w:pPr>
            <w:r>
              <w:rPr>
                <w:rFonts w:ascii="Arial" w:hAnsi="Arial"/>
                <w:sz w:val="15"/>
              </w:rPr>
              <w:t>Moderate</w:t>
            </w:r>
          </w:p>
        </w:tc>
      </w:tr>
      <w:tr w:rsidR="00277CBD" w14:paraId="7C0689DD" w14:textId="77777777">
        <w:trPr>
          <w:jc w:val="center"/>
        </w:trPr>
        <w:tc>
          <w:tcPr>
            <w:tcW w:w="1944" w:type="dxa"/>
            <w:vAlign w:val="center"/>
          </w:tcPr>
          <w:p w14:paraId="7842C488" w14:textId="77777777" w:rsidR="00277CBD" w:rsidRDefault="00000000">
            <w:pPr>
              <w:spacing w:after="20"/>
            </w:pPr>
            <w:r>
              <w:rPr>
                <w:rFonts w:ascii="Arial" w:hAnsi="Arial"/>
                <w:sz w:val="15"/>
              </w:rPr>
              <w:t>Typical weakness</w:t>
            </w:r>
          </w:p>
        </w:tc>
        <w:tc>
          <w:tcPr>
            <w:tcW w:w="1800" w:type="dxa"/>
            <w:vAlign w:val="center"/>
          </w:tcPr>
          <w:p w14:paraId="347A85F3" w14:textId="77777777" w:rsidR="00277CBD" w:rsidRDefault="00000000">
            <w:pPr>
              <w:spacing w:after="20"/>
            </w:pPr>
            <w:r>
              <w:rPr>
                <w:rFonts w:ascii="Arial" w:hAnsi="Arial"/>
                <w:sz w:val="15"/>
              </w:rPr>
              <w:t>Brute force</w:t>
            </w:r>
          </w:p>
        </w:tc>
        <w:tc>
          <w:tcPr>
            <w:tcW w:w="2088" w:type="dxa"/>
            <w:vAlign w:val="center"/>
          </w:tcPr>
          <w:p w14:paraId="5B719CC2" w14:textId="77777777" w:rsidR="00277CBD" w:rsidRDefault="00000000">
            <w:pPr>
              <w:spacing w:after="20"/>
            </w:pPr>
            <w:r>
              <w:rPr>
                <w:rFonts w:ascii="Arial" w:hAnsi="Arial"/>
                <w:sz w:val="15"/>
              </w:rPr>
              <w:t>Frequency analysis</w:t>
            </w:r>
          </w:p>
        </w:tc>
        <w:tc>
          <w:tcPr>
            <w:tcW w:w="1944" w:type="dxa"/>
            <w:vAlign w:val="center"/>
          </w:tcPr>
          <w:p w14:paraId="3097A461" w14:textId="77777777" w:rsidR="00277CBD" w:rsidRDefault="00000000">
            <w:pPr>
              <w:spacing w:after="20"/>
            </w:pPr>
            <w:r>
              <w:rPr>
                <w:rFonts w:ascii="Arial" w:hAnsi="Arial"/>
                <w:sz w:val="15"/>
              </w:rPr>
              <w:t>Repeating-key patterns</w:t>
            </w:r>
          </w:p>
        </w:tc>
        <w:tc>
          <w:tcPr>
            <w:tcW w:w="2088" w:type="dxa"/>
            <w:vAlign w:val="center"/>
          </w:tcPr>
          <w:p w14:paraId="4489F847" w14:textId="77777777" w:rsidR="00277CBD" w:rsidRDefault="00000000">
            <w:pPr>
              <w:spacing w:after="20"/>
            </w:pPr>
            <w:r>
              <w:rPr>
                <w:rFonts w:ascii="Arial" w:hAnsi="Arial"/>
                <w:sz w:val="15"/>
              </w:rPr>
              <w:t>Known-plaintext / linear algebra</w:t>
            </w:r>
          </w:p>
        </w:tc>
      </w:tr>
      <w:tr w:rsidR="00277CBD" w14:paraId="021C4430" w14:textId="77777777">
        <w:trPr>
          <w:jc w:val="center"/>
        </w:trPr>
        <w:tc>
          <w:tcPr>
            <w:tcW w:w="1944" w:type="dxa"/>
            <w:shd w:val="clear" w:color="auto" w:fill="F1F5F9"/>
            <w:vAlign w:val="center"/>
          </w:tcPr>
          <w:p w14:paraId="21E3EDD4" w14:textId="77777777" w:rsidR="00277CBD" w:rsidRDefault="00000000">
            <w:pPr>
              <w:spacing w:after="20"/>
            </w:pPr>
            <w:r>
              <w:rPr>
                <w:rFonts w:ascii="Arial" w:hAnsi="Arial"/>
                <w:sz w:val="15"/>
              </w:rPr>
              <w:t>Relative classical security</w:t>
            </w:r>
          </w:p>
        </w:tc>
        <w:tc>
          <w:tcPr>
            <w:tcW w:w="1800" w:type="dxa"/>
            <w:shd w:val="clear" w:color="auto" w:fill="F1F5F9"/>
            <w:vAlign w:val="center"/>
          </w:tcPr>
          <w:p w14:paraId="4027B24F" w14:textId="77777777" w:rsidR="00277CBD" w:rsidRDefault="00000000">
            <w:pPr>
              <w:spacing w:after="20"/>
            </w:pPr>
            <w:r>
              <w:rPr>
                <w:rFonts w:ascii="Arial" w:hAnsi="Arial"/>
                <w:sz w:val="15"/>
              </w:rPr>
              <w:t>Very weak</w:t>
            </w:r>
          </w:p>
        </w:tc>
        <w:tc>
          <w:tcPr>
            <w:tcW w:w="2088" w:type="dxa"/>
            <w:shd w:val="clear" w:color="auto" w:fill="F1F5F9"/>
            <w:vAlign w:val="center"/>
          </w:tcPr>
          <w:p w14:paraId="4DF067CD" w14:textId="77777777" w:rsidR="00277CBD" w:rsidRDefault="00000000">
            <w:pPr>
              <w:spacing w:after="20"/>
            </w:pPr>
            <w:r>
              <w:rPr>
                <w:rFonts w:ascii="Arial" w:hAnsi="Arial"/>
                <w:sz w:val="15"/>
              </w:rPr>
              <w:t>Weak</w:t>
            </w:r>
          </w:p>
        </w:tc>
        <w:tc>
          <w:tcPr>
            <w:tcW w:w="1944" w:type="dxa"/>
            <w:shd w:val="clear" w:color="auto" w:fill="F1F5F9"/>
            <w:vAlign w:val="center"/>
          </w:tcPr>
          <w:p w14:paraId="1ACAFAEB" w14:textId="77777777" w:rsidR="00277CBD" w:rsidRDefault="00000000">
            <w:pPr>
              <w:spacing w:after="20"/>
            </w:pPr>
            <w:r>
              <w:rPr>
                <w:rFonts w:ascii="Arial" w:hAnsi="Arial"/>
                <w:sz w:val="15"/>
              </w:rPr>
              <w:t>Often stronger than simple substitution</w:t>
            </w:r>
          </w:p>
        </w:tc>
        <w:tc>
          <w:tcPr>
            <w:tcW w:w="2088" w:type="dxa"/>
            <w:shd w:val="clear" w:color="auto" w:fill="F1F5F9"/>
            <w:vAlign w:val="center"/>
          </w:tcPr>
          <w:p w14:paraId="7808BBDF" w14:textId="77777777" w:rsidR="00277CBD" w:rsidRDefault="00000000">
            <w:pPr>
              <w:spacing w:after="20"/>
            </w:pPr>
            <w:r>
              <w:rPr>
                <w:rFonts w:ascii="Arial" w:hAnsi="Arial"/>
                <w:sz w:val="15"/>
              </w:rPr>
              <w:t>Hides simple letter frequencies but has structural weaknesses</w:t>
            </w:r>
          </w:p>
        </w:tc>
      </w:tr>
    </w:tbl>
    <w:p w14:paraId="1170A7C1" w14:textId="77777777" w:rsidR="00277CBD" w:rsidRDefault="00277CBD"/>
    <w:p w14:paraId="29E04114" w14:textId="77777777" w:rsidR="00277CBD" w:rsidRDefault="00000000">
      <w:r>
        <w:t>Conclusion: These ciphers illustrate increasing complexity in key design and encryption. There is no universal winner without specifying the key and attack model. All four are classical techniques and should not be used to protect modern sensitive information; modern authenticated encryption is preferable.</w:t>
      </w:r>
    </w:p>
    <w:p w14:paraId="1B2D5BF5" w14:textId="77777777" w:rsidR="00277CBD" w:rsidRDefault="00000000">
      <w:r>
        <w:br w:type="page"/>
      </w:r>
    </w:p>
    <w:p w14:paraId="362D889E" w14:textId="77777777" w:rsidR="00277CBD" w:rsidRDefault="00000000">
      <w:pPr>
        <w:pStyle w:val="Heading1"/>
      </w:pPr>
      <w:r>
        <w:lastRenderedPageBreak/>
        <w:t>QUESTION 3: CLASSICAL ENCRYPTION — SUBSTITUTION AND TRANSPOSITION</w:t>
      </w:r>
    </w:p>
    <w:p w14:paraId="0BDEDB3C" w14:textId="77777777" w:rsidR="00277CBD" w:rsidRDefault="00000000">
      <w:pPr>
        <w:pStyle w:val="Heading2"/>
      </w:pPr>
      <w:r>
        <w:t>3.1 Introduction</w:t>
      </w:r>
    </w:p>
    <w:p w14:paraId="7F8D4B5C" w14:textId="77777777" w:rsidR="00277CBD" w:rsidRDefault="00000000">
      <w:r>
        <w:t>Classical encryption transforms readable plaintext into ciphertext using a rule or key. Substitution changes the identity of characters, while transposition rearranges their positions.</w:t>
      </w:r>
    </w:p>
    <w:p w14:paraId="6A90FBF6" w14:textId="77777777" w:rsidR="00277CBD" w:rsidRDefault="00000000">
      <w:pPr>
        <w:pStyle w:val="Heading2"/>
      </w:pPr>
      <w:r>
        <w:t>3.2 Substitution techniques</w:t>
      </w:r>
    </w:p>
    <w:p w14:paraId="571EE9CD" w14:textId="77777777" w:rsidR="00277CBD" w:rsidRDefault="00000000">
      <w:r>
        <w:t>Substitution replaces each plaintext letter or group of letters with another letter or symbol. The positions of characters are generally preserved in simple substitution, while block substitution methods such as Hill transform groups of letters.</w:t>
      </w:r>
    </w:p>
    <w:p w14:paraId="57FC4AB8" w14:textId="77777777" w:rsidR="00277CBD" w:rsidRDefault="00000000">
      <w:pPr>
        <w:pStyle w:val="ListBullet"/>
      </w:pPr>
      <w:r>
        <w:t>Examples: Caesar, monoalphabetic, Vigenère and Hill ciphers.</w:t>
      </w:r>
    </w:p>
    <w:p w14:paraId="04CB483E" w14:textId="77777777" w:rsidR="00277CBD" w:rsidRDefault="00000000">
      <w:pPr>
        <w:pStyle w:val="ListBullet"/>
      </w:pPr>
      <w:r>
        <w:t>A simple example is HELLO → KHOOR using a Caesar shift of 3.</w:t>
      </w:r>
    </w:p>
    <w:p w14:paraId="059F2C5F" w14:textId="77777777" w:rsidR="00277CBD" w:rsidRDefault="00000000">
      <w:pPr>
        <w:pStyle w:val="Heading2"/>
      </w:pPr>
      <w:r>
        <w:t>3.3 Transposition techniques</w:t>
      </w:r>
    </w:p>
    <w:p w14:paraId="4675F4AE" w14:textId="77777777" w:rsidR="00277CBD" w:rsidRDefault="00000000">
      <w:r>
        <w:t>Transposition rearranges the positions of plaintext characters according to a key or pattern. The characters themselves remain unchanged.</w:t>
      </w:r>
    </w:p>
    <w:p w14:paraId="36388B95" w14:textId="77777777" w:rsidR="00277CBD" w:rsidRDefault="00000000">
      <w:pPr>
        <w:pStyle w:val="ListBullet"/>
      </w:pPr>
      <w:r>
        <w:t>Examples: Rail Fence cipher and columnar transposition cipher.</w:t>
      </w:r>
    </w:p>
    <w:tbl>
      <w:tblPr>
        <w:tblStyle w:val="TableGrid"/>
        <w:tblW w:w="0" w:type="auto"/>
        <w:tblLook w:val="04A0" w:firstRow="1" w:lastRow="0" w:firstColumn="1" w:lastColumn="0" w:noHBand="0" w:noVBand="1"/>
      </w:tblPr>
      <w:tblGrid>
        <w:gridCol w:w="10080"/>
      </w:tblGrid>
      <w:tr w:rsidR="00277CBD" w14:paraId="755EC715" w14:textId="77777777">
        <w:tc>
          <w:tcPr>
            <w:tcW w:w="10080" w:type="dxa"/>
            <w:shd w:val="clear" w:color="auto" w:fill="F1F5F9"/>
          </w:tcPr>
          <w:p w14:paraId="324F9AD6" w14:textId="77777777" w:rsidR="00277CBD" w:rsidRDefault="00000000">
            <w:pPr>
              <w:jc w:val="center"/>
            </w:pPr>
            <w:r>
              <w:rPr>
                <w:b/>
                <w:color w:val="17365D"/>
              </w:rPr>
              <w:t>RAIL FENCE EXAMPLE — TWO RAILS</w:t>
            </w:r>
          </w:p>
          <w:p w14:paraId="32F3D710" w14:textId="77777777" w:rsidR="00277CBD" w:rsidRDefault="00000000">
            <w:pPr>
              <w:spacing w:after="40"/>
              <w:jc w:val="center"/>
            </w:pPr>
            <w:r>
              <w:t>Plaintext: HELLOWORLD</w:t>
            </w:r>
          </w:p>
          <w:p w14:paraId="4F8E5A0D" w14:textId="77777777" w:rsidR="00277CBD" w:rsidRDefault="00000000">
            <w:pPr>
              <w:spacing w:after="40"/>
              <w:jc w:val="center"/>
            </w:pPr>
            <w:r>
              <w:t>Top rail:    H   L   O   O   L</w:t>
            </w:r>
          </w:p>
          <w:p w14:paraId="23218B60" w14:textId="77777777" w:rsidR="00277CBD" w:rsidRDefault="00000000">
            <w:pPr>
              <w:spacing w:after="40"/>
              <w:jc w:val="center"/>
            </w:pPr>
            <w:r>
              <w:t>Bottom rail: E   L   W   R   D</w:t>
            </w:r>
          </w:p>
          <w:p w14:paraId="58ECB5DE" w14:textId="77777777" w:rsidR="00277CBD" w:rsidRDefault="00000000">
            <w:pPr>
              <w:spacing w:after="40"/>
              <w:jc w:val="center"/>
            </w:pPr>
            <w:r>
              <w:t>Read top rail, then bottom rail</w:t>
            </w:r>
          </w:p>
          <w:p w14:paraId="0C09F73E" w14:textId="77777777" w:rsidR="00277CBD" w:rsidRDefault="00000000">
            <w:pPr>
              <w:spacing w:after="40"/>
              <w:jc w:val="center"/>
            </w:pPr>
            <w:r>
              <w:t>Ciphertext: HLOOLELWRD</w:t>
            </w:r>
          </w:p>
        </w:tc>
      </w:tr>
    </w:tbl>
    <w:p w14:paraId="50086E5C" w14:textId="77777777" w:rsidR="00277CBD" w:rsidRDefault="00277CBD"/>
    <w:p w14:paraId="6E7E9177" w14:textId="77777777" w:rsidR="00277CBD" w:rsidRDefault="00000000">
      <w:pPr>
        <w:pStyle w:val="Heading2"/>
      </w:pPr>
      <w:r>
        <w:t>3.4 Concept map</w:t>
      </w:r>
    </w:p>
    <w:tbl>
      <w:tblPr>
        <w:tblStyle w:val="TableGrid"/>
        <w:tblW w:w="0" w:type="auto"/>
        <w:jc w:val="center"/>
        <w:tblLook w:val="04A0" w:firstRow="1" w:lastRow="0" w:firstColumn="1" w:lastColumn="0" w:noHBand="0" w:noVBand="1"/>
      </w:tblPr>
      <w:tblGrid>
        <w:gridCol w:w="2160"/>
        <w:gridCol w:w="3744"/>
        <w:gridCol w:w="3744"/>
      </w:tblGrid>
      <w:tr w:rsidR="00277CBD" w14:paraId="026EB8CF" w14:textId="77777777">
        <w:trPr>
          <w:jc w:val="center"/>
        </w:trPr>
        <w:tc>
          <w:tcPr>
            <w:tcW w:w="2160" w:type="dxa"/>
            <w:shd w:val="clear" w:color="auto" w:fill="17365D"/>
            <w:vAlign w:val="center"/>
          </w:tcPr>
          <w:p w14:paraId="089F7E77" w14:textId="77777777" w:rsidR="00277CBD" w:rsidRDefault="00000000">
            <w:pPr>
              <w:spacing w:after="20"/>
            </w:pPr>
            <w:r>
              <w:rPr>
                <w:rFonts w:ascii="Arial" w:hAnsi="Arial"/>
                <w:b/>
                <w:color w:val="FFFFFF"/>
                <w:sz w:val="16"/>
              </w:rPr>
              <w:t>Feature</w:t>
            </w:r>
          </w:p>
        </w:tc>
        <w:tc>
          <w:tcPr>
            <w:tcW w:w="3744" w:type="dxa"/>
            <w:shd w:val="clear" w:color="auto" w:fill="17365D"/>
            <w:vAlign w:val="center"/>
          </w:tcPr>
          <w:p w14:paraId="69C354FF" w14:textId="77777777" w:rsidR="00277CBD" w:rsidRDefault="00000000">
            <w:pPr>
              <w:spacing w:after="20"/>
            </w:pPr>
            <w:r>
              <w:rPr>
                <w:rFonts w:ascii="Arial" w:hAnsi="Arial"/>
                <w:b/>
                <w:color w:val="FFFFFF"/>
                <w:sz w:val="16"/>
              </w:rPr>
              <w:t>Substitution</w:t>
            </w:r>
          </w:p>
        </w:tc>
        <w:tc>
          <w:tcPr>
            <w:tcW w:w="3744" w:type="dxa"/>
            <w:shd w:val="clear" w:color="auto" w:fill="17365D"/>
            <w:vAlign w:val="center"/>
          </w:tcPr>
          <w:p w14:paraId="05A0BC91" w14:textId="77777777" w:rsidR="00277CBD" w:rsidRDefault="00000000">
            <w:pPr>
              <w:spacing w:after="20"/>
            </w:pPr>
            <w:r>
              <w:rPr>
                <w:rFonts w:ascii="Arial" w:hAnsi="Arial"/>
                <w:b/>
                <w:color w:val="FFFFFF"/>
                <w:sz w:val="16"/>
              </w:rPr>
              <w:t>Transposition</w:t>
            </w:r>
          </w:p>
        </w:tc>
      </w:tr>
      <w:tr w:rsidR="00277CBD" w14:paraId="36234D32" w14:textId="77777777">
        <w:trPr>
          <w:jc w:val="center"/>
        </w:trPr>
        <w:tc>
          <w:tcPr>
            <w:tcW w:w="2160" w:type="dxa"/>
            <w:vAlign w:val="center"/>
          </w:tcPr>
          <w:p w14:paraId="6CB47E2A" w14:textId="77777777" w:rsidR="00277CBD" w:rsidRDefault="00000000">
            <w:pPr>
              <w:spacing w:after="20"/>
            </w:pPr>
            <w:r>
              <w:rPr>
                <w:rFonts w:ascii="Arial" w:hAnsi="Arial"/>
                <w:sz w:val="16"/>
              </w:rPr>
              <w:t>Main operation</w:t>
            </w:r>
          </w:p>
        </w:tc>
        <w:tc>
          <w:tcPr>
            <w:tcW w:w="3744" w:type="dxa"/>
            <w:vAlign w:val="center"/>
          </w:tcPr>
          <w:p w14:paraId="63590E77" w14:textId="77777777" w:rsidR="00277CBD" w:rsidRDefault="00000000">
            <w:pPr>
              <w:spacing w:after="20"/>
            </w:pPr>
            <w:r>
              <w:rPr>
                <w:rFonts w:ascii="Arial" w:hAnsi="Arial"/>
                <w:sz w:val="16"/>
              </w:rPr>
              <w:t>Replaces characters or blocks</w:t>
            </w:r>
          </w:p>
        </w:tc>
        <w:tc>
          <w:tcPr>
            <w:tcW w:w="3744" w:type="dxa"/>
            <w:vAlign w:val="center"/>
          </w:tcPr>
          <w:p w14:paraId="6A8CC9B6" w14:textId="77777777" w:rsidR="00277CBD" w:rsidRDefault="00000000">
            <w:pPr>
              <w:spacing w:after="20"/>
            </w:pPr>
            <w:r>
              <w:rPr>
                <w:rFonts w:ascii="Arial" w:hAnsi="Arial"/>
                <w:sz w:val="16"/>
              </w:rPr>
              <w:t>Rearranges character positions</w:t>
            </w:r>
          </w:p>
        </w:tc>
      </w:tr>
      <w:tr w:rsidR="00277CBD" w14:paraId="6F67E9DE" w14:textId="77777777">
        <w:trPr>
          <w:jc w:val="center"/>
        </w:trPr>
        <w:tc>
          <w:tcPr>
            <w:tcW w:w="2160" w:type="dxa"/>
            <w:shd w:val="clear" w:color="auto" w:fill="F1F5F9"/>
            <w:vAlign w:val="center"/>
          </w:tcPr>
          <w:p w14:paraId="0355373B" w14:textId="77777777" w:rsidR="00277CBD" w:rsidRDefault="00000000">
            <w:pPr>
              <w:spacing w:after="20"/>
            </w:pPr>
            <w:r>
              <w:rPr>
                <w:rFonts w:ascii="Arial" w:hAnsi="Arial"/>
                <w:sz w:val="16"/>
              </w:rPr>
              <w:t>Character identities</w:t>
            </w:r>
          </w:p>
        </w:tc>
        <w:tc>
          <w:tcPr>
            <w:tcW w:w="3744" w:type="dxa"/>
            <w:shd w:val="clear" w:color="auto" w:fill="F1F5F9"/>
            <w:vAlign w:val="center"/>
          </w:tcPr>
          <w:p w14:paraId="77349185" w14:textId="77777777" w:rsidR="00277CBD" w:rsidRDefault="00000000">
            <w:pPr>
              <w:spacing w:after="20"/>
            </w:pPr>
            <w:r>
              <w:rPr>
                <w:rFonts w:ascii="Arial" w:hAnsi="Arial"/>
                <w:sz w:val="16"/>
              </w:rPr>
              <w:t>Usually changed</w:t>
            </w:r>
          </w:p>
        </w:tc>
        <w:tc>
          <w:tcPr>
            <w:tcW w:w="3744" w:type="dxa"/>
            <w:shd w:val="clear" w:color="auto" w:fill="F1F5F9"/>
            <w:vAlign w:val="center"/>
          </w:tcPr>
          <w:p w14:paraId="36BF9946" w14:textId="77777777" w:rsidR="00277CBD" w:rsidRDefault="00000000">
            <w:pPr>
              <w:spacing w:after="20"/>
            </w:pPr>
            <w:r>
              <w:rPr>
                <w:rFonts w:ascii="Arial" w:hAnsi="Arial"/>
                <w:sz w:val="16"/>
              </w:rPr>
              <w:t>Preserved</w:t>
            </w:r>
          </w:p>
        </w:tc>
      </w:tr>
      <w:tr w:rsidR="00277CBD" w14:paraId="0FCDE978" w14:textId="77777777">
        <w:trPr>
          <w:jc w:val="center"/>
        </w:trPr>
        <w:tc>
          <w:tcPr>
            <w:tcW w:w="2160" w:type="dxa"/>
            <w:vAlign w:val="center"/>
          </w:tcPr>
          <w:p w14:paraId="0083E8E2" w14:textId="77777777" w:rsidR="00277CBD" w:rsidRDefault="00000000">
            <w:pPr>
              <w:spacing w:after="20"/>
            </w:pPr>
            <w:r>
              <w:rPr>
                <w:rFonts w:ascii="Arial" w:hAnsi="Arial"/>
                <w:sz w:val="16"/>
              </w:rPr>
              <w:t>Character order</w:t>
            </w:r>
          </w:p>
        </w:tc>
        <w:tc>
          <w:tcPr>
            <w:tcW w:w="3744" w:type="dxa"/>
            <w:vAlign w:val="center"/>
          </w:tcPr>
          <w:p w14:paraId="5F89C3B2" w14:textId="77777777" w:rsidR="00277CBD" w:rsidRDefault="00000000">
            <w:pPr>
              <w:spacing w:after="20"/>
            </w:pPr>
            <w:r>
              <w:rPr>
                <w:rFonts w:ascii="Arial" w:hAnsi="Arial"/>
                <w:sz w:val="16"/>
              </w:rPr>
              <w:t>Generally preserved in simple substitution</w:t>
            </w:r>
          </w:p>
        </w:tc>
        <w:tc>
          <w:tcPr>
            <w:tcW w:w="3744" w:type="dxa"/>
            <w:vAlign w:val="center"/>
          </w:tcPr>
          <w:p w14:paraId="43257A34" w14:textId="77777777" w:rsidR="00277CBD" w:rsidRDefault="00000000">
            <w:pPr>
              <w:spacing w:after="20"/>
            </w:pPr>
            <w:r>
              <w:rPr>
                <w:rFonts w:ascii="Arial" w:hAnsi="Arial"/>
                <w:sz w:val="16"/>
              </w:rPr>
              <w:t>Changed</w:t>
            </w:r>
          </w:p>
        </w:tc>
      </w:tr>
      <w:tr w:rsidR="00277CBD" w14:paraId="0D6B120F" w14:textId="77777777">
        <w:trPr>
          <w:jc w:val="center"/>
        </w:trPr>
        <w:tc>
          <w:tcPr>
            <w:tcW w:w="2160" w:type="dxa"/>
            <w:shd w:val="clear" w:color="auto" w:fill="F1F5F9"/>
            <w:vAlign w:val="center"/>
          </w:tcPr>
          <w:p w14:paraId="69826C7E" w14:textId="77777777" w:rsidR="00277CBD" w:rsidRDefault="00000000">
            <w:pPr>
              <w:spacing w:after="20"/>
            </w:pPr>
            <w:r>
              <w:rPr>
                <w:rFonts w:ascii="Arial" w:hAnsi="Arial"/>
                <w:sz w:val="16"/>
              </w:rPr>
              <w:t>Examples</w:t>
            </w:r>
          </w:p>
        </w:tc>
        <w:tc>
          <w:tcPr>
            <w:tcW w:w="3744" w:type="dxa"/>
            <w:shd w:val="clear" w:color="auto" w:fill="F1F5F9"/>
            <w:vAlign w:val="center"/>
          </w:tcPr>
          <w:p w14:paraId="4B891E0D" w14:textId="77777777" w:rsidR="00277CBD" w:rsidRDefault="00000000">
            <w:pPr>
              <w:spacing w:after="20"/>
            </w:pPr>
            <w:r>
              <w:rPr>
                <w:rFonts w:ascii="Arial" w:hAnsi="Arial"/>
                <w:sz w:val="16"/>
              </w:rPr>
              <w:t>Caesar, Vigenère, Hill</w:t>
            </w:r>
          </w:p>
        </w:tc>
        <w:tc>
          <w:tcPr>
            <w:tcW w:w="3744" w:type="dxa"/>
            <w:shd w:val="clear" w:color="auto" w:fill="F1F5F9"/>
            <w:vAlign w:val="center"/>
          </w:tcPr>
          <w:p w14:paraId="6652B15C" w14:textId="77777777" w:rsidR="00277CBD" w:rsidRDefault="00000000">
            <w:pPr>
              <w:spacing w:after="20"/>
            </w:pPr>
            <w:r>
              <w:rPr>
                <w:rFonts w:ascii="Arial" w:hAnsi="Arial"/>
                <w:sz w:val="16"/>
              </w:rPr>
              <w:t>Rail Fence, columnar transposition</w:t>
            </w:r>
          </w:p>
        </w:tc>
      </w:tr>
      <w:tr w:rsidR="00277CBD" w14:paraId="3A88D5D1" w14:textId="77777777">
        <w:trPr>
          <w:jc w:val="center"/>
        </w:trPr>
        <w:tc>
          <w:tcPr>
            <w:tcW w:w="2160" w:type="dxa"/>
            <w:vAlign w:val="center"/>
          </w:tcPr>
          <w:p w14:paraId="5FA071AF" w14:textId="77777777" w:rsidR="00277CBD" w:rsidRDefault="00000000">
            <w:pPr>
              <w:spacing w:after="20"/>
            </w:pPr>
            <w:r>
              <w:rPr>
                <w:rFonts w:ascii="Arial" w:hAnsi="Arial"/>
                <w:sz w:val="16"/>
              </w:rPr>
              <w:t>Statistical weakness</w:t>
            </w:r>
          </w:p>
        </w:tc>
        <w:tc>
          <w:tcPr>
            <w:tcW w:w="3744" w:type="dxa"/>
            <w:vAlign w:val="center"/>
          </w:tcPr>
          <w:p w14:paraId="2936352C" w14:textId="77777777" w:rsidR="00277CBD" w:rsidRDefault="00000000">
            <w:pPr>
              <w:spacing w:after="20"/>
            </w:pPr>
            <w:r>
              <w:rPr>
                <w:rFonts w:ascii="Arial" w:hAnsi="Arial"/>
                <w:sz w:val="16"/>
              </w:rPr>
              <w:t>Simple forms may preserve letter-frequency patterns</w:t>
            </w:r>
          </w:p>
        </w:tc>
        <w:tc>
          <w:tcPr>
            <w:tcW w:w="3744" w:type="dxa"/>
            <w:vAlign w:val="center"/>
          </w:tcPr>
          <w:p w14:paraId="1FA2905C" w14:textId="77777777" w:rsidR="00277CBD" w:rsidRDefault="00000000">
            <w:pPr>
              <w:spacing w:after="20"/>
            </w:pPr>
            <w:r>
              <w:rPr>
                <w:rFonts w:ascii="Arial" w:hAnsi="Arial"/>
                <w:sz w:val="16"/>
              </w:rPr>
              <w:t>Character frequencies remain unchanged</w:t>
            </w:r>
          </w:p>
        </w:tc>
      </w:tr>
      <w:tr w:rsidR="00277CBD" w14:paraId="28F83D75" w14:textId="77777777">
        <w:trPr>
          <w:jc w:val="center"/>
        </w:trPr>
        <w:tc>
          <w:tcPr>
            <w:tcW w:w="2160" w:type="dxa"/>
            <w:shd w:val="clear" w:color="auto" w:fill="F1F5F9"/>
            <w:vAlign w:val="center"/>
          </w:tcPr>
          <w:p w14:paraId="2E7F75D7" w14:textId="77777777" w:rsidR="00277CBD" w:rsidRDefault="00000000">
            <w:pPr>
              <w:spacing w:after="20"/>
            </w:pPr>
            <w:r>
              <w:rPr>
                <w:rFonts w:ascii="Arial" w:hAnsi="Arial"/>
                <w:sz w:val="16"/>
              </w:rPr>
              <w:t>Decryption</w:t>
            </w:r>
          </w:p>
        </w:tc>
        <w:tc>
          <w:tcPr>
            <w:tcW w:w="3744" w:type="dxa"/>
            <w:shd w:val="clear" w:color="auto" w:fill="F1F5F9"/>
            <w:vAlign w:val="center"/>
          </w:tcPr>
          <w:p w14:paraId="6AD87472" w14:textId="77777777" w:rsidR="00277CBD" w:rsidRDefault="00000000">
            <w:pPr>
              <w:spacing w:after="20"/>
            </w:pPr>
            <w:r>
              <w:rPr>
                <w:rFonts w:ascii="Arial" w:hAnsi="Arial"/>
                <w:sz w:val="16"/>
              </w:rPr>
              <w:t>Reverse the substitution</w:t>
            </w:r>
          </w:p>
        </w:tc>
        <w:tc>
          <w:tcPr>
            <w:tcW w:w="3744" w:type="dxa"/>
            <w:shd w:val="clear" w:color="auto" w:fill="F1F5F9"/>
            <w:vAlign w:val="center"/>
          </w:tcPr>
          <w:p w14:paraId="0CF8343A" w14:textId="77777777" w:rsidR="00277CBD" w:rsidRDefault="00000000">
            <w:pPr>
              <w:spacing w:after="20"/>
            </w:pPr>
            <w:r>
              <w:rPr>
                <w:rFonts w:ascii="Arial" w:hAnsi="Arial"/>
                <w:sz w:val="16"/>
              </w:rPr>
              <w:t>Reverse the permutation</w:t>
            </w:r>
          </w:p>
        </w:tc>
      </w:tr>
    </w:tbl>
    <w:p w14:paraId="565A87AC" w14:textId="77777777" w:rsidR="00277CBD" w:rsidRDefault="00277CBD"/>
    <w:p w14:paraId="6A13A6FA" w14:textId="77777777" w:rsidR="00277CBD" w:rsidRDefault="00000000">
      <w:pPr>
        <w:pStyle w:val="Heading2"/>
      </w:pPr>
      <w:r>
        <w:t>3.5 Similarities and differences</w:t>
      </w:r>
    </w:p>
    <w:p w14:paraId="0EF9A854" w14:textId="77777777" w:rsidR="00277CBD" w:rsidRDefault="00000000">
      <w:pPr>
        <w:pStyle w:val="ListBullet"/>
      </w:pPr>
      <w:r>
        <w:t>Both convert plaintext into ciphertext using a rule or key.</w:t>
      </w:r>
    </w:p>
    <w:p w14:paraId="1ABB5A63" w14:textId="77777777" w:rsidR="00277CBD" w:rsidRDefault="00000000">
      <w:pPr>
        <w:pStyle w:val="ListBullet"/>
      </w:pPr>
      <w:r>
        <w:t>Both can be reversed by an authorized recipient with the correct key.</w:t>
      </w:r>
    </w:p>
    <w:p w14:paraId="20874077" w14:textId="77777777" w:rsidR="00277CBD" w:rsidRDefault="00000000">
      <w:pPr>
        <w:pStyle w:val="ListBullet"/>
      </w:pPr>
      <w:r>
        <w:t>Substitution changes symbols, while transposition changes their positions.</w:t>
      </w:r>
    </w:p>
    <w:p w14:paraId="7FC0C70E" w14:textId="77777777" w:rsidR="00277CBD" w:rsidRDefault="00000000">
      <w:pPr>
        <w:pStyle w:val="ListBullet"/>
      </w:pPr>
      <w:r>
        <w:t>Both classical forms can be vulnerable to cryptanalysis when used alone.</w:t>
      </w:r>
    </w:p>
    <w:p w14:paraId="21A15C46" w14:textId="77777777" w:rsidR="00277CBD" w:rsidRDefault="00000000">
      <w:pPr>
        <w:pStyle w:val="ListBullet"/>
      </w:pPr>
      <w:r>
        <w:t>Combining substitution and transposition can make analysis more difficult than using a simple technique alone, but it does not automatically provide modern security.</w:t>
      </w:r>
    </w:p>
    <w:p w14:paraId="465DAA64" w14:textId="77777777" w:rsidR="00277CBD" w:rsidRDefault="00000000">
      <w:pPr>
        <w:pStyle w:val="Heading2"/>
      </w:pPr>
      <w:r>
        <w:t>3.6 Vulnerability analysis</w:t>
      </w:r>
    </w:p>
    <w:p w14:paraId="125EAAAD" w14:textId="77777777" w:rsidR="00277CBD" w:rsidRDefault="00000000">
      <w:r>
        <w:t>Neither category is universally more vulnerable; the result depends on the exact technique and key. Simple substitution ciphers can be attacked using letter-frequency analysis. Transposition ciphers preserve the original character frequencies, which also gives attackers useful statistical information.</w:t>
      </w:r>
    </w:p>
    <w:p w14:paraId="54C67B59" w14:textId="77777777" w:rsidR="00277CBD" w:rsidRDefault="00000000">
      <w:r>
        <w:lastRenderedPageBreak/>
        <w:t>Conclusion: Substitution and transposition are foundational classical encryption methods. Their main difference is whether they change character identities or character positions.</w:t>
      </w:r>
    </w:p>
    <w:p w14:paraId="5D76F0A1" w14:textId="77777777" w:rsidR="00277CBD" w:rsidRDefault="00000000">
      <w:r>
        <w:br w:type="page"/>
      </w:r>
    </w:p>
    <w:p w14:paraId="36FA2E86" w14:textId="77777777" w:rsidR="00277CBD" w:rsidRDefault="00000000">
      <w:pPr>
        <w:pStyle w:val="Heading1"/>
      </w:pPr>
      <w:r>
        <w:lastRenderedPageBreak/>
        <w:t>QUESTION 4: STEGANOGRAPHY — DATA HIDING, WATERMARKING AND SURVIVABILITY</w:t>
      </w:r>
    </w:p>
    <w:p w14:paraId="36D7A2F2" w14:textId="77777777" w:rsidR="00277CBD" w:rsidRDefault="00000000">
      <w:pPr>
        <w:pStyle w:val="Heading2"/>
      </w:pPr>
      <w:r>
        <w:t>4.1 Introduction</w:t>
      </w:r>
    </w:p>
    <w:p w14:paraId="0992F6B5" w14:textId="77777777" w:rsidR="00277CBD" w:rsidRDefault="00000000">
      <w:r>
        <w:t>Steganography hides the existence of information by embedding it in an ordinary-looking cover medium such as an image, audio file, video or document. Encryption hides the meaning of a message; steganography aims to hide that a message is present.</w:t>
      </w:r>
    </w:p>
    <w:p w14:paraId="660F3A98" w14:textId="77777777" w:rsidR="00277CBD" w:rsidRDefault="00000000">
      <w:pPr>
        <w:pStyle w:val="Heading2"/>
      </w:pPr>
      <w:r>
        <w:t>4.2 Key concepts</w:t>
      </w:r>
    </w:p>
    <w:tbl>
      <w:tblPr>
        <w:tblStyle w:val="TableGrid"/>
        <w:tblW w:w="0" w:type="auto"/>
        <w:jc w:val="center"/>
        <w:tblLook w:val="04A0" w:firstRow="1" w:lastRow="0" w:firstColumn="1" w:lastColumn="0" w:noHBand="0" w:noVBand="1"/>
      </w:tblPr>
      <w:tblGrid>
        <w:gridCol w:w="1872"/>
        <w:gridCol w:w="4752"/>
        <w:gridCol w:w="3024"/>
      </w:tblGrid>
      <w:tr w:rsidR="00277CBD" w14:paraId="18F925BC" w14:textId="77777777">
        <w:trPr>
          <w:jc w:val="center"/>
        </w:trPr>
        <w:tc>
          <w:tcPr>
            <w:tcW w:w="1872" w:type="dxa"/>
            <w:shd w:val="clear" w:color="auto" w:fill="17365D"/>
            <w:vAlign w:val="center"/>
          </w:tcPr>
          <w:p w14:paraId="7147C5F0" w14:textId="77777777" w:rsidR="00277CBD" w:rsidRDefault="00000000">
            <w:pPr>
              <w:spacing w:after="20"/>
            </w:pPr>
            <w:r>
              <w:rPr>
                <w:rFonts w:ascii="Arial" w:hAnsi="Arial"/>
                <w:b/>
                <w:color w:val="FFFFFF"/>
                <w:sz w:val="16"/>
              </w:rPr>
              <w:t>Concept</w:t>
            </w:r>
          </w:p>
        </w:tc>
        <w:tc>
          <w:tcPr>
            <w:tcW w:w="4752" w:type="dxa"/>
            <w:shd w:val="clear" w:color="auto" w:fill="17365D"/>
            <w:vAlign w:val="center"/>
          </w:tcPr>
          <w:p w14:paraId="69817787" w14:textId="77777777" w:rsidR="00277CBD" w:rsidRDefault="00000000">
            <w:pPr>
              <w:spacing w:after="20"/>
            </w:pPr>
            <w:r>
              <w:rPr>
                <w:rFonts w:ascii="Arial" w:hAnsi="Arial"/>
                <w:b/>
                <w:color w:val="FFFFFF"/>
                <w:sz w:val="16"/>
              </w:rPr>
              <w:t>Purpose and method</w:t>
            </w:r>
          </w:p>
        </w:tc>
        <w:tc>
          <w:tcPr>
            <w:tcW w:w="3024" w:type="dxa"/>
            <w:shd w:val="clear" w:color="auto" w:fill="17365D"/>
            <w:vAlign w:val="center"/>
          </w:tcPr>
          <w:p w14:paraId="26D37340" w14:textId="77777777" w:rsidR="00277CBD" w:rsidRDefault="00000000">
            <w:pPr>
              <w:spacing w:after="20"/>
            </w:pPr>
            <w:r>
              <w:rPr>
                <w:rFonts w:ascii="Arial" w:hAnsi="Arial"/>
                <w:b/>
                <w:color w:val="FFFFFF"/>
                <w:sz w:val="16"/>
              </w:rPr>
              <w:t>Example</w:t>
            </w:r>
          </w:p>
        </w:tc>
      </w:tr>
      <w:tr w:rsidR="00277CBD" w14:paraId="27CE3D13" w14:textId="77777777">
        <w:trPr>
          <w:jc w:val="center"/>
        </w:trPr>
        <w:tc>
          <w:tcPr>
            <w:tcW w:w="1872" w:type="dxa"/>
            <w:vAlign w:val="center"/>
          </w:tcPr>
          <w:p w14:paraId="29295BB7" w14:textId="77777777" w:rsidR="00277CBD" w:rsidRDefault="00000000">
            <w:pPr>
              <w:spacing w:after="20"/>
            </w:pPr>
            <w:r>
              <w:rPr>
                <w:rFonts w:ascii="Arial" w:hAnsi="Arial"/>
                <w:sz w:val="16"/>
              </w:rPr>
              <w:t>Data hiding</w:t>
            </w:r>
          </w:p>
        </w:tc>
        <w:tc>
          <w:tcPr>
            <w:tcW w:w="4752" w:type="dxa"/>
            <w:vAlign w:val="center"/>
          </w:tcPr>
          <w:p w14:paraId="32B03AB9" w14:textId="77777777" w:rsidR="00277CBD" w:rsidRDefault="00000000">
            <w:pPr>
              <w:spacing w:after="20"/>
            </w:pPr>
            <w:r>
              <w:rPr>
                <w:rFonts w:ascii="Arial" w:hAnsi="Arial"/>
                <w:sz w:val="16"/>
              </w:rPr>
              <w:t>Embeds secret information in a cover medium to make its presence difficult to detect. Methods include LSB image insertion and embedding data in audio or video.</w:t>
            </w:r>
          </w:p>
        </w:tc>
        <w:tc>
          <w:tcPr>
            <w:tcW w:w="3024" w:type="dxa"/>
            <w:vAlign w:val="center"/>
          </w:tcPr>
          <w:p w14:paraId="2DC98A5F" w14:textId="77777777" w:rsidR="00277CBD" w:rsidRDefault="00000000">
            <w:pPr>
              <w:spacing w:after="20"/>
            </w:pPr>
            <w:r>
              <w:rPr>
                <w:rFonts w:ascii="Arial" w:hAnsi="Arial"/>
                <w:sz w:val="16"/>
              </w:rPr>
              <w:t>A sender embeds an encrypted text message inside an image.</w:t>
            </w:r>
          </w:p>
        </w:tc>
      </w:tr>
      <w:tr w:rsidR="00277CBD" w14:paraId="6231866B" w14:textId="77777777">
        <w:trPr>
          <w:jc w:val="center"/>
        </w:trPr>
        <w:tc>
          <w:tcPr>
            <w:tcW w:w="1872" w:type="dxa"/>
            <w:shd w:val="clear" w:color="auto" w:fill="F1F5F9"/>
            <w:vAlign w:val="center"/>
          </w:tcPr>
          <w:p w14:paraId="2E09BE39" w14:textId="77777777" w:rsidR="00277CBD" w:rsidRDefault="00000000">
            <w:pPr>
              <w:spacing w:after="20"/>
            </w:pPr>
            <w:r>
              <w:rPr>
                <w:rFonts w:ascii="Arial" w:hAnsi="Arial"/>
                <w:sz w:val="16"/>
              </w:rPr>
              <w:t>Digital watermarking</w:t>
            </w:r>
          </w:p>
        </w:tc>
        <w:tc>
          <w:tcPr>
            <w:tcW w:w="4752" w:type="dxa"/>
            <w:shd w:val="clear" w:color="auto" w:fill="F1F5F9"/>
            <w:vAlign w:val="center"/>
          </w:tcPr>
          <w:p w14:paraId="46D34CA6" w14:textId="77777777" w:rsidR="00277CBD" w:rsidRDefault="00000000">
            <w:pPr>
              <w:spacing w:after="20"/>
            </w:pPr>
            <w:r>
              <w:rPr>
                <w:rFonts w:ascii="Arial" w:hAnsi="Arial"/>
                <w:sz w:val="16"/>
              </w:rPr>
              <w:t>Embeds ownership or identifying information to help establish origin, support copyright protection or aid authentication.</w:t>
            </w:r>
          </w:p>
        </w:tc>
        <w:tc>
          <w:tcPr>
            <w:tcW w:w="3024" w:type="dxa"/>
            <w:shd w:val="clear" w:color="auto" w:fill="F1F5F9"/>
            <w:vAlign w:val="center"/>
          </w:tcPr>
          <w:p w14:paraId="33306222" w14:textId="77777777" w:rsidR="00277CBD" w:rsidRDefault="00000000">
            <w:pPr>
              <w:spacing w:after="20"/>
            </w:pPr>
            <w:r>
              <w:rPr>
                <w:rFonts w:ascii="Arial" w:hAnsi="Arial"/>
                <w:sz w:val="16"/>
              </w:rPr>
              <w:t>A photographer embeds an invisible watermark in an image.</w:t>
            </w:r>
          </w:p>
        </w:tc>
      </w:tr>
      <w:tr w:rsidR="00277CBD" w14:paraId="726EB249" w14:textId="77777777">
        <w:trPr>
          <w:jc w:val="center"/>
        </w:trPr>
        <w:tc>
          <w:tcPr>
            <w:tcW w:w="1872" w:type="dxa"/>
            <w:vAlign w:val="center"/>
          </w:tcPr>
          <w:p w14:paraId="20FEAF6F" w14:textId="77777777" w:rsidR="00277CBD" w:rsidRDefault="00000000">
            <w:pPr>
              <w:spacing w:after="20"/>
            </w:pPr>
            <w:r>
              <w:rPr>
                <w:rFonts w:ascii="Arial" w:hAnsi="Arial"/>
                <w:sz w:val="16"/>
              </w:rPr>
              <w:t>Survivability</w:t>
            </w:r>
          </w:p>
        </w:tc>
        <w:tc>
          <w:tcPr>
            <w:tcW w:w="4752" w:type="dxa"/>
            <w:vAlign w:val="center"/>
          </w:tcPr>
          <w:p w14:paraId="659CF2C3" w14:textId="77777777" w:rsidR="00277CBD" w:rsidRDefault="00000000">
            <w:pPr>
              <w:spacing w:after="20"/>
            </w:pPr>
            <w:r>
              <w:rPr>
                <w:rFonts w:ascii="Arial" w:hAnsi="Arial"/>
                <w:sz w:val="16"/>
              </w:rPr>
              <w:t>The ability of embedded information to remain detectable or recoverable after expected transformations or processing.</w:t>
            </w:r>
          </w:p>
        </w:tc>
        <w:tc>
          <w:tcPr>
            <w:tcW w:w="3024" w:type="dxa"/>
            <w:vAlign w:val="center"/>
          </w:tcPr>
          <w:p w14:paraId="511A20F2" w14:textId="77777777" w:rsidR="00277CBD" w:rsidRDefault="00000000">
            <w:pPr>
              <w:spacing w:after="20"/>
            </w:pPr>
            <w:r>
              <w:rPr>
                <w:rFonts w:ascii="Arial" w:hAnsi="Arial"/>
                <w:sz w:val="16"/>
              </w:rPr>
              <w:t>A robust watermark remains detectable after image resizing or compression.</w:t>
            </w:r>
          </w:p>
        </w:tc>
      </w:tr>
    </w:tbl>
    <w:p w14:paraId="1BBA9A93" w14:textId="77777777" w:rsidR="00277CBD" w:rsidRDefault="00277CBD"/>
    <w:p w14:paraId="60C8BD36" w14:textId="77777777" w:rsidR="00277CBD" w:rsidRDefault="00000000">
      <w:pPr>
        <w:pStyle w:val="Heading2"/>
      </w:pPr>
      <w:r>
        <w:t>4.3 Concept map</w:t>
      </w:r>
    </w:p>
    <w:tbl>
      <w:tblPr>
        <w:tblStyle w:val="TableGrid"/>
        <w:tblW w:w="0" w:type="auto"/>
        <w:jc w:val="center"/>
        <w:tblLook w:val="04A0" w:firstRow="1" w:lastRow="0" w:firstColumn="1" w:lastColumn="0" w:noHBand="0" w:noVBand="1"/>
      </w:tblPr>
      <w:tblGrid>
        <w:gridCol w:w="1944"/>
        <w:gridCol w:w="4752"/>
        <w:gridCol w:w="2952"/>
      </w:tblGrid>
      <w:tr w:rsidR="00277CBD" w14:paraId="2B4F5FD5" w14:textId="77777777">
        <w:trPr>
          <w:jc w:val="center"/>
        </w:trPr>
        <w:tc>
          <w:tcPr>
            <w:tcW w:w="1944" w:type="dxa"/>
            <w:shd w:val="clear" w:color="auto" w:fill="17365D"/>
            <w:vAlign w:val="center"/>
          </w:tcPr>
          <w:p w14:paraId="100FA938" w14:textId="77777777" w:rsidR="00277CBD" w:rsidRDefault="00000000">
            <w:pPr>
              <w:spacing w:after="20"/>
            </w:pPr>
            <w:r>
              <w:rPr>
                <w:rFonts w:ascii="Arial" w:hAnsi="Arial"/>
                <w:b/>
                <w:color w:val="FFFFFF"/>
                <w:sz w:val="16"/>
              </w:rPr>
              <w:t>Concept</w:t>
            </w:r>
          </w:p>
        </w:tc>
        <w:tc>
          <w:tcPr>
            <w:tcW w:w="4752" w:type="dxa"/>
            <w:shd w:val="clear" w:color="auto" w:fill="17365D"/>
            <w:vAlign w:val="center"/>
          </w:tcPr>
          <w:p w14:paraId="43DB92B3" w14:textId="77777777" w:rsidR="00277CBD" w:rsidRDefault="00000000">
            <w:pPr>
              <w:spacing w:after="20"/>
            </w:pPr>
            <w:r>
              <w:rPr>
                <w:rFonts w:ascii="Arial" w:hAnsi="Arial"/>
                <w:b/>
                <w:color w:val="FFFFFF"/>
                <w:sz w:val="16"/>
              </w:rPr>
              <w:t>Relationship</w:t>
            </w:r>
          </w:p>
        </w:tc>
        <w:tc>
          <w:tcPr>
            <w:tcW w:w="2952" w:type="dxa"/>
            <w:shd w:val="clear" w:color="auto" w:fill="17365D"/>
            <w:vAlign w:val="center"/>
          </w:tcPr>
          <w:p w14:paraId="5997B032" w14:textId="77777777" w:rsidR="00277CBD" w:rsidRDefault="00000000">
            <w:pPr>
              <w:spacing w:after="20"/>
            </w:pPr>
            <w:r>
              <w:rPr>
                <w:rFonts w:ascii="Arial" w:hAnsi="Arial"/>
                <w:b/>
                <w:color w:val="FFFFFF"/>
                <w:sz w:val="16"/>
              </w:rPr>
              <w:t>Goal</w:t>
            </w:r>
          </w:p>
        </w:tc>
      </w:tr>
      <w:tr w:rsidR="00277CBD" w14:paraId="367205DB" w14:textId="77777777">
        <w:trPr>
          <w:jc w:val="center"/>
        </w:trPr>
        <w:tc>
          <w:tcPr>
            <w:tcW w:w="1944" w:type="dxa"/>
            <w:vAlign w:val="center"/>
          </w:tcPr>
          <w:p w14:paraId="1F1C36E9" w14:textId="77777777" w:rsidR="00277CBD" w:rsidRDefault="00000000">
            <w:pPr>
              <w:spacing w:after="20"/>
            </w:pPr>
            <w:r>
              <w:rPr>
                <w:rFonts w:ascii="Arial" w:hAnsi="Arial"/>
                <w:sz w:val="16"/>
              </w:rPr>
              <w:t>Data hiding</w:t>
            </w:r>
          </w:p>
        </w:tc>
        <w:tc>
          <w:tcPr>
            <w:tcW w:w="4752" w:type="dxa"/>
            <w:vAlign w:val="center"/>
          </w:tcPr>
          <w:p w14:paraId="18735BE5" w14:textId="77777777" w:rsidR="00277CBD" w:rsidRDefault="00000000">
            <w:pPr>
              <w:spacing w:after="20"/>
            </w:pPr>
            <w:r>
              <w:rPr>
                <w:rFonts w:ascii="Arial" w:hAnsi="Arial"/>
                <w:sz w:val="16"/>
              </w:rPr>
              <w:t>Steganography conceals a message in cover media.</w:t>
            </w:r>
          </w:p>
        </w:tc>
        <w:tc>
          <w:tcPr>
            <w:tcW w:w="2952" w:type="dxa"/>
            <w:vAlign w:val="center"/>
          </w:tcPr>
          <w:p w14:paraId="1C990C1A" w14:textId="77777777" w:rsidR="00277CBD" w:rsidRDefault="00000000">
            <w:pPr>
              <w:spacing w:after="20"/>
            </w:pPr>
            <w:r>
              <w:rPr>
                <w:rFonts w:ascii="Arial" w:hAnsi="Arial"/>
                <w:sz w:val="16"/>
              </w:rPr>
              <w:t>Conceal the existence of information.</w:t>
            </w:r>
          </w:p>
        </w:tc>
      </w:tr>
      <w:tr w:rsidR="00277CBD" w14:paraId="7A6658C2" w14:textId="77777777">
        <w:trPr>
          <w:jc w:val="center"/>
        </w:trPr>
        <w:tc>
          <w:tcPr>
            <w:tcW w:w="1944" w:type="dxa"/>
            <w:shd w:val="clear" w:color="auto" w:fill="F1F5F9"/>
            <w:vAlign w:val="center"/>
          </w:tcPr>
          <w:p w14:paraId="4F57762E" w14:textId="77777777" w:rsidR="00277CBD" w:rsidRDefault="00000000">
            <w:pPr>
              <w:spacing w:after="20"/>
            </w:pPr>
            <w:r>
              <w:rPr>
                <w:rFonts w:ascii="Arial" w:hAnsi="Arial"/>
                <w:sz w:val="16"/>
              </w:rPr>
              <w:t>Watermarking</w:t>
            </w:r>
          </w:p>
        </w:tc>
        <w:tc>
          <w:tcPr>
            <w:tcW w:w="4752" w:type="dxa"/>
            <w:shd w:val="clear" w:color="auto" w:fill="F1F5F9"/>
            <w:vAlign w:val="center"/>
          </w:tcPr>
          <w:p w14:paraId="695D9175" w14:textId="77777777" w:rsidR="00277CBD" w:rsidRDefault="00000000">
            <w:pPr>
              <w:spacing w:after="20"/>
            </w:pPr>
            <w:r>
              <w:rPr>
                <w:rFonts w:ascii="Arial" w:hAnsi="Arial"/>
                <w:sz w:val="16"/>
              </w:rPr>
              <w:t>A specialized form of data embedding that adds identification or ownership information.</w:t>
            </w:r>
          </w:p>
        </w:tc>
        <w:tc>
          <w:tcPr>
            <w:tcW w:w="2952" w:type="dxa"/>
            <w:shd w:val="clear" w:color="auto" w:fill="F1F5F9"/>
            <w:vAlign w:val="center"/>
          </w:tcPr>
          <w:p w14:paraId="45A23209" w14:textId="77777777" w:rsidR="00277CBD" w:rsidRDefault="00000000">
            <w:pPr>
              <w:spacing w:after="20"/>
            </w:pPr>
            <w:r>
              <w:rPr>
                <w:rFonts w:ascii="Arial" w:hAnsi="Arial"/>
                <w:sz w:val="16"/>
              </w:rPr>
              <w:t>Copyright protection and origin identification.</w:t>
            </w:r>
          </w:p>
        </w:tc>
      </w:tr>
      <w:tr w:rsidR="00277CBD" w14:paraId="0E6BCB29" w14:textId="77777777">
        <w:trPr>
          <w:jc w:val="center"/>
        </w:trPr>
        <w:tc>
          <w:tcPr>
            <w:tcW w:w="1944" w:type="dxa"/>
            <w:vAlign w:val="center"/>
          </w:tcPr>
          <w:p w14:paraId="43681458" w14:textId="77777777" w:rsidR="00277CBD" w:rsidRDefault="00000000">
            <w:pPr>
              <w:spacing w:after="20"/>
            </w:pPr>
            <w:r>
              <w:rPr>
                <w:rFonts w:ascii="Arial" w:hAnsi="Arial"/>
                <w:sz w:val="16"/>
              </w:rPr>
              <w:t>Survivability</w:t>
            </w:r>
          </w:p>
        </w:tc>
        <w:tc>
          <w:tcPr>
            <w:tcW w:w="4752" w:type="dxa"/>
            <w:vAlign w:val="center"/>
          </w:tcPr>
          <w:p w14:paraId="0AE15634" w14:textId="77777777" w:rsidR="00277CBD" w:rsidRDefault="00000000">
            <w:pPr>
              <w:spacing w:after="20"/>
            </w:pPr>
            <w:r>
              <w:rPr>
                <w:rFonts w:ascii="Arial" w:hAnsi="Arial"/>
                <w:sz w:val="16"/>
              </w:rPr>
              <w:t>Robustness helps embedded data or watermarks survive expected changes.</w:t>
            </w:r>
          </w:p>
        </w:tc>
        <w:tc>
          <w:tcPr>
            <w:tcW w:w="2952" w:type="dxa"/>
            <w:vAlign w:val="center"/>
          </w:tcPr>
          <w:p w14:paraId="01B4C164" w14:textId="77777777" w:rsidR="00277CBD" w:rsidRDefault="00000000">
            <w:pPr>
              <w:spacing w:after="20"/>
            </w:pPr>
            <w:r>
              <w:rPr>
                <w:rFonts w:ascii="Arial" w:hAnsi="Arial"/>
                <w:sz w:val="16"/>
              </w:rPr>
              <w:t>Preserve detection or recovery after processing.</w:t>
            </w:r>
          </w:p>
        </w:tc>
      </w:tr>
    </w:tbl>
    <w:p w14:paraId="585D8F5B" w14:textId="77777777" w:rsidR="00277CBD" w:rsidRDefault="00277CBD"/>
    <w:p w14:paraId="18516E07" w14:textId="77777777" w:rsidR="00277CBD" w:rsidRDefault="00000000">
      <w:pPr>
        <w:pStyle w:val="Heading2"/>
      </w:pPr>
      <w:r>
        <w:t>4.4 How the concepts contribute to secure communication</w:t>
      </w:r>
    </w:p>
    <w:p w14:paraId="06F6BF77" w14:textId="77777777" w:rsidR="00277CBD" w:rsidRDefault="00000000">
      <w:pPr>
        <w:pStyle w:val="ListBullet"/>
      </w:pPr>
      <w:r>
        <w:t>Data hiding makes communication less conspicuous by concealing the presence of a message.</w:t>
      </w:r>
    </w:p>
    <w:p w14:paraId="431BDF31" w14:textId="77777777" w:rsidR="00277CBD" w:rsidRDefault="00000000">
      <w:pPr>
        <w:pStyle w:val="ListBullet"/>
      </w:pPr>
      <w:r>
        <w:t>Watermarking helps identify ownership or origin and can support content authentication.</w:t>
      </w:r>
    </w:p>
    <w:p w14:paraId="1F4E4607" w14:textId="77777777" w:rsidR="00277CBD" w:rsidRDefault="00000000">
      <w:pPr>
        <w:pStyle w:val="ListBullet"/>
      </w:pPr>
      <w:r>
        <w:t>Survivability helps embedded information persist after media is transformed or processed.</w:t>
      </w:r>
    </w:p>
    <w:p w14:paraId="18E12B40" w14:textId="77777777" w:rsidR="00277CBD" w:rsidRDefault="00000000">
      <w:pPr>
        <w:pStyle w:val="ListBullet"/>
      </w:pPr>
      <w:r>
        <w:t>Steganography does not necessarily encrypt a message. For stronger protection, the sender can encrypt the message first and then embed the ciphertext in the cover medium.</w:t>
      </w:r>
    </w:p>
    <w:p w14:paraId="1144EC47" w14:textId="77777777" w:rsidR="00277CBD" w:rsidRDefault="00000000">
      <w:pPr>
        <w:pStyle w:val="ListBullet"/>
      </w:pPr>
      <w:r>
        <w:t>Not all steganographic methods are robust. Simple LSB data hidden in an image may be destroyed by lossy compression.</w:t>
      </w:r>
    </w:p>
    <w:p w14:paraId="1C2911D9" w14:textId="77777777" w:rsidR="00277CBD" w:rsidRDefault="00000000">
      <w:pPr>
        <w:pStyle w:val="Heading2"/>
      </w:pPr>
      <w:r>
        <w:t>4.5 Real-world applications</w:t>
      </w:r>
    </w:p>
    <w:tbl>
      <w:tblPr>
        <w:tblStyle w:val="TableGrid"/>
        <w:tblW w:w="0" w:type="auto"/>
        <w:jc w:val="center"/>
        <w:tblLook w:val="04A0" w:firstRow="1" w:lastRow="0" w:firstColumn="1" w:lastColumn="0" w:noHBand="0" w:noVBand="1"/>
      </w:tblPr>
      <w:tblGrid>
        <w:gridCol w:w="2232"/>
        <w:gridCol w:w="4752"/>
        <w:gridCol w:w="2664"/>
      </w:tblGrid>
      <w:tr w:rsidR="00277CBD" w14:paraId="29D390C3" w14:textId="77777777">
        <w:trPr>
          <w:jc w:val="center"/>
        </w:trPr>
        <w:tc>
          <w:tcPr>
            <w:tcW w:w="2232" w:type="dxa"/>
            <w:shd w:val="clear" w:color="auto" w:fill="17365D"/>
            <w:vAlign w:val="center"/>
          </w:tcPr>
          <w:p w14:paraId="6E9E7231" w14:textId="77777777" w:rsidR="00277CBD" w:rsidRDefault="00000000">
            <w:pPr>
              <w:spacing w:after="20"/>
            </w:pPr>
            <w:r>
              <w:rPr>
                <w:rFonts w:ascii="Arial" w:hAnsi="Arial"/>
                <w:b/>
                <w:color w:val="FFFFFF"/>
                <w:sz w:val="16"/>
              </w:rPr>
              <w:t>Application</w:t>
            </w:r>
          </w:p>
        </w:tc>
        <w:tc>
          <w:tcPr>
            <w:tcW w:w="4752" w:type="dxa"/>
            <w:shd w:val="clear" w:color="auto" w:fill="17365D"/>
            <w:vAlign w:val="center"/>
          </w:tcPr>
          <w:p w14:paraId="4F8FC320" w14:textId="77777777" w:rsidR="00277CBD" w:rsidRDefault="00000000">
            <w:pPr>
              <w:spacing w:after="20"/>
            </w:pPr>
            <w:r>
              <w:rPr>
                <w:rFonts w:ascii="Arial" w:hAnsi="Arial"/>
                <w:b/>
                <w:color w:val="FFFFFF"/>
                <w:sz w:val="16"/>
              </w:rPr>
              <w:t>How it works</w:t>
            </w:r>
          </w:p>
        </w:tc>
        <w:tc>
          <w:tcPr>
            <w:tcW w:w="2664" w:type="dxa"/>
            <w:shd w:val="clear" w:color="auto" w:fill="17365D"/>
            <w:vAlign w:val="center"/>
          </w:tcPr>
          <w:p w14:paraId="593D903E" w14:textId="77777777" w:rsidR="00277CBD" w:rsidRDefault="00000000">
            <w:pPr>
              <w:spacing w:after="20"/>
            </w:pPr>
            <w:r>
              <w:rPr>
                <w:rFonts w:ascii="Arial" w:hAnsi="Arial"/>
                <w:b/>
                <w:color w:val="FFFFFF"/>
                <w:sz w:val="16"/>
              </w:rPr>
              <w:t>Benefit</w:t>
            </w:r>
          </w:p>
        </w:tc>
      </w:tr>
      <w:tr w:rsidR="00277CBD" w14:paraId="1C06927A" w14:textId="77777777">
        <w:trPr>
          <w:jc w:val="center"/>
        </w:trPr>
        <w:tc>
          <w:tcPr>
            <w:tcW w:w="2232" w:type="dxa"/>
            <w:vAlign w:val="center"/>
          </w:tcPr>
          <w:p w14:paraId="34655472" w14:textId="77777777" w:rsidR="00277CBD" w:rsidRDefault="00000000">
            <w:pPr>
              <w:spacing w:after="20"/>
            </w:pPr>
            <w:r>
              <w:rPr>
                <w:rFonts w:ascii="Arial" w:hAnsi="Arial"/>
                <w:sz w:val="16"/>
              </w:rPr>
              <w:t>Confidential communication</w:t>
            </w:r>
          </w:p>
        </w:tc>
        <w:tc>
          <w:tcPr>
            <w:tcW w:w="4752" w:type="dxa"/>
            <w:vAlign w:val="center"/>
          </w:tcPr>
          <w:p w14:paraId="2E655775" w14:textId="77777777" w:rsidR="00277CBD" w:rsidRDefault="00000000">
            <w:pPr>
              <w:spacing w:after="20"/>
            </w:pPr>
            <w:r>
              <w:rPr>
                <w:rFonts w:ascii="Arial" w:hAnsi="Arial"/>
                <w:sz w:val="16"/>
              </w:rPr>
              <w:t>An encrypted message is embedded in an ordinary image before being sent.</w:t>
            </w:r>
          </w:p>
        </w:tc>
        <w:tc>
          <w:tcPr>
            <w:tcW w:w="2664" w:type="dxa"/>
            <w:vAlign w:val="center"/>
          </w:tcPr>
          <w:p w14:paraId="00D8E645" w14:textId="77777777" w:rsidR="00277CBD" w:rsidRDefault="00000000">
            <w:pPr>
              <w:spacing w:after="20"/>
            </w:pPr>
            <w:r>
              <w:rPr>
                <w:rFonts w:ascii="Arial" w:hAnsi="Arial"/>
                <w:sz w:val="16"/>
              </w:rPr>
              <w:t>Conceals the message's presence while encryption protects its contents.</w:t>
            </w:r>
          </w:p>
        </w:tc>
      </w:tr>
      <w:tr w:rsidR="00277CBD" w14:paraId="0E49AE93" w14:textId="77777777">
        <w:trPr>
          <w:jc w:val="center"/>
        </w:trPr>
        <w:tc>
          <w:tcPr>
            <w:tcW w:w="2232" w:type="dxa"/>
            <w:shd w:val="clear" w:color="auto" w:fill="F1F5F9"/>
            <w:vAlign w:val="center"/>
          </w:tcPr>
          <w:p w14:paraId="432E08A5" w14:textId="77777777" w:rsidR="00277CBD" w:rsidRDefault="00000000">
            <w:pPr>
              <w:spacing w:after="20"/>
            </w:pPr>
            <w:r>
              <w:rPr>
                <w:rFonts w:ascii="Arial" w:hAnsi="Arial"/>
                <w:sz w:val="16"/>
              </w:rPr>
              <w:t>Copyright protection</w:t>
            </w:r>
          </w:p>
        </w:tc>
        <w:tc>
          <w:tcPr>
            <w:tcW w:w="4752" w:type="dxa"/>
            <w:shd w:val="clear" w:color="auto" w:fill="F1F5F9"/>
            <w:vAlign w:val="center"/>
          </w:tcPr>
          <w:p w14:paraId="580E7B5E" w14:textId="77777777" w:rsidR="00277CBD" w:rsidRDefault="00000000">
            <w:pPr>
              <w:spacing w:after="20"/>
            </w:pPr>
            <w:r>
              <w:rPr>
                <w:rFonts w:ascii="Arial" w:hAnsi="Arial"/>
                <w:sz w:val="16"/>
              </w:rPr>
              <w:t>A photographer embeds identifying watermark data in an image.</w:t>
            </w:r>
          </w:p>
        </w:tc>
        <w:tc>
          <w:tcPr>
            <w:tcW w:w="2664" w:type="dxa"/>
            <w:shd w:val="clear" w:color="auto" w:fill="F1F5F9"/>
            <w:vAlign w:val="center"/>
          </w:tcPr>
          <w:p w14:paraId="3E9FAA01" w14:textId="77777777" w:rsidR="00277CBD" w:rsidRDefault="00000000">
            <w:pPr>
              <w:spacing w:after="20"/>
            </w:pPr>
            <w:r>
              <w:rPr>
                <w:rFonts w:ascii="Arial" w:hAnsi="Arial"/>
                <w:sz w:val="16"/>
              </w:rPr>
              <w:t>Helps establish ownership if content is copied or redistributed.</w:t>
            </w:r>
          </w:p>
        </w:tc>
      </w:tr>
      <w:tr w:rsidR="00277CBD" w14:paraId="6F925C79" w14:textId="77777777">
        <w:trPr>
          <w:jc w:val="center"/>
        </w:trPr>
        <w:tc>
          <w:tcPr>
            <w:tcW w:w="2232" w:type="dxa"/>
            <w:vAlign w:val="center"/>
          </w:tcPr>
          <w:p w14:paraId="3BBAF872" w14:textId="77777777" w:rsidR="00277CBD" w:rsidRDefault="00000000">
            <w:pPr>
              <w:spacing w:after="20"/>
            </w:pPr>
            <w:r>
              <w:rPr>
                <w:rFonts w:ascii="Arial" w:hAnsi="Arial"/>
                <w:sz w:val="16"/>
              </w:rPr>
              <w:t>Media processing</w:t>
            </w:r>
          </w:p>
        </w:tc>
        <w:tc>
          <w:tcPr>
            <w:tcW w:w="4752" w:type="dxa"/>
            <w:vAlign w:val="center"/>
          </w:tcPr>
          <w:p w14:paraId="0EDA0C5A" w14:textId="77777777" w:rsidR="00277CBD" w:rsidRDefault="00000000">
            <w:pPr>
              <w:spacing w:after="20"/>
            </w:pPr>
            <w:r>
              <w:rPr>
                <w:rFonts w:ascii="Arial" w:hAnsi="Arial"/>
                <w:sz w:val="16"/>
              </w:rPr>
              <w:t>A robust watermark is designed to remain detectable after compression or resizing.</w:t>
            </w:r>
          </w:p>
        </w:tc>
        <w:tc>
          <w:tcPr>
            <w:tcW w:w="2664" w:type="dxa"/>
            <w:vAlign w:val="center"/>
          </w:tcPr>
          <w:p w14:paraId="5E18917D" w14:textId="77777777" w:rsidR="00277CBD" w:rsidRDefault="00000000">
            <w:pPr>
              <w:spacing w:after="20"/>
            </w:pPr>
            <w:r>
              <w:rPr>
                <w:rFonts w:ascii="Arial" w:hAnsi="Arial"/>
                <w:sz w:val="16"/>
              </w:rPr>
              <w:t>Supports continued identification after expected transformations.</w:t>
            </w:r>
          </w:p>
        </w:tc>
      </w:tr>
    </w:tbl>
    <w:p w14:paraId="5CF275A8" w14:textId="77777777" w:rsidR="00277CBD" w:rsidRDefault="00277CBD"/>
    <w:p w14:paraId="5C9896DB" w14:textId="77777777" w:rsidR="00277CBD" w:rsidRDefault="00000000">
      <w:r>
        <w:t>Conclusion: Data hiding conceals information, watermarking embeds ownership or identification information, and survivability concerns the persistence of embedded information after changes. These concepts support confidential communication, copyright protection and digital content verification.</w:t>
      </w:r>
    </w:p>
    <w:p w14:paraId="64E02DD1" w14:textId="77777777" w:rsidR="00277CBD" w:rsidRDefault="00000000">
      <w:r>
        <w:br w:type="page"/>
      </w:r>
    </w:p>
    <w:p w14:paraId="074A981A" w14:textId="77777777" w:rsidR="00277CBD" w:rsidRDefault="00000000">
      <w:pPr>
        <w:pStyle w:val="Heading1"/>
      </w:pPr>
      <w:r>
        <w:lastRenderedPageBreak/>
        <w:t>OVERALL CONCEPT MAP: ASSESSMENT SUMMARY</w:t>
      </w:r>
    </w:p>
    <w:tbl>
      <w:tblPr>
        <w:tblStyle w:val="TableGrid"/>
        <w:tblW w:w="0" w:type="auto"/>
        <w:tblLook w:val="04A0" w:firstRow="1" w:lastRow="0" w:firstColumn="1" w:lastColumn="0" w:noHBand="0" w:noVBand="1"/>
      </w:tblPr>
      <w:tblGrid>
        <w:gridCol w:w="10080"/>
      </w:tblGrid>
      <w:tr w:rsidR="00277CBD" w14:paraId="6C62C388" w14:textId="77777777">
        <w:tc>
          <w:tcPr>
            <w:tcW w:w="10080" w:type="dxa"/>
            <w:shd w:val="clear" w:color="auto" w:fill="DCE6F1"/>
          </w:tcPr>
          <w:p w14:paraId="53B9C382" w14:textId="77777777" w:rsidR="00277CBD" w:rsidRDefault="00000000">
            <w:pPr>
              <w:jc w:val="center"/>
            </w:pPr>
            <w:r>
              <w:rPr>
                <w:b/>
                <w:color w:val="17365D"/>
              </w:rPr>
              <w:t>CRYPTOGRAPHY AND NETWORK SECURITY</w:t>
            </w:r>
          </w:p>
          <w:p w14:paraId="188E368F" w14:textId="77777777" w:rsidR="00277CBD" w:rsidRDefault="00000000">
            <w:pPr>
              <w:spacing w:after="40"/>
              <w:jc w:val="center"/>
            </w:pPr>
            <w:r>
              <w:t>Q1 — Security: Attacks → Threats → Risks → CIA security goals</w:t>
            </w:r>
          </w:p>
          <w:p w14:paraId="22CFC7BE" w14:textId="77777777" w:rsidR="00277CBD" w:rsidRDefault="00000000">
            <w:pPr>
              <w:spacing w:after="40"/>
              <w:jc w:val="center"/>
            </w:pPr>
            <w:r>
              <w:t>↓</w:t>
            </w:r>
          </w:p>
          <w:p w14:paraId="182E9BEB" w14:textId="77777777" w:rsidR="00277CBD" w:rsidRDefault="00000000">
            <w:pPr>
              <w:spacing w:after="40"/>
              <w:jc w:val="center"/>
            </w:pPr>
            <w:r>
              <w:t>Q2 — Substitution ciphers: Caesar • Monoalphabetic • Vigenère • Hill</w:t>
            </w:r>
          </w:p>
          <w:p w14:paraId="4F203C52" w14:textId="77777777" w:rsidR="00277CBD" w:rsidRDefault="00000000">
            <w:pPr>
              <w:spacing w:after="40"/>
              <w:jc w:val="center"/>
            </w:pPr>
            <w:r>
              <w:t>↓</w:t>
            </w:r>
          </w:p>
          <w:p w14:paraId="22B6E73D" w14:textId="77777777" w:rsidR="00277CBD" w:rsidRDefault="00000000">
            <w:pPr>
              <w:spacing w:after="40"/>
              <w:jc w:val="center"/>
            </w:pPr>
            <w:r>
              <w:t>Q3 — Classical schemes: Substitution (replace characters) vs Transposition (rearrange characters)</w:t>
            </w:r>
          </w:p>
          <w:p w14:paraId="5DD1D3A5" w14:textId="77777777" w:rsidR="00277CBD" w:rsidRDefault="00000000">
            <w:pPr>
              <w:spacing w:after="40"/>
              <w:jc w:val="center"/>
            </w:pPr>
            <w:r>
              <w:t>↓</w:t>
            </w:r>
          </w:p>
          <w:p w14:paraId="55B13B87" w14:textId="77777777" w:rsidR="00277CBD" w:rsidRDefault="00000000">
            <w:pPr>
              <w:spacing w:after="40"/>
              <w:jc w:val="center"/>
            </w:pPr>
            <w:r>
              <w:t>Q4 — Steganography: Data hiding • Watermarking • Survivability</w:t>
            </w:r>
          </w:p>
          <w:p w14:paraId="0B459B0A" w14:textId="77777777" w:rsidR="00277CBD" w:rsidRDefault="00000000">
            <w:pPr>
              <w:spacing w:after="40"/>
              <w:jc w:val="center"/>
            </w:pPr>
            <w:r>
              <w:t>↓</w:t>
            </w:r>
          </w:p>
          <w:p w14:paraId="08597ED1" w14:textId="77777777" w:rsidR="00277CBD" w:rsidRDefault="00000000">
            <w:pPr>
              <w:spacing w:after="40"/>
              <w:jc w:val="center"/>
            </w:pPr>
            <w:r>
              <w:t>Overall outcome: Understand security risks, compare classical ciphers, and explain methods for concealing and protecting digital information.</w:t>
            </w:r>
          </w:p>
        </w:tc>
      </w:tr>
    </w:tbl>
    <w:p w14:paraId="23F42DAC" w14:textId="77777777" w:rsidR="00277CBD" w:rsidRDefault="00277CBD"/>
    <w:p w14:paraId="6988DD4C" w14:textId="77777777" w:rsidR="00277CBD" w:rsidRDefault="00000000">
      <w:pPr>
        <w:pStyle w:val="Heading2"/>
      </w:pPr>
      <w:r>
        <w:t>Final review checklist</w:t>
      </w:r>
    </w:p>
    <w:p w14:paraId="429EA731" w14:textId="77777777" w:rsidR="00277CBD" w:rsidRDefault="00000000">
      <w:pPr>
        <w:pStyle w:val="ListBullet"/>
      </w:pPr>
      <w:r>
        <w:t>Fill in your name and registration number on the cover page.</w:t>
      </w:r>
    </w:p>
    <w:p w14:paraId="5B80E2EF" w14:textId="77777777" w:rsidR="00277CBD" w:rsidRDefault="00000000">
      <w:pPr>
        <w:pStyle w:val="ListBullet"/>
      </w:pPr>
      <w:r>
        <w:t>Check all four question headings and their diagrams.</w:t>
      </w:r>
    </w:p>
    <w:p w14:paraId="7A8EC662" w14:textId="77777777" w:rsidR="00277CBD" w:rsidRDefault="00000000">
      <w:pPr>
        <w:pStyle w:val="ListBullet"/>
      </w:pPr>
      <w:r>
        <w:t>Ensure formulas and worked examples are readable.</w:t>
      </w:r>
    </w:p>
    <w:p w14:paraId="525D9C74" w14:textId="77777777" w:rsidR="00277CBD" w:rsidRDefault="00000000">
      <w:pPr>
        <w:pStyle w:val="ListBullet"/>
      </w:pPr>
      <w:r>
        <w:t>Review the content and rewrite any parts required by your instructor in your own words.</w:t>
      </w:r>
    </w:p>
    <w:p w14:paraId="6C47FBE8" w14:textId="77777777" w:rsidR="00277CBD" w:rsidRDefault="00000000">
      <w:pPr>
        <w:pStyle w:val="ListBullet"/>
      </w:pPr>
      <w:r>
        <w:t>Sign the academic integrity statement as required by the original assessment sheet.</w:t>
      </w:r>
    </w:p>
    <w:p w14:paraId="2097F775" w14:textId="77777777" w:rsidR="00277CBD" w:rsidRDefault="00000000">
      <w:r>
        <w:t>Prepared as a structured draft based on the uploaded CSA51 Assessment Tool 2 instructions. Verify that the final submission follows your instructor's requirements.</w:t>
      </w:r>
    </w:p>
    <w:sectPr w:rsidR="00277CBD"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622122">
    <w:abstractNumId w:val="8"/>
  </w:num>
  <w:num w:numId="2" w16cid:durableId="874852328">
    <w:abstractNumId w:val="6"/>
  </w:num>
  <w:num w:numId="3" w16cid:durableId="39985825">
    <w:abstractNumId w:val="5"/>
  </w:num>
  <w:num w:numId="4" w16cid:durableId="1896820643">
    <w:abstractNumId w:val="4"/>
  </w:num>
  <w:num w:numId="5" w16cid:durableId="896167968">
    <w:abstractNumId w:val="7"/>
  </w:num>
  <w:num w:numId="6" w16cid:durableId="1071125861">
    <w:abstractNumId w:val="3"/>
  </w:num>
  <w:num w:numId="7" w16cid:durableId="875240277">
    <w:abstractNumId w:val="2"/>
  </w:num>
  <w:num w:numId="8" w16cid:durableId="1175270839">
    <w:abstractNumId w:val="1"/>
  </w:num>
  <w:num w:numId="9" w16cid:durableId="48905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CBD"/>
    <w:rsid w:val="0029639D"/>
    <w:rsid w:val="002B41B5"/>
    <w:rsid w:val="00326F90"/>
    <w:rsid w:val="00AA1D8D"/>
    <w:rsid w:val="00B47730"/>
    <w:rsid w:val="00CA65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641A3"/>
  <w14:defaultImageDpi w14:val="300"/>
  <w15:docId w15:val="{BE0663A9-C579-4D69-A01E-0B0162C3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 Sarathi</cp:lastModifiedBy>
  <cp:revision>2</cp:revision>
  <dcterms:created xsi:type="dcterms:W3CDTF">2026-10-19T16:01:00Z</dcterms:created>
  <dcterms:modified xsi:type="dcterms:W3CDTF">2026-10-19T16:01:00Z</dcterms:modified>
  <cp:category/>
</cp:coreProperties>
</file>