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771E119">
      <w:pPr>
        <w:pStyle w:val="style0"/>
        <w:jc w:val="center"/>
        <w:rPr/>
      </w:pPr>
      <w:r>
        <w:rPr>
          <w:rFonts w:ascii="Calibri" w:eastAsia="Calibri" w:hAnsi="Calibri"/>
          <w:b/>
          <w:i w:val="false"/>
          <w:color w:val="1f4e79"/>
          <w:sz w:val="44"/>
        </w:rPr>
        <w:t>SIMATS ENGINEERING</w:t>
      </w:r>
    </w:p>
    <w:p w14:paraId="C3415DA8">
      <w:pPr>
        <w:pStyle w:val="style0"/>
        <w:spacing w:after="320"/>
        <w:jc w:val="center"/>
        <w:rPr/>
      </w:pPr>
      <w:r>
        <w:rPr>
          <w:rFonts w:ascii="Calibri" w:eastAsia="Calibri" w:hAnsi="Calibri"/>
          <w:b/>
          <w:i w:val="false"/>
          <w:color w:val="1f4e79"/>
          <w:sz w:val="32"/>
        </w:rPr>
        <w:t>ASSESSMENT TOOL 3</w:t>
      </w:r>
    </w:p>
    <w:p w14:paraId="0A2AA033">
      <w:pPr>
        <w:pStyle w:val="style0"/>
        <w:rPr/>
      </w:pPr>
      <w:r>
        <w:rPr>
          <w:rFonts w:ascii="Calibri" w:eastAsia="Calibri" w:hAnsi="Calibri"/>
          <w:b/>
          <w:i w:val="false"/>
          <w:sz w:val="24"/>
        </w:rPr>
        <w:t xml:space="preserve">COURSE NAME: </w:t>
      </w:r>
      <w:r>
        <w:rPr>
          <w:rFonts w:ascii="Calibri" w:eastAsia="Calibri" w:hAnsi="Calibri"/>
          <w:b w:val="false"/>
          <w:i w:val="false"/>
          <w:sz w:val="24"/>
        </w:rPr>
        <w:t>CRYPTOGRAPHY AND NETWORK SECURITY</w:t>
      </w:r>
    </w:p>
    <w:p w14:paraId="3C5D70E1">
      <w:pPr>
        <w:pStyle w:val="style0"/>
        <w:spacing w:after="280"/>
        <w:rPr/>
      </w:pPr>
      <w:r>
        <w:rPr>
          <w:rFonts w:ascii="Calibri" w:eastAsia="Calibri" w:hAnsi="Calibri"/>
          <w:b/>
          <w:i w:val="false"/>
          <w:sz w:val="24"/>
        </w:rPr>
        <w:t xml:space="preserve">COURSE CODE: </w:t>
      </w:r>
      <w:r>
        <w:rPr>
          <w:rFonts w:ascii="Calibri" w:eastAsia="Calibri" w:hAnsi="Calibri"/>
          <w:b w:val="false"/>
          <w:i w:val="false"/>
          <w:sz w:val="24"/>
        </w:rPr>
        <w:t>CSA51</w:t>
      </w:r>
    </w:p>
    <w:p w14:paraId="EF89C042">
      <w:pPr>
        <w:pStyle w:val="style0"/>
        <w:pBdr>
          <w:bottom w:val="single" w:sz="12" w:space="1" w:color="1f4e79"/>
        </w:pBdr>
        <w:spacing w:after="200"/>
        <w:rPr/>
      </w:pPr>
    </w:p>
    <w:p w14:paraId="71CDE4B7">
      <w:pPr>
        <w:pStyle w:val="style0"/>
        <w:rPr/>
      </w:pPr>
      <w:r>
        <w:rPr>
          <w:rFonts w:ascii="Calibri" w:eastAsia="Calibri" w:hAnsi="Calibri"/>
          <w:b/>
          <w:i w:val="false"/>
          <w:color w:val="1f4e79"/>
          <w:sz w:val="24"/>
        </w:rPr>
        <w:t>COURSE OUTCOME COVERED</w:t>
      </w:r>
    </w:p>
    <w:p w14:paraId="F8B00C77">
      <w:pPr>
        <w:pStyle w:val="style0"/>
        <w:spacing w:after="160"/>
        <w:rPr/>
      </w:pPr>
      <w:r>
        <w:rPr>
          <w:rFonts w:ascii="Calibri" w:eastAsia="Calibri" w:hAnsi="Calibri"/>
          <w:b/>
          <w:i w:val="false"/>
          <w:sz w:val="22"/>
        </w:rPr>
        <w:t xml:space="preserve">CO2: </w:t>
      </w:r>
      <w:r>
        <w:rPr>
          <w:rFonts w:ascii="Calibri" w:eastAsia="Calibri" w:hAnsi="Calibri"/>
          <w:b w:val="false"/>
          <w:i w:val="false"/>
          <w:sz w:val="22"/>
        </w:rPr>
        <w:t>Analyze Public Key crypto system strategies using RSA and key Exchange for Encryption algorithm to strengthen information security. (BL4, BL5)</w:t>
      </w:r>
    </w:p>
    <w:p w14:paraId="9957C41B">
      <w:pPr>
        <w:pStyle w:val="style0"/>
        <w:rPr/>
      </w:pPr>
      <w:r>
        <w:rPr>
          <w:rFonts w:ascii="Calibri" w:eastAsia="Calibri" w:hAnsi="Calibri"/>
          <w:b/>
          <w:i w:val="false"/>
          <w:sz w:val="22"/>
        </w:rPr>
        <w:t>Debugging &amp; Optimisation Task : 10%</w:t>
      </w:r>
    </w:p>
    <w:p w14:paraId="633BFBF3">
      <w:pPr>
        <w:pStyle w:val="style0"/>
        <w:spacing w:after="60"/>
        <w:rPr/>
      </w:pPr>
      <w:r>
        <w:rPr>
          <w:rFonts w:ascii="Calibri" w:eastAsia="Calibri" w:hAnsi="Calibri"/>
          <w:b/>
          <w:i w:val="false"/>
          <w:sz w:val="22"/>
        </w:rPr>
        <w:t>QUESTIONS:</w:t>
      </w:r>
      <w:r>
        <w:t xml:space="preserve">                                          </w:t>
      </w:r>
      <w:r>
        <w:rPr>
          <w:rFonts w:ascii="Calibri" w:eastAsia="Calibri" w:hAnsi="Calibri"/>
          <w:b/>
          <w:i w:val="false"/>
          <w:sz w:val="22"/>
        </w:rPr>
        <w:t>Total Marks: 50</w:t>
      </w:r>
    </w:p>
    <w:p w14:paraId="8A590F82">
      <w:pPr>
        <w:pStyle w:val="style0"/>
        <w:spacing w:after="240"/>
        <w:jc w:val="center"/>
        <w:rPr/>
      </w:pPr>
      <w:r>
        <w:rPr>
          <w:rFonts w:ascii="Calibri" w:eastAsia="Calibri" w:hAnsi="Calibri"/>
          <w:b/>
          <w:i w:val="false"/>
          <w:sz w:val="22"/>
        </w:rPr>
        <w:t>Annexure A</w:t>
      </w:r>
    </w:p>
    <w:p w14:paraId="33E611F9">
      <w:pPr>
        <w:pStyle w:val="style0"/>
        <w:pBdr>
          <w:bottom w:val="single" w:sz="12" w:space="1" w:color="1f4e79"/>
        </w:pBdr>
        <w:spacing w:after="200"/>
        <w:rPr/>
      </w:pPr>
    </w:p>
    <w:p w14:paraId="4521648B">
      <w:pPr>
        <w:pStyle w:val="style0"/>
        <w:spacing w:after="120"/>
        <w:rPr/>
      </w:pPr>
      <w:r>
        <w:rPr>
          <w:rFonts w:ascii="Calibri" w:eastAsia="Calibri" w:hAnsi="Calibri"/>
          <w:b/>
          <w:i w:val="false"/>
          <w:color w:val="1f4e79"/>
          <w:sz w:val="24"/>
        </w:rPr>
        <w:t>Code of Conduct:</w:t>
      </w:r>
    </w:p>
    <w:p w14:paraId="BB19992F">
      <w:pPr>
        <w:pStyle w:val="style0"/>
        <w:spacing w:after="320"/>
        <w:rPr/>
      </w:pPr>
      <w:r>
        <w:rPr>
          <w:rFonts w:ascii="Calibri" w:eastAsia="Calibri" w:hAnsi="Calibri"/>
          <w:b w:val="false"/>
          <w:i w:val="false"/>
          <w:sz w:val="22"/>
        </w:rPr>
        <w:t xml:space="preserve">I  </w:t>
      </w:r>
      <w:r>
        <w:rPr>
          <w:rFonts w:ascii="Calibri" w:eastAsia="Calibri" w:hAnsi="Calibri"/>
          <w:b w:val="false"/>
          <w:i w:val="false"/>
          <w:sz w:val="22"/>
          <w:lang w:val="en-US"/>
        </w:rPr>
        <w:t xml:space="preserve">TALAPALA PARTHA SARATHI </w:t>
      </w:r>
      <w:r>
        <w:rPr>
          <w:rFonts w:ascii="Calibri" w:eastAsia="Calibri" w:hAnsi="Calibri"/>
          <w:b w:val="false"/>
          <w:i w:val="false"/>
          <w:sz w:val="22"/>
        </w:rPr>
        <w:t xml:space="preserve">/ </w:t>
      </w:r>
      <w:r>
        <w:rPr>
          <w:rFonts w:ascii="Calibri" w:eastAsia="Calibri" w:hAnsi="Calibri"/>
          <w:b w:val="false"/>
          <w:i w:val="false"/>
          <w:sz w:val="22"/>
          <w:lang w:val="en-US"/>
        </w:rPr>
        <w:t xml:space="preserve">192325042 </w:t>
      </w:r>
      <w:r>
        <w:rPr>
          <w:rFonts w:ascii="Calibri" w:eastAsia="Calibri" w:hAnsi="Calibri"/>
          <w:b w:val="false"/>
          <w:i w:val="false"/>
          <w:sz w:val="22"/>
        </w:rPr>
        <w:t>certify that this submission is my original work and that I have adhered to the guidelines specified for this assessment. I understand that any violation of academic integrity rules will result in disciplinary action.</w:t>
      </w:r>
    </w:p>
    <w:p w14:paraId="4A038062">
      <w:pPr>
        <w:pStyle w:val="style0"/>
        <w:spacing w:after="80"/>
        <w:rPr/>
      </w:pPr>
      <w:r>
        <w:rPr>
          <w:rFonts w:ascii="Calibri" w:eastAsia="Calibri" w:hAnsi="Calibri"/>
          <w:b/>
          <w:i w:val="false"/>
          <w:sz w:val="22"/>
        </w:rPr>
        <w:t xml:space="preserve">Signature of the student: </w:t>
      </w:r>
      <w:r>
        <w:rPr>
          <w:rFonts w:ascii="Calibri" w:eastAsia="Calibri" w:hAnsi="Calibri"/>
          <w:b/>
          <w:i w:val="false"/>
          <w:sz w:val="22"/>
          <w:lang w:val="en-US"/>
        </w:rPr>
        <w:t>TALAPALA PARTHA SARATHI</w:t>
      </w:r>
    </w:p>
    <w:p w14:paraId="E99BE421">
      <w:pPr>
        <w:pStyle w:val="style0"/>
        <w:rPr/>
      </w:pPr>
      <w:r>
        <w:rPr>
          <w:rFonts w:ascii="Calibri" w:eastAsia="Calibri" w:hAnsi="Calibri"/>
          <w:b w:val="false"/>
          <w:i w:val="false"/>
          <w:color w:val="505050"/>
          <w:sz w:val="20"/>
        </w:rPr>
        <w:t>Date: 27 October 2025</w:t>
      </w:r>
    </w:p>
    <w:p w14:paraId="4642542E">
      <w:pPr>
        <w:pStyle w:val="style0"/>
        <w:rPr/>
      </w:pPr>
      <w:r>
        <w:br w:type="page"/>
      </w:r>
    </w:p>
    <w:p w14:paraId="666E4A49">
      <w:pPr>
        <w:pStyle w:val="style0"/>
        <w:spacing w:after="40"/>
        <w:jc w:val="center"/>
        <w:rPr/>
      </w:pPr>
      <w:r>
        <w:rPr>
          <w:rFonts w:ascii="Calibri" w:eastAsia="Calibri" w:hAnsi="Calibri"/>
          <w:b/>
          <w:i w:val="false"/>
          <w:color w:val="1f4e79"/>
          <w:sz w:val="26"/>
        </w:rPr>
        <w:t>ANNEXURE A – DEBUGGING &amp; OPTIMISATION TASK</w:t>
      </w:r>
    </w:p>
    <w:p w14:paraId="BD544A43">
      <w:pPr>
        <w:pStyle w:val="style0"/>
        <w:spacing w:after="80"/>
        <w:jc w:val="center"/>
        <w:rPr/>
      </w:pPr>
      <w:r>
        <w:rPr>
          <w:rFonts w:ascii="Calibri" w:eastAsia="Calibri" w:hAnsi="Calibri"/>
          <w:b w:val="false"/>
          <w:i/>
          <w:color w:val="595959"/>
          <w:sz w:val="20"/>
        </w:rPr>
        <w:t>Detailed Analysis, Fixes &amp; Optimisations</w:t>
      </w:r>
    </w:p>
    <w:p w14:paraId="6C4A57CB">
      <w:pPr>
        <w:pStyle w:val="style0"/>
        <w:pBdr>
          <w:bottom w:val="single" w:sz="12" w:space="1" w:color="1f4e79"/>
        </w:pBdr>
        <w:spacing w:after="200"/>
        <w:rPr/>
      </w:pPr>
    </w:p>
    <w:p w14:paraId="D91E296B">
      <w:pPr>
        <w:pStyle w:val="style0"/>
        <w:spacing w:before="80" w:after="80"/>
        <w:rPr/>
      </w:pPr>
      <w:r>
        <w:rPr>
          <w:rFonts w:ascii="Calibri" w:eastAsia="Calibri" w:hAnsi="Calibri"/>
          <w:b/>
          <w:i w:val="false"/>
          <w:color w:val="1f4e79"/>
          <w:sz w:val="24"/>
        </w:rPr>
        <w:t>1. Debugging &amp; Optimization of Symmetric Encryption (DES / 3DES)</w:t>
      </w:r>
    </w:p>
    <w:p w14:paraId="2B101236">
      <w:pPr>
        <w:pStyle w:val="style0"/>
        <w:spacing w:after="120"/>
        <w:rPr/>
      </w:pPr>
      <w:r>
        <w:rPr>
          <w:rFonts w:ascii="Calibri" w:eastAsia="Calibri" w:hAnsi="Calibri"/>
          <w:b w:val="false"/>
          <w:i/>
          <w:color w:val="464646"/>
          <w:sz w:val="18"/>
        </w:rPr>
        <w:t>Scenario: A Python program implementing DES and 3DES produces inconsistent ciphertext for identical inputs across multiple runs.</w:t>
      </w:r>
    </w:p>
    <w:p w14:paraId="258EDD4A">
      <w:pPr>
        <w:pStyle w:val="style0"/>
        <w:spacing w:after="60"/>
        <w:rPr/>
      </w:pPr>
      <w:r>
        <w:rPr>
          <w:rFonts w:ascii="Calibri" w:eastAsia="Calibri" w:hAnsi="Calibri"/>
          <w:b/>
          <w:i w:val="false"/>
          <w:color w:val="006699"/>
          <w:sz w:val="22"/>
        </w:rPr>
        <w:t>A. Identifying &amp; Fixing Logical / Implementation Errors</w:t>
      </w:r>
    </w:p>
    <w:p w14:paraId="B6F854DC">
      <w:pPr>
        <w:pStyle w:val="style0"/>
        <w:spacing w:after="40"/>
        <w:rPr/>
      </w:pPr>
      <w:r>
        <w:rPr>
          <w:rFonts w:ascii="Calibri" w:eastAsia="Calibri" w:hAnsi="Calibri"/>
          <w:b/>
          <w:i w:val="false"/>
          <w:sz w:val="20"/>
        </w:rPr>
        <w:t>Common root causes of non-deterministic ciphertext:</w:t>
      </w:r>
    </w:p>
    <w:p w14:paraId="618F4E21">
      <w:pPr>
        <w:pStyle w:val="style48"/>
        <w:spacing w:after="20"/>
        <w:rPr/>
      </w:pPr>
      <w:r>
        <w:rPr>
          <w:rFonts w:ascii="Calibri" w:eastAsia="Calibri" w:hAnsi="Calibri"/>
          <w:b/>
          <w:i w:val="false"/>
          <w:sz w:val="20"/>
        </w:rPr>
        <w:t xml:space="preserve">Key scheduling errors: </w:t>
      </w:r>
      <w:r>
        <w:rPr>
          <w:rFonts w:ascii="Calibri" w:eastAsia="Calibri" w:hAnsi="Calibri"/>
          <w:b w:val="false"/>
          <w:i w:val="false"/>
          <w:sz w:val="20"/>
        </w:rPr>
        <w:t>Incorrect PC-1 / PC-2 permutations, wrong left/right 28-bit rotation counts (1 or 2 bits depending on round), or reuse of a mutable key list across rounds.</w:t>
      </w:r>
    </w:p>
    <w:p w14:paraId="7F3C1503">
      <w:pPr>
        <w:pStyle w:val="style48"/>
        <w:spacing w:after="20"/>
        <w:rPr/>
      </w:pPr>
      <w:r>
        <w:rPr>
          <w:rFonts w:ascii="Calibri" w:eastAsia="Calibri" w:hAnsi="Calibri"/>
          <w:b/>
          <w:i w:val="false"/>
          <w:sz w:val="20"/>
        </w:rPr>
        <w:t xml:space="preserve">Permutation table mistakes: </w:t>
      </w:r>
      <w:r>
        <w:rPr>
          <w:rFonts w:ascii="Calibri" w:eastAsia="Calibri" w:hAnsi="Calibri"/>
          <w:b w:val="false"/>
          <w:i w:val="false"/>
          <w:sz w:val="20"/>
        </w:rPr>
        <w:t>IP, IP⁻¹, E, P, or S-box tables copied with off-by-one indices or reversed bit ordering (MSB vs LSB).</w:t>
      </w:r>
    </w:p>
    <w:p w14:paraId="2B6862E8">
      <w:pPr>
        <w:pStyle w:val="style48"/>
        <w:spacing w:after="20"/>
        <w:rPr/>
      </w:pPr>
      <w:r>
        <w:rPr>
          <w:rFonts w:ascii="Calibri" w:eastAsia="Calibri" w:hAnsi="Calibri"/>
          <w:b/>
          <w:i w:val="false"/>
          <w:sz w:val="20"/>
        </w:rPr>
        <w:t xml:space="preserve">Endianness / byte-order bugs: </w:t>
      </w:r>
      <w:r>
        <w:rPr>
          <w:rFonts w:ascii="Calibri" w:eastAsia="Calibri" w:hAnsi="Calibri"/>
          <w:b w:val="false"/>
          <w:i w:val="false"/>
          <w:sz w:val="20"/>
        </w:rPr>
        <w:t>Mixing big-endian and little-endian conversions when packing/unpacking 64-bit blocks.</w:t>
      </w:r>
    </w:p>
    <w:p w14:paraId="AC7D2438">
      <w:pPr>
        <w:pStyle w:val="style48"/>
        <w:spacing w:after="20"/>
        <w:rPr/>
      </w:pPr>
      <w:r>
        <w:rPr>
          <w:rFonts w:ascii="Calibri" w:eastAsia="Calibri" w:hAnsi="Calibri"/>
          <w:b/>
          <w:i w:val="false"/>
          <w:sz w:val="20"/>
        </w:rPr>
        <w:t xml:space="preserve">Random IV or key material leaked into pure-ECB path: </w:t>
      </w:r>
      <w:r>
        <w:rPr>
          <w:rFonts w:ascii="Calibri" w:eastAsia="Calibri" w:hAnsi="Calibri"/>
          <w:b w:val="false"/>
          <w:i w:val="false"/>
          <w:sz w:val="20"/>
        </w:rPr>
        <w:t>If the code accidentally injects a random salt or IV even in ECB mode, ciphertext becomes non-repeatable.</w:t>
      </w:r>
    </w:p>
    <w:p w14:paraId="BC69B0E7">
      <w:pPr>
        <w:pStyle w:val="style48"/>
        <w:spacing w:after="20"/>
        <w:rPr/>
      </w:pPr>
      <w:r>
        <w:rPr>
          <w:rFonts w:ascii="Calibri" w:eastAsia="Calibri" w:hAnsi="Calibri"/>
          <w:b/>
          <w:i w:val="false"/>
          <w:sz w:val="20"/>
        </w:rPr>
        <w:t xml:space="preserve">Incomplete final round or missing swap: </w:t>
      </w:r>
      <w:r>
        <w:rPr>
          <w:rFonts w:ascii="Calibri" w:eastAsia="Calibri" w:hAnsi="Calibri"/>
          <w:b w:val="false"/>
          <w:i w:val="false"/>
          <w:sz w:val="20"/>
        </w:rPr>
        <w:t>DES requires 16 rounds followed by a final left-right swap before IP⁻¹; omitting this produces wrong output.</w:t>
      </w:r>
    </w:p>
    <w:p w14:paraId="82667FC0">
      <w:pPr>
        <w:pStyle w:val="style0"/>
        <w:spacing w:after="40"/>
        <w:rPr/>
      </w:pPr>
      <w:r>
        <w:rPr>
          <w:rFonts w:ascii="Calibri" w:eastAsia="Calibri" w:hAnsi="Calibri"/>
          <w:b/>
          <w:i w:val="false"/>
          <w:sz w:val="20"/>
        </w:rPr>
        <w:t>Fixes:</w:t>
      </w:r>
    </w:p>
    <w:p w14:paraId="BF655E00">
      <w:pPr>
        <w:pStyle w:val="style48"/>
        <w:spacing w:after="20"/>
        <w:rPr/>
      </w:pPr>
      <w:r>
        <w:rPr>
          <w:rFonts w:ascii="Calibri" w:eastAsia="Calibri" w:hAnsi="Calibri"/>
          <w:b w:val="false"/>
          <w:i w:val="false"/>
          <w:sz w:val="20"/>
        </w:rPr>
        <w:t>Hard-code the standard DES tables from FIPS 46-3 and unit-test each permutation against known test vectors (NIST).</w:t>
      </w:r>
    </w:p>
    <w:p w14:paraId="77B00C7A">
      <w:pPr>
        <w:pStyle w:val="style48"/>
        <w:spacing w:after="20"/>
        <w:rPr/>
      </w:pPr>
      <w:r>
        <w:rPr>
          <w:rFonts w:ascii="Calibri" w:eastAsia="Calibri" w:hAnsi="Calibri"/>
          <w:b w:val="false"/>
          <w:i w:val="false"/>
          <w:sz w:val="20"/>
        </w:rPr>
        <w:t>Generate subkeys once into an immutable tuple of 16 × 48-bit values; never mutate the original key.</w:t>
      </w:r>
    </w:p>
    <w:p w14:paraId="23F20111">
      <w:pPr>
        <w:pStyle w:val="style48"/>
        <w:spacing w:after="20"/>
        <w:rPr/>
      </w:pPr>
      <w:r>
        <w:rPr>
          <w:rFonts w:ascii="Calibri" w:eastAsia="Calibri" w:hAnsi="Calibri"/>
          <w:b w:val="false"/>
          <w:i w:val="false"/>
          <w:sz w:val="20"/>
        </w:rPr>
        <w:t>Use pure functions for Feistel round (no global state).</w:t>
      </w:r>
    </w:p>
    <w:p w14:paraId="F34F8C1D">
      <w:pPr>
        <w:pStyle w:val="style48"/>
        <w:spacing w:after="20"/>
        <w:rPr/>
      </w:pPr>
      <w:r>
        <w:rPr>
          <w:rFonts w:ascii="Calibri" w:eastAsia="Calibri" w:hAnsi="Calibri"/>
          <w:b w:val="false"/>
          <w:i w:val="false"/>
          <w:sz w:val="20"/>
        </w:rPr>
        <w:t>For 3DES (EDE2 / EDE3) ensure the three keys are applied in the correct Encrypt-Decrypt-Encrypt order and that intermediate results are not truncated.</w:t>
      </w:r>
    </w:p>
    <w:p w14:paraId="A18E71B9">
      <w:pPr>
        <w:pStyle w:val="style0"/>
        <w:spacing w:before="120" w:after="60"/>
        <w:rPr/>
      </w:pPr>
      <w:r>
        <w:rPr>
          <w:rFonts w:ascii="Calibri" w:eastAsia="Calibri" w:hAnsi="Calibri"/>
          <w:b/>
          <w:i w:val="false"/>
          <w:color w:val="006699"/>
          <w:sz w:val="22"/>
        </w:rPr>
        <w:t>B. Optimising for Large Inputs (≥ 10 MB)</w:t>
      </w:r>
    </w:p>
    <w:p w14:paraId="CD809F99">
      <w:pPr>
        <w:pStyle w:val="style48"/>
        <w:spacing w:after="20"/>
        <w:rPr/>
      </w:pPr>
      <w:r>
        <w:rPr>
          <w:rFonts w:ascii="Calibri" w:eastAsia="Calibri" w:hAnsi="Calibri"/>
          <w:b w:val="false"/>
          <w:i w:val="false"/>
          <w:sz w:val="20"/>
        </w:rPr>
        <w:t>Replace pure-Python bit manipulation with the cryptography or PyCryptoDome library (C-accelerated).</w:t>
      </w:r>
    </w:p>
    <w:p w14:paraId="BD02BF81">
      <w:pPr>
        <w:pStyle w:val="style48"/>
        <w:spacing w:after="20"/>
        <w:rPr/>
      </w:pPr>
      <w:r>
        <w:rPr>
          <w:rFonts w:ascii="Calibri" w:eastAsia="Calibri" w:hAnsi="Calibri"/>
          <w:b w:val="false"/>
          <w:i w:val="false"/>
          <w:sz w:val="20"/>
        </w:rPr>
        <w:t>Process data in 64-bit (or 8-byte) chunks using bytearray / memoryview to avoid repeated list allocations.</w:t>
      </w:r>
    </w:p>
    <w:p w14:paraId="7DC28366">
      <w:pPr>
        <w:pStyle w:val="style48"/>
        <w:spacing w:after="20"/>
        <w:rPr/>
      </w:pPr>
      <w:r>
        <w:rPr>
          <w:rFonts w:ascii="Calibri" w:eastAsia="Calibri" w:hAnsi="Calibri"/>
          <w:b w:val="false"/>
          <w:i w:val="false"/>
          <w:sz w:val="20"/>
        </w:rPr>
        <w:t>Pre-compute all 16 subkeys once; never recompute them per block.</w:t>
      </w:r>
    </w:p>
    <w:p w14:paraId="6DA5A83E">
      <w:pPr>
        <w:pStyle w:val="style48"/>
        <w:spacing w:after="20"/>
        <w:rPr/>
      </w:pPr>
      <w:r>
        <w:rPr>
          <w:rFonts w:ascii="Calibri" w:eastAsia="Calibri" w:hAnsi="Calibri"/>
          <w:b w:val="false"/>
          <w:i w:val="false"/>
          <w:sz w:val="20"/>
        </w:rPr>
        <w:t>Use multiprocessing or concurrent.futures only for independent ECB blocks (CBC cannot be parallelised easily).</w:t>
      </w:r>
    </w:p>
    <w:p w14:paraId="1DB1F13D">
      <w:pPr>
        <w:pStyle w:val="style48"/>
        <w:spacing w:after="20"/>
        <w:rPr/>
      </w:pPr>
      <w:r>
        <w:rPr>
          <w:rFonts w:ascii="Calibri" w:eastAsia="Calibri" w:hAnsi="Calibri"/>
          <w:b w:val="false"/>
          <w:i w:val="false"/>
          <w:sz w:val="20"/>
        </w:rPr>
        <w:t>Avoid string concatenation; write ciphertext directly into a pre-allocated bytearray.</w:t>
      </w:r>
    </w:p>
    <w:p w14:paraId="0E9EC67C">
      <w:pPr>
        <w:pStyle w:val="style48"/>
        <w:spacing w:after="20"/>
        <w:rPr/>
      </w:pPr>
      <w:r>
        <w:rPr>
          <w:rFonts w:ascii="Calibri" w:eastAsia="Calibri" w:hAnsi="Calibri"/>
          <w:b w:val="false"/>
          <w:i w:val="false"/>
          <w:sz w:val="20"/>
        </w:rPr>
        <w:t>For 3DES, prefer EDE2 (two keys) when policy allows, halving the third encryption pass.</w:t>
      </w:r>
    </w:p>
    <w:p w14:paraId="55DAE0B1">
      <w:pPr>
        <w:pStyle w:val="style0"/>
        <w:spacing w:before="120" w:after="60"/>
        <w:rPr/>
      </w:pPr>
      <w:r>
        <w:rPr>
          <w:rFonts w:ascii="Calibri" w:eastAsia="Calibri" w:hAnsi="Calibri"/>
          <w:b/>
          <w:i w:val="false"/>
          <w:color w:val="006699"/>
          <w:sz w:val="22"/>
        </w:rPr>
        <w:t>C. Replacing DES/3DES with a Modern Cipher</w:t>
      </w:r>
    </w:p>
    <w:p w14:paraId="E3D753A0">
      <w:pPr>
        <w:pStyle w:val="style0"/>
        <w:spacing w:after="40"/>
        <w:rPr/>
      </w:pPr>
      <w:r>
        <w:rPr>
          <w:rFonts w:ascii="Calibri" w:eastAsia="Calibri" w:hAnsi="Calibri"/>
          <w:b w:val="false"/>
          <w:i w:val="false"/>
          <w:sz w:val="20"/>
        </w:rPr>
        <w:t>Yes – replacing DES/3DES with AES-128/256 (preferably in GCM or CTR mode) improves both security and performance:</w:t>
      </w:r>
    </w:p>
    <w:p w14:paraId="3611C3E2">
      <w:pPr>
        <w:pStyle w:val="style48"/>
        <w:spacing w:after="20"/>
        <w:rPr/>
      </w:pPr>
      <w:r>
        <w:rPr>
          <w:rFonts w:ascii="Calibri" w:eastAsia="Calibri" w:hAnsi="Calibri"/>
          <w:b w:val="false"/>
          <w:i w:val="false"/>
          <w:sz w:val="20"/>
        </w:rPr>
        <w:t>Security: DES (56-bit) is broken; 3DES is deprecated by NIST. AES remains unbroken and is the de-facto standard.</w:t>
      </w:r>
    </w:p>
    <w:p w14:paraId="5F308192">
      <w:pPr>
        <w:pStyle w:val="style48"/>
        <w:spacing w:after="20"/>
        <w:rPr/>
      </w:pPr>
      <w:r>
        <w:rPr>
          <w:rFonts w:ascii="Calibri" w:eastAsia="Calibri" w:hAnsi="Calibri"/>
          <w:b w:val="false"/>
          <w:i w:val="false"/>
          <w:sz w:val="20"/>
        </w:rPr>
        <w:t>Performance: AES benefits from AES-NI hardware instructions on virtually all modern CPUs, delivering multi-GB/s throughput. 3DES is typically 3–5× slower.</w:t>
      </w:r>
    </w:p>
    <w:p w14:paraId="1870B100">
      <w:pPr>
        <w:pStyle w:val="style48"/>
        <w:spacing w:after="20"/>
        <w:rPr/>
      </w:pPr>
      <w:r>
        <w:rPr>
          <w:rFonts w:ascii="Calibri" w:eastAsia="Calibri" w:hAnsi="Calibri"/>
          <w:b w:val="false"/>
          <w:i w:val="false"/>
          <w:sz w:val="20"/>
        </w:rPr>
        <w:t>Block size: AES uses 128-bit blocks, eliminating many birthday-bound and padding-oracle issues inherent in 64-bit ciphers.</w:t>
      </w:r>
    </w:p>
    <w:p w14:paraId="C30D32A0">
      <w:pPr>
        <w:pStyle w:val="style48"/>
        <w:spacing w:after="20"/>
        <w:rPr/>
      </w:pPr>
      <w:r>
        <w:rPr>
          <w:rFonts w:ascii="Calibri" w:eastAsia="Calibri" w:hAnsi="Calibri"/>
          <w:b w:val="false"/>
          <w:i w:val="false"/>
          <w:sz w:val="20"/>
        </w:rPr>
        <w:t>Code simplicity: Using a well-audited library (cryptography, OpenSSL) removes the entire class of table and scheduling bugs that pure-Python DES implementations suffer from.</w:t>
      </w:r>
    </w:p>
    <w:p w14:paraId="A3A97144">
      <w:pPr>
        <w:pStyle w:val="style0"/>
        <w:spacing w:after="160"/>
        <w:rPr/>
      </w:pPr>
    </w:p>
    <w:p w14:paraId="20C819EB">
      <w:pPr>
        <w:pStyle w:val="style0"/>
        <w:spacing w:before="80" w:after="80"/>
        <w:rPr/>
      </w:pPr>
      <w:r>
        <w:rPr>
          <w:rFonts w:ascii="Calibri" w:eastAsia="Calibri" w:hAnsi="Calibri"/>
          <w:b/>
          <w:i w:val="false"/>
          <w:color w:val="1f4e79"/>
          <w:sz w:val="24"/>
        </w:rPr>
        <w:t>2. Performance Analysis of Block Cipher Modes of Operation</w:t>
      </w:r>
    </w:p>
    <w:p w14:paraId="0EEACDFA">
      <w:pPr>
        <w:pStyle w:val="style0"/>
        <w:spacing w:after="120"/>
        <w:rPr/>
      </w:pPr>
      <w:r>
        <w:rPr>
          <w:rFonts w:ascii="Calibri" w:eastAsia="Calibri" w:hAnsi="Calibri"/>
          <w:b w:val="false"/>
          <w:i/>
          <w:color w:val="464646"/>
          <w:sz w:val="18"/>
        </w:rPr>
        <w:t>Scenario: A Python script implements AES-like modes (ECB, CBC, CFB, OFB) but suffers from high latency and memory inefficiency.</w:t>
      </w:r>
    </w:p>
    <w:p w14:paraId="90967E84">
      <w:pPr>
        <w:pStyle w:val="style0"/>
        <w:spacing w:after="60"/>
        <w:rPr/>
      </w:pPr>
      <w:r>
        <w:rPr>
          <w:rFonts w:ascii="Calibri" w:eastAsia="Calibri" w:hAnsi="Calibri"/>
          <w:b/>
          <w:i w:val="false"/>
          <w:color w:val="006699"/>
          <w:sz w:val="22"/>
        </w:rPr>
        <w:t>A. Debugging Padding &amp; IV Handling</w:t>
      </w:r>
    </w:p>
    <w:p w14:paraId="F7753C5A">
      <w:pPr>
        <w:pStyle w:val="style48"/>
        <w:spacing w:after="20"/>
        <w:rPr/>
      </w:pPr>
      <w:r>
        <w:rPr>
          <w:rFonts w:ascii="Calibri" w:eastAsia="Calibri" w:hAnsi="Calibri"/>
          <w:b/>
          <w:i w:val="false"/>
          <w:sz w:val="20"/>
        </w:rPr>
        <w:t xml:space="preserve">Incorrect PKCS#7 padding: </w:t>
      </w:r>
      <w:r>
        <w:rPr>
          <w:rFonts w:ascii="Calibri" w:eastAsia="Calibri" w:hAnsi="Calibri"/>
          <w:b w:val="false"/>
          <w:i w:val="false"/>
          <w:sz w:val="20"/>
        </w:rPr>
        <w:t>Padding length must equal the number of bytes added (1–16). Many implementations forget to strip the padding correctly on decryption or use a fixed pad byte.</w:t>
      </w:r>
    </w:p>
    <w:p w14:paraId="DDDECEC9">
      <w:pPr>
        <w:pStyle w:val="style48"/>
        <w:spacing w:after="20"/>
        <w:rPr/>
      </w:pPr>
      <w:r>
        <w:rPr>
          <w:rFonts w:ascii="Calibri" w:eastAsia="Calibri" w:hAnsi="Calibri"/>
          <w:b/>
          <w:i w:val="false"/>
          <w:sz w:val="20"/>
        </w:rPr>
        <w:t xml:space="preserve">IV reuse or fixed IV: </w:t>
      </w:r>
      <w:r>
        <w:rPr>
          <w:rFonts w:ascii="Calibri" w:eastAsia="Calibri" w:hAnsi="Calibri"/>
          <w:b w:val="false"/>
          <w:i w:val="false"/>
          <w:sz w:val="20"/>
        </w:rPr>
        <w:t>CBC/CFB/OFB require a unique, unpredictable IV per message. A constant IV turns CBC into a deterministic cipher and leaks plaintext equality.</w:t>
      </w:r>
    </w:p>
    <w:p w14:paraId="0E87B16A">
      <w:pPr>
        <w:pStyle w:val="style48"/>
        <w:spacing w:after="20"/>
        <w:rPr/>
      </w:pPr>
      <w:r>
        <w:rPr>
          <w:rFonts w:ascii="Calibri" w:eastAsia="Calibri" w:hAnsi="Calibri"/>
          <w:b/>
          <w:i w:val="false"/>
          <w:sz w:val="20"/>
        </w:rPr>
        <w:t xml:space="preserve">IV not transmitted or stored: </w:t>
      </w:r>
      <w:r>
        <w:rPr>
          <w:rFonts w:ascii="Calibri" w:eastAsia="Calibri" w:hAnsi="Calibri"/>
          <w:b w:val="false"/>
          <w:i w:val="false"/>
          <w:sz w:val="20"/>
        </w:rPr>
        <w:t>The IV must be sent (in the clear) with the ciphertext; omitting it makes correct decryption impossible.</w:t>
      </w:r>
    </w:p>
    <w:p w14:paraId="7BB66D2F">
      <w:pPr>
        <w:pStyle w:val="style48"/>
        <w:spacing w:after="20"/>
        <w:rPr/>
      </w:pPr>
      <w:r>
        <w:rPr>
          <w:rFonts w:ascii="Calibri" w:eastAsia="Calibri" w:hAnsi="Calibri"/>
          <w:b/>
          <w:i w:val="false"/>
          <w:sz w:val="20"/>
        </w:rPr>
        <w:t xml:space="preserve">Off-by-one block handling: </w:t>
      </w:r>
      <w:r>
        <w:rPr>
          <w:rFonts w:ascii="Calibri" w:eastAsia="Calibri" w:hAnsi="Calibri"/>
          <w:b w:val="false"/>
          <w:i w:val="false"/>
          <w:sz w:val="20"/>
        </w:rPr>
        <w:t>When the final block is exactly the block size, PKCS#7 still adds a full extra block of 0x10 bytes; failing to handle this causes truncation or padding errors.</w:t>
      </w:r>
    </w:p>
    <w:p w14:paraId="5131EAFA">
      <w:pPr>
        <w:pStyle w:val="style0"/>
        <w:spacing w:before="100" w:after="60"/>
        <w:rPr/>
      </w:pPr>
      <w:r>
        <w:rPr>
          <w:rFonts w:ascii="Calibri" w:eastAsia="Calibri" w:hAnsi="Calibri"/>
          <w:b/>
          <w:i w:val="false"/>
          <w:color w:val="006699"/>
          <w:sz w:val="22"/>
        </w:rPr>
        <w:t>B. Refactoring for Speed &amp; Memory</w:t>
      </w:r>
    </w:p>
    <w:p w14:paraId="D068E0C8">
      <w:pPr>
        <w:pStyle w:val="style48"/>
        <w:spacing w:after="20"/>
        <w:rPr/>
      </w:pPr>
      <w:r>
        <w:rPr>
          <w:rFonts w:ascii="Calibri" w:eastAsia="Calibri" w:hAnsi="Calibri"/>
          <w:b w:val="false"/>
          <w:i w:val="false"/>
          <w:sz w:val="20"/>
        </w:rPr>
        <w:t>Use a single pre-allocated output buffer instead of concatenating strings or lists of blocks.</w:t>
      </w:r>
    </w:p>
    <w:p w14:paraId="D7EC0014">
      <w:pPr>
        <w:pStyle w:val="style48"/>
        <w:spacing w:after="20"/>
        <w:rPr/>
      </w:pPr>
      <w:r>
        <w:rPr>
          <w:rFonts w:ascii="Calibri" w:eastAsia="Calibri" w:hAnsi="Calibri"/>
          <w:b w:val="false"/>
          <w:i w:val="false"/>
          <w:sz w:val="20"/>
        </w:rPr>
        <w:t>Replace recursive or repeated list slicing with index arithmetic and memoryview.</w:t>
      </w:r>
    </w:p>
    <w:p w14:paraId="ED017302">
      <w:pPr>
        <w:pStyle w:val="style48"/>
        <w:spacing w:after="20"/>
        <w:rPr/>
      </w:pPr>
      <w:r>
        <w:rPr>
          <w:rFonts w:ascii="Calibri" w:eastAsia="Calibri" w:hAnsi="Calibri"/>
          <w:b w:val="false"/>
          <w:i w:val="false"/>
          <w:sz w:val="20"/>
        </w:rPr>
        <w:t>Cache the expanded round keys once; never expand them inside the per-block loop.</w:t>
      </w:r>
    </w:p>
    <w:p w14:paraId="2F33BA60">
      <w:pPr>
        <w:pStyle w:val="style48"/>
        <w:spacing w:after="20"/>
        <w:rPr/>
      </w:pPr>
      <w:r>
        <w:rPr>
          <w:rFonts w:ascii="Calibri" w:eastAsia="Calibri" w:hAnsi="Calibri"/>
          <w:b w:val="false"/>
          <w:i w:val="false"/>
          <w:sz w:val="20"/>
        </w:rPr>
        <w:t>For CFB/OFB, maintain a single shift-register state instead of re-encrypting the entire history.</w:t>
      </w:r>
    </w:p>
    <w:p w14:paraId="8897F9FD">
      <w:pPr>
        <w:pStyle w:val="style48"/>
        <w:spacing w:after="20"/>
        <w:rPr/>
      </w:pPr>
      <w:r>
        <w:rPr>
          <w:rFonts w:ascii="Calibri" w:eastAsia="Calibri" w:hAnsi="Calibri"/>
          <w:b w:val="false"/>
          <w:i w:val="false"/>
          <w:sz w:val="20"/>
        </w:rPr>
        <w:t>Prefer the cryptography library’s Cipher context which streams data and avoids intermediate Python objects.</w:t>
      </w:r>
    </w:p>
    <w:p w14:paraId="9641A407">
      <w:pPr>
        <w:pStyle w:val="style0"/>
        <w:spacing w:before="100" w:after="60"/>
        <w:rPr/>
      </w:pPr>
      <w:r>
        <w:rPr>
          <w:rFonts w:ascii="Calibri" w:eastAsia="Calibri" w:hAnsi="Calibri"/>
          <w:b/>
          <w:i w:val="false"/>
          <w:color w:val="006699"/>
          <w:sz w:val="22"/>
        </w:rPr>
        <w:t>C. Most Efficient Mode for Real-Time Secure Communication</w:t>
      </w:r>
    </w:p>
    <w:p w14:paraId="EB86A224">
      <w:pPr>
        <w:pStyle w:val="style0"/>
        <w:spacing w:after="40"/>
        <w:rPr/>
      </w:pPr>
      <w:r>
        <w:rPr>
          <w:rFonts w:ascii="Calibri" w:eastAsia="Calibri" w:hAnsi="Calibri"/>
          <w:b w:val="false"/>
          <w:i w:val="false"/>
          <w:sz w:val="20"/>
        </w:rPr>
        <w:t>For real-time interactive traffic the best practical choice is AES-GCM (or AES-CTR + Poly1305). Among the classic modes listed:</w:t>
      </w:r>
    </w:p>
    <w:p w14:paraId="E3AC617A">
      <w:pPr>
        <w:pStyle w:val="style48"/>
        <w:spacing w:after="20"/>
        <w:rPr/>
      </w:pPr>
      <w:r>
        <w:rPr>
          <w:rFonts w:ascii="Calibri" w:eastAsia="Calibri" w:hAnsi="Calibri"/>
          <w:b/>
          <w:i w:val="false"/>
          <w:sz w:val="20"/>
        </w:rPr>
        <w:t xml:space="preserve">CTR / OFB: </w:t>
      </w:r>
      <w:r>
        <w:rPr>
          <w:rFonts w:ascii="Calibri" w:eastAsia="Calibri" w:hAnsi="Calibri"/>
          <w:b w:val="false"/>
          <w:i w:val="false"/>
          <w:sz w:val="20"/>
        </w:rPr>
        <w:t>Fully parallelisable and can pre-compute the keystream → lowest latency once the keystream is ready.</w:t>
      </w:r>
    </w:p>
    <w:p w14:paraId="4AC6EED5">
      <w:pPr>
        <w:pStyle w:val="style48"/>
        <w:spacing w:after="20"/>
        <w:rPr/>
      </w:pPr>
      <w:r>
        <w:rPr>
          <w:rFonts w:ascii="Calibri" w:eastAsia="Calibri" w:hAnsi="Calibri"/>
          <w:b/>
          <w:i w:val="false"/>
          <w:sz w:val="20"/>
        </w:rPr>
        <w:t xml:space="preserve">CFB: </w:t>
      </w:r>
      <w:r>
        <w:rPr>
          <w:rFonts w:ascii="Calibri" w:eastAsia="Calibri" w:hAnsi="Calibri"/>
          <w:b w:val="false"/>
          <w:i w:val="false"/>
          <w:sz w:val="20"/>
        </w:rPr>
        <w:t>Serial, but can operate on sub-block sizes; useful for character-oriented streams.</w:t>
      </w:r>
    </w:p>
    <w:p w14:paraId="7ED6B8DB">
      <w:pPr>
        <w:pStyle w:val="style48"/>
        <w:spacing w:after="20"/>
        <w:rPr/>
      </w:pPr>
      <w:r>
        <w:rPr>
          <w:rFonts w:ascii="Calibri" w:eastAsia="Calibri" w:hAnsi="Calibri"/>
          <w:b/>
          <w:i w:val="false"/>
          <w:sz w:val="20"/>
        </w:rPr>
        <w:t xml:space="preserve">CBC: </w:t>
      </w:r>
      <w:r>
        <w:rPr>
          <w:rFonts w:ascii="Calibri" w:eastAsia="Calibri" w:hAnsi="Calibri"/>
          <w:b w:val="false"/>
          <w:i w:val="false"/>
          <w:sz w:val="20"/>
        </w:rPr>
        <w:t>Serial encryption (cannot parallelise encryption); still excellent when hardware AES-NI is present.</w:t>
      </w:r>
    </w:p>
    <w:p w14:paraId="7127B2E0">
      <w:pPr>
        <w:pStyle w:val="style48"/>
        <w:spacing w:after="20"/>
        <w:rPr/>
      </w:pPr>
      <w:r>
        <w:rPr>
          <w:rFonts w:ascii="Calibri" w:eastAsia="Calibri" w:hAnsi="Calibri"/>
          <w:b/>
          <w:i w:val="false"/>
          <w:sz w:val="20"/>
        </w:rPr>
        <w:t xml:space="preserve">ECB: </w:t>
      </w:r>
      <w:r>
        <w:rPr>
          <w:rFonts w:ascii="Calibri" w:eastAsia="Calibri" w:hAnsi="Calibri"/>
          <w:b w:val="false"/>
          <w:i w:val="false"/>
          <w:sz w:val="20"/>
        </w:rPr>
        <w:t>Fastest but insecure for almost all real data; never use for confidentiality.</w:t>
      </w:r>
    </w:p>
    <w:p w14:paraId="31787A3D">
      <w:pPr>
        <w:pStyle w:val="style0"/>
        <w:spacing w:after="160"/>
        <w:rPr/>
      </w:pPr>
      <w:r>
        <w:rPr>
          <w:rFonts w:ascii="Calibri" w:eastAsia="Calibri" w:hAnsi="Calibri"/>
          <w:b w:val="false"/>
          <w:i/>
          <w:sz w:val="20"/>
        </w:rPr>
        <w:t>Recommendation: Adopt AES-GCM. It provides both confidentiality and integrity, is fully parallelisable, and is the mode mandated by modern protocols (TLS 1.3, IPsec, SSH).</w:t>
      </w:r>
    </w:p>
    <w:p w14:paraId="EF643A34">
      <w:pPr>
        <w:pStyle w:val="style0"/>
        <w:spacing w:before="80" w:after="80"/>
        <w:rPr/>
      </w:pPr>
      <w:r>
        <w:rPr>
          <w:rFonts w:ascii="Calibri" w:eastAsia="Calibri" w:hAnsi="Calibri"/>
          <w:b/>
          <w:i w:val="false"/>
          <w:color w:val="1f4e79"/>
          <w:sz w:val="24"/>
        </w:rPr>
        <w:t>3. Debugging RSA Cryptosystem Implementation</w:t>
      </w:r>
    </w:p>
    <w:p w14:paraId="941B267A">
      <w:pPr>
        <w:pStyle w:val="style0"/>
        <w:spacing w:after="120"/>
        <w:rPr/>
      </w:pPr>
      <w:r>
        <w:rPr>
          <w:rFonts w:ascii="Calibri" w:eastAsia="Calibri" w:hAnsi="Calibri"/>
          <w:b w:val="false"/>
          <w:i/>
          <w:color w:val="464646"/>
          <w:sz w:val="18"/>
        </w:rPr>
        <w:t>Scenario: A Python-based RSA system fails on large messages and occasionally returns incorrect plaintext.</w:t>
      </w:r>
    </w:p>
    <w:p w14:paraId="A6127BBC">
      <w:pPr>
        <w:pStyle w:val="style0"/>
        <w:spacing w:after="60"/>
        <w:rPr/>
      </w:pPr>
      <w:r>
        <w:rPr>
          <w:rFonts w:ascii="Calibri" w:eastAsia="Calibri" w:hAnsi="Calibri"/>
          <w:b/>
          <w:i w:val="false"/>
          <w:color w:val="006699"/>
          <w:sz w:val="22"/>
        </w:rPr>
        <w:t>A. Issues in Prime Generation, Key Generation &amp; Modular Exponentiation</w:t>
      </w:r>
    </w:p>
    <w:p w14:paraId="431BB6AE">
      <w:pPr>
        <w:pStyle w:val="style48"/>
        <w:spacing w:after="20"/>
        <w:rPr/>
      </w:pPr>
      <w:r>
        <w:rPr>
          <w:rFonts w:ascii="Calibri" w:eastAsia="Calibri" w:hAnsi="Calibri"/>
          <w:b/>
          <w:i w:val="false"/>
          <w:sz w:val="20"/>
        </w:rPr>
        <w:t xml:space="preserve">Weak or deterministic primes: </w:t>
      </w:r>
      <w:r>
        <w:rPr>
          <w:rFonts w:ascii="Calibri" w:eastAsia="Calibri" w:hAnsi="Calibri"/>
          <w:b w:val="false"/>
          <w:i w:val="false"/>
          <w:sz w:val="20"/>
        </w:rPr>
        <w:t>Using random.randint without a proper primality test (Miller-Rabin) or seeding the PRNG with a fixed value produces composite or repeated primes.</w:t>
      </w:r>
    </w:p>
    <w:p w14:paraId="CDA464BB">
      <w:pPr>
        <w:pStyle w:val="style48"/>
        <w:spacing w:after="20"/>
        <w:rPr/>
      </w:pPr>
      <w:r>
        <w:rPr>
          <w:rFonts w:ascii="Calibri" w:eastAsia="Calibri" w:hAnsi="Calibri"/>
          <w:b/>
          <w:i w:val="false"/>
          <w:sz w:val="20"/>
        </w:rPr>
        <w:t xml:space="preserve">φ(n) calculation errors: </w:t>
      </w:r>
      <w:r>
        <w:rPr>
          <w:rFonts w:ascii="Calibri" w:eastAsia="Calibri" w:hAnsi="Calibri"/>
          <w:b w:val="false"/>
          <w:i w:val="false"/>
          <w:sz w:val="20"/>
        </w:rPr>
        <w:t>Forgetting that φ(n) = (p-1)(q-1) or using n-1 instead leads to an incorrect private exponent d.</w:t>
      </w:r>
    </w:p>
    <w:p w14:paraId="4CF6CB83">
      <w:pPr>
        <w:pStyle w:val="style48"/>
        <w:spacing w:after="20"/>
        <w:rPr/>
      </w:pPr>
      <w:r>
        <w:rPr>
          <w:rFonts w:ascii="Calibri" w:eastAsia="Calibri" w:hAnsi="Calibri"/>
          <w:b/>
          <w:i w:val="false"/>
          <w:sz w:val="20"/>
        </w:rPr>
        <w:t xml:space="preserve">No modular inverse check: </w:t>
      </w:r>
      <w:r>
        <w:rPr>
          <w:rFonts w:ascii="Calibri" w:eastAsia="Calibri" w:hAnsi="Calibri"/>
          <w:b w:val="false"/>
          <w:i w:val="false"/>
          <w:sz w:val="20"/>
        </w:rPr>
        <w:t>d must satisfy e·d ≡ 1 (mod φ(n)). If gcd(e, φ(n)) ≠ 1 the inverse does not exist.</w:t>
      </w:r>
    </w:p>
    <w:p w14:paraId="C086E828">
      <w:pPr>
        <w:pStyle w:val="style48"/>
        <w:spacing w:after="20"/>
        <w:rPr/>
      </w:pPr>
      <w:r>
        <w:rPr>
          <w:rFonts w:ascii="Calibri" w:eastAsia="Calibri" w:hAnsi="Calibri"/>
          <w:b/>
          <w:i w:val="false"/>
          <w:sz w:val="20"/>
        </w:rPr>
        <w:t xml:space="preserve">Message larger than modulus: </w:t>
      </w:r>
      <w:r>
        <w:rPr>
          <w:rFonts w:ascii="Calibri" w:eastAsia="Calibri" w:hAnsi="Calibri"/>
          <w:b w:val="false"/>
          <w:i w:val="false"/>
          <w:sz w:val="20"/>
        </w:rPr>
        <w:t>RSA can only encrypt integers &lt; n. Large messages must be split or (better) hybrid-encrypted with a symmetric cipher.</w:t>
      </w:r>
    </w:p>
    <w:p w14:paraId="EED96099">
      <w:pPr>
        <w:pStyle w:val="style48"/>
        <w:spacing w:after="20"/>
        <w:rPr/>
      </w:pPr>
      <w:r>
        <w:rPr>
          <w:rFonts w:ascii="Calibri" w:eastAsia="Calibri" w:hAnsi="Calibri"/>
          <w:b/>
          <w:i w:val="false"/>
          <w:sz w:val="20"/>
        </w:rPr>
        <w:t xml:space="preserve">Naive pow(base, exp) without mod: </w:t>
      </w:r>
      <w:r>
        <w:rPr>
          <w:rFonts w:ascii="Calibri" w:eastAsia="Calibri" w:hAnsi="Calibri"/>
          <w:b w:val="false"/>
          <w:i w:val="false"/>
          <w:sz w:val="20"/>
        </w:rPr>
        <w:t>Python’s built-in pow(base, exp, mod) is essential; omitting the modulus causes integer explosion and wrong results.</w:t>
      </w:r>
    </w:p>
    <w:p w14:paraId="6A001B87">
      <w:pPr>
        <w:pStyle w:val="style48"/>
        <w:spacing w:after="20"/>
        <w:rPr/>
      </w:pPr>
      <w:r>
        <w:rPr>
          <w:rFonts w:ascii="Calibri" w:eastAsia="Calibri" w:hAnsi="Calibri"/>
          <w:b/>
          <w:i w:val="false"/>
          <w:sz w:val="20"/>
        </w:rPr>
        <w:t xml:space="preserve">Side-channel or timing leakage: </w:t>
      </w:r>
      <w:r>
        <w:rPr>
          <w:rFonts w:ascii="Calibri" w:eastAsia="Calibri" w:hAnsi="Calibri"/>
          <w:b w:val="false"/>
          <w:i w:val="false"/>
          <w:sz w:val="20"/>
        </w:rPr>
        <w:t>Variable-time modular exponentiation can leak the private key.</w:t>
      </w:r>
    </w:p>
    <w:p w14:paraId="CB769CED">
      <w:pPr>
        <w:pStyle w:val="style0"/>
        <w:spacing w:before="100" w:after="60"/>
        <w:rPr/>
      </w:pPr>
      <w:r>
        <w:rPr>
          <w:rFonts w:ascii="Calibri" w:eastAsia="Calibri" w:hAnsi="Calibri"/>
          <w:b/>
          <w:i w:val="false"/>
          <w:color w:val="006699"/>
          <w:sz w:val="22"/>
        </w:rPr>
        <w:t>B. Optimisations – Fast Exponentiation &amp; CRT</w:t>
      </w:r>
    </w:p>
    <w:p w14:paraId="7DDAD152">
      <w:pPr>
        <w:pStyle w:val="style48"/>
        <w:spacing w:after="20"/>
        <w:rPr/>
      </w:pPr>
      <w:r>
        <w:rPr>
          <w:rFonts w:ascii="Calibri" w:eastAsia="Calibri" w:hAnsi="Calibri"/>
          <w:b w:val="false"/>
          <w:i w:val="false"/>
          <w:sz w:val="20"/>
        </w:rPr>
        <w:t>Always use Python’s three-argument pow(m, e, n) – it implements binary exponentiation (square-and-multiply) in C.</w:t>
      </w:r>
    </w:p>
    <w:p w14:paraId="F65F350C">
      <w:pPr>
        <w:pStyle w:val="style48"/>
        <w:spacing w:after="20"/>
        <w:rPr/>
      </w:pPr>
      <w:r>
        <w:rPr>
          <w:rFonts w:ascii="Calibri" w:eastAsia="Calibri" w:hAnsi="Calibri"/>
          <w:b w:val="false"/>
          <w:i w:val="false"/>
          <w:sz w:val="20"/>
        </w:rPr>
        <w:t>Chinese Remainder Theorem (CRT) decryption: compute m_p = c^{d_p} mod p and m_q = c^{d_q} mod q, then combine with Garner’s formula. This yields a 3–4× speed-up for private-key operations.</w:t>
      </w:r>
    </w:p>
    <w:p w14:paraId="695DF73E">
      <w:pPr>
        <w:pStyle w:val="style48"/>
        <w:spacing w:after="20"/>
        <w:rPr/>
      </w:pPr>
      <w:r>
        <w:rPr>
          <w:rFonts w:ascii="Calibri" w:eastAsia="Calibri" w:hAnsi="Calibri"/>
          <w:b w:val="false"/>
          <w:i w:val="false"/>
          <w:sz w:val="20"/>
        </w:rPr>
        <w:t>Pre-compute d_p = d mod (p-1), d_q = d mod (q-1) and the CRT coefficient q_inv = q⁻¹ mod p once at key-generation time.</w:t>
      </w:r>
    </w:p>
    <w:p w14:paraId="00DBAEEC">
      <w:pPr>
        <w:pStyle w:val="style48"/>
        <w:spacing w:after="20"/>
        <w:rPr/>
      </w:pPr>
      <w:r>
        <w:rPr>
          <w:rFonts w:ascii="Calibri" w:eastAsia="Calibri" w:hAnsi="Calibri"/>
          <w:b w:val="false"/>
          <w:i w:val="false"/>
          <w:sz w:val="20"/>
        </w:rPr>
        <w:t>Use a cryptographically secure PRNG (secrets module or os.urandom) and a sufficient number of Miller-Rabin rounds (at least 40 for 1024-bit primes).</w:t>
      </w:r>
    </w:p>
    <w:p w14:paraId="B83B0479">
      <w:pPr>
        <w:pStyle w:val="style48"/>
        <w:spacing w:after="20"/>
        <w:rPr/>
      </w:pPr>
      <w:r>
        <w:rPr>
          <w:rFonts w:ascii="Calibri" w:eastAsia="Calibri" w:hAnsi="Calibri"/>
          <w:b w:val="false"/>
          <w:i w:val="false"/>
          <w:sz w:val="20"/>
        </w:rPr>
        <w:t>For large messages switch to hybrid encryption: generate a random AES key, encrypt the payload with AES-GCM, then encrypt only the AES key with RSA-OAEP.</w:t>
      </w:r>
    </w:p>
    <w:p w14:paraId="D33DD27E">
      <w:pPr>
        <w:pStyle w:val="style0"/>
        <w:spacing w:before="100" w:after="60"/>
        <w:rPr/>
      </w:pPr>
      <w:r>
        <w:rPr>
          <w:rFonts w:ascii="Calibri" w:eastAsia="Calibri" w:hAnsi="Calibri"/>
          <w:b/>
          <w:i w:val="false"/>
          <w:color w:val="006699"/>
          <w:sz w:val="22"/>
        </w:rPr>
        <w:t>C. Trade-offs: Key Size vs Security vs Performance</w:t>
      </w:r>
    </w:p>
    <w:tbl>
      <w:tblPr>
        <w:tblStyle w:val="style154"/>
        <w:tblW w:w="0" w:type="auto"/>
        <w:jc w:val="center"/>
        <w:tblLook w:val="04A0" w:firstRow="1" w:lastRow="0" w:firstColumn="1" w:lastColumn="0" w:noHBand="0" w:noVBand="1"/>
      </w:tblPr>
      <w:tblGrid>
        <w:gridCol w:w="2438"/>
        <w:gridCol w:w="2438"/>
        <w:gridCol w:w="2438"/>
        <w:gridCol w:w="2438"/>
      </w:tblGrid>
      <w:tr w14:paraId="5F074FBD">
        <w:trPr>
          <w:jc w:val="center"/>
        </w:trPr>
        <w:tc>
          <w:tcPr>
            <w:tcW w:w="2438" w:type="dxa"/>
            <w:tcBorders/>
            <w:shd w:val="nil" w:color="auto" w:fill="1f4e79"/>
          </w:tcPr>
          <w:p w14:paraId="07BB3E9E">
            <w:pPr>
              <w:pStyle w:val="style0"/>
              <w:jc w:val="center"/>
              <w:rPr/>
            </w:pPr>
            <w:r>
              <w:rPr>
                <w:rFonts w:ascii="Calibri" w:eastAsia="Calibri" w:hAnsi="Calibri"/>
                <w:b/>
                <w:i w:val="false"/>
                <w:color w:val="ffffff"/>
                <w:sz w:val="18"/>
              </w:rPr>
              <w:t>Key size</w:t>
            </w:r>
          </w:p>
        </w:tc>
        <w:tc>
          <w:tcPr>
            <w:tcW w:w="2438" w:type="dxa"/>
            <w:tcBorders/>
            <w:shd w:val="nil" w:color="auto" w:fill="1f4e79"/>
          </w:tcPr>
          <w:p w14:paraId="FCE97099">
            <w:pPr>
              <w:pStyle w:val="style0"/>
              <w:jc w:val="center"/>
              <w:rPr/>
            </w:pPr>
            <w:r>
              <w:rPr>
                <w:rFonts w:ascii="Calibri" w:eastAsia="Calibri" w:hAnsi="Calibri"/>
                <w:b/>
                <w:i w:val="false"/>
                <w:color w:val="ffffff"/>
                <w:sz w:val="18"/>
              </w:rPr>
              <w:t>Security (approx.)</w:t>
            </w:r>
          </w:p>
        </w:tc>
        <w:tc>
          <w:tcPr>
            <w:tcW w:w="2438" w:type="dxa"/>
            <w:tcBorders/>
            <w:shd w:val="nil" w:color="auto" w:fill="1f4e79"/>
          </w:tcPr>
          <w:p w14:paraId="EFB95D2A">
            <w:pPr>
              <w:pStyle w:val="style0"/>
              <w:jc w:val="center"/>
              <w:rPr/>
            </w:pPr>
            <w:r>
              <w:rPr>
                <w:rFonts w:ascii="Calibri" w:eastAsia="Calibri" w:hAnsi="Calibri"/>
                <w:b/>
                <w:i w:val="false"/>
                <w:color w:val="ffffff"/>
                <w:sz w:val="18"/>
              </w:rPr>
              <w:t>Private-key speed</w:t>
            </w:r>
          </w:p>
        </w:tc>
        <w:tc>
          <w:tcPr>
            <w:tcW w:w="2438" w:type="dxa"/>
            <w:tcBorders/>
            <w:shd w:val="nil" w:color="auto" w:fill="1f4e79"/>
          </w:tcPr>
          <w:p w14:paraId="D73FA76B">
            <w:pPr>
              <w:pStyle w:val="style0"/>
              <w:jc w:val="center"/>
              <w:rPr/>
            </w:pPr>
            <w:r>
              <w:rPr>
                <w:rFonts w:ascii="Calibri" w:eastAsia="Calibri" w:hAnsi="Calibri"/>
                <w:b/>
                <w:i w:val="false"/>
                <w:color w:val="ffffff"/>
                <w:sz w:val="18"/>
              </w:rPr>
              <w:t>Recommendation</w:t>
            </w:r>
          </w:p>
        </w:tc>
      </w:tr>
      <w:tr w14:paraId="A23956AB">
        <w:tblPrEx/>
        <w:trPr>
          <w:jc w:val="center"/>
        </w:trPr>
        <w:tc>
          <w:tcPr>
            <w:tcW w:w="2438" w:type="dxa"/>
            <w:tcBorders/>
          </w:tcPr>
          <w:p w14:paraId="E761ACA5">
            <w:pPr>
              <w:pStyle w:val="style0"/>
              <w:rPr/>
            </w:pPr>
            <w:r>
              <w:rPr>
                <w:rFonts w:ascii="Calibri" w:eastAsia="Calibri" w:hAnsi="Calibri"/>
                <w:b w:val="false"/>
                <w:i w:val="false"/>
                <w:sz w:val="16"/>
              </w:rPr>
              <w:t>1024-bit</w:t>
            </w:r>
          </w:p>
        </w:tc>
        <w:tc>
          <w:tcPr>
            <w:tcW w:w="2438" w:type="dxa"/>
            <w:tcBorders/>
          </w:tcPr>
          <w:p w14:paraId="5DDE888C">
            <w:pPr>
              <w:pStyle w:val="style0"/>
              <w:rPr/>
            </w:pPr>
            <w:r>
              <w:rPr>
                <w:rFonts w:ascii="Calibri" w:eastAsia="Calibri" w:hAnsi="Calibri"/>
                <w:b w:val="false"/>
                <w:i w:val="false"/>
                <w:sz w:val="16"/>
              </w:rPr>
              <w:t>Broken / legacy</w:t>
            </w:r>
          </w:p>
        </w:tc>
        <w:tc>
          <w:tcPr>
            <w:tcW w:w="2438" w:type="dxa"/>
            <w:tcBorders/>
          </w:tcPr>
          <w:p w14:paraId="8E217345">
            <w:pPr>
              <w:pStyle w:val="style0"/>
              <w:rPr/>
            </w:pPr>
            <w:r>
              <w:rPr>
                <w:rFonts w:ascii="Calibri" w:eastAsia="Calibri" w:hAnsi="Calibri"/>
                <w:b w:val="false"/>
                <w:i w:val="false"/>
                <w:sz w:val="16"/>
              </w:rPr>
              <w:t>Fast</w:t>
            </w:r>
          </w:p>
        </w:tc>
        <w:tc>
          <w:tcPr>
            <w:tcW w:w="2438" w:type="dxa"/>
            <w:tcBorders/>
          </w:tcPr>
          <w:p w14:paraId="1335DFAC">
            <w:pPr>
              <w:pStyle w:val="style0"/>
              <w:rPr/>
            </w:pPr>
            <w:r>
              <w:rPr>
                <w:rFonts w:ascii="Calibri" w:eastAsia="Calibri" w:hAnsi="Calibri"/>
                <w:b w:val="false"/>
                <w:i w:val="false"/>
                <w:sz w:val="16"/>
              </w:rPr>
              <w:t>Do not use</w:t>
            </w:r>
          </w:p>
        </w:tc>
      </w:tr>
      <w:tr w14:paraId="C761A327">
        <w:tblPrEx/>
        <w:trPr>
          <w:jc w:val="center"/>
        </w:trPr>
        <w:tc>
          <w:tcPr>
            <w:tcW w:w="2438" w:type="dxa"/>
            <w:tcBorders/>
          </w:tcPr>
          <w:p w14:paraId="05441C3A">
            <w:pPr>
              <w:pStyle w:val="style0"/>
              <w:rPr/>
            </w:pPr>
            <w:r>
              <w:rPr>
                <w:rFonts w:ascii="Calibri" w:eastAsia="Calibri" w:hAnsi="Calibri"/>
                <w:b w:val="false"/>
                <w:i w:val="false"/>
                <w:sz w:val="16"/>
              </w:rPr>
              <w:t>2048-bit</w:t>
            </w:r>
          </w:p>
        </w:tc>
        <w:tc>
          <w:tcPr>
            <w:tcW w:w="2438" w:type="dxa"/>
            <w:tcBorders/>
          </w:tcPr>
          <w:p w14:paraId="EA181715">
            <w:pPr>
              <w:pStyle w:val="style0"/>
              <w:rPr/>
            </w:pPr>
            <w:r>
              <w:rPr>
                <w:rFonts w:ascii="Calibri" w:eastAsia="Calibri" w:hAnsi="Calibri"/>
                <w:b w:val="false"/>
                <w:i w:val="false"/>
                <w:sz w:val="16"/>
              </w:rPr>
              <w:t>~112-bit</w:t>
            </w:r>
          </w:p>
        </w:tc>
        <w:tc>
          <w:tcPr>
            <w:tcW w:w="2438" w:type="dxa"/>
            <w:tcBorders/>
          </w:tcPr>
          <w:p w14:paraId="16B909E9">
            <w:pPr>
              <w:pStyle w:val="style0"/>
              <w:rPr/>
            </w:pPr>
            <w:r>
              <w:rPr>
                <w:rFonts w:ascii="Calibri" w:eastAsia="Calibri" w:hAnsi="Calibri"/>
                <w:b w:val="false"/>
                <w:i w:val="false"/>
                <w:sz w:val="16"/>
              </w:rPr>
              <w:t>Acceptable</w:t>
            </w:r>
          </w:p>
        </w:tc>
        <w:tc>
          <w:tcPr>
            <w:tcW w:w="2438" w:type="dxa"/>
            <w:tcBorders/>
          </w:tcPr>
          <w:p w14:paraId="870A174B">
            <w:pPr>
              <w:pStyle w:val="style0"/>
              <w:rPr/>
            </w:pPr>
            <w:r>
              <w:rPr>
                <w:rFonts w:ascii="Calibri" w:eastAsia="Calibri" w:hAnsi="Calibri"/>
                <w:b w:val="false"/>
                <w:i w:val="false"/>
                <w:sz w:val="16"/>
              </w:rPr>
              <w:t>Minimum today</w:t>
            </w:r>
          </w:p>
        </w:tc>
      </w:tr>
      <w:tr w14:paraId="4A03980F">
        <w:tblPrEx/>
        <w:trPr>
          <w:jc w:val="center"/>
        </w:trPr>
        <w:tc>
          <w:tcPr>
            <w:tcW w:w="2438" w:type="dxa"/>
            <w:tcBorders/>
          </w:tcPr>
          <w:p w14:paraId="C08A14EC">
            <w:pPr>
              <w:pStyle w:val="style0"/>
              <w:rPr/>
            </w:pPr>
            <w:r>
              <w:rPr>
                <w:rFonts w:ascii="Calibri" w:eastAsia="Calibri" w:hAnsi="Calibri"/>
                <w:b w:val="false"/>
                <w:i w:val="false"/>
                <w:sz w:val="16"/>
              </w:rPr>
              <w:t>3072-bit</w:t>
            </w:r>
          </w:p>
        </w:tc>
        <w:tc>
          <w:tcPr>
            <w:tcW w:w="2438" w:type="dxa"/>
            <w:tcBorders/>
          </w:tcPr>
          <w:p w14:paraId="A82711CE">
            <w:pPr>
              <w:pStyle w:val="style0"/>
              <w:rPr/>
            </w:pPr>
            <w:r>
              <w:rPr>
                <w:rFonts w:ascii="Calibri" w:eastAsia="Calibri" w:hAnsi="Calibri"/>
                <w:b w:val="false"/>
                <w:i w:val="false"/>
                <w:sz w:val="16"/>
              </w:rPr>
              <w:t>~128-bit</w:t>
            </w:r>
          </w:p>
        </w:tc>
        <w:tc>
          <w:tcPr>
            <w:tcW w:w="2438" w:type="dxa"/>
            <w:tcBorders/>
          </w:tcPr>
          <w:p w14:paraId="3BC99BB7">
            <w:pPr>
              <w:pStyle w:val="style0"/>
              <w:rPr/>
            </w:pPr>
            <w:r>
              <w:rPr>
                <w:rFonts w:ascii="Calibri" w:eastAsia="Calibri" w:hAnsi="Calibri"/>
                <w:b w:val="false"/>
                <w:i w:val="false"/>
                <w:sz w:val="16"/>
              </w:rPr>
              <w:t>Slower</w:t>
            </w:r>
          </w:p>
        </w:tc>
        <w:tc>
          <w:tcPr>
            <w:tcW w:w="2438" w:type="dxa"/>
            <w:tcBorders/>
          </w:tcPr>
          <w:p w14:paraId="2A73369C">
            <w:pPr>
              <w:pStyle w:val="style0"/>
              <w:rPr/>
            </w:pPr>
            <w:r>
              <w:rPr>
                <w:rFonts w:ascii="Calibri" w:eastAsia="Calibri" w:hAnsi="Calibri"/>
                <w:b w:val="false"/>
                <w:i w:val="false"/>
                <w:sz w:val="16"/>
              </w:rPr>
              <w:t>Good long-term</w:t>
            </w:r>
          </w:p>
        </w:tc>
      </w:tr>
      <w:tr w14:paraId="955EA97A">
        <w:tblPrEx/>
        <w:trPr>
          <w:jc w:val="center"/>
        </w:trPr>
        <w:tc>
          <w:tcPr>
            <w:tcW w:w="2438" w:type="dxa"/>
            <w:tcBorders/>
          </w:tcPr>
          <w:p w14:paraId="65026D4F">
            <w:pPr>
              <w:pStyle w:val="style0"/>
              <w:rPr/>
            </w:pPr>
            <w:r>
              <w:rPr>
                <w:rFonts w:ascii="Calibri" w:eastAsia="Calibri" w:hAnsi="Calibri"/>
                <w:b w:val="false"/>
                <w:i w:val="false"/>
                <w:sz w:val="16"/>
              </w:rPr>
              <w:t>4096-bit</w:t>
            </w:r>
          </w:p>
        </w:tc>
        <w:tc>
          <w:tcPr>
            <w:tcW w:w="2438" w:type="dxa"/>
            <w:tcBorders/>
          </w:tcPr>
          <w:p w14:paraId="470A1B0D">
            <w:pPr>
              <w:pStyle w:val="style0"/>
              <w:rPr/>
            </w:pPr>
            <w:r>
              <w:rPr>
                <w:rFonts w:ascii="Calibri" w:eastAsia="Calibri" w:hAnsi="Calibri"/>
                <w:b w:val="false"/>
                <w:i w:val="false"/>
                <w:sz w:val="16"/>
              </w:rPr>
              <w:t>~140-bit</w:t>
            </w:r>
          </w:p>
        </w:tc>
        <w:tc>
          <w:tcPr>
            <w:tcW w:w="2438" w:type="dxa"/>
            <w:tcBorders/>
          </w:tcPr>
          <w:p w14:paraId="A8A6FBC2">
            <w:pPr>
              <w:pStyle w:val="style0"/>
              <w:rPr/>
            </w:pPr>
            <w:r>
              <w:rPr>
                <w:rFonts w:ascii="Calibri" w:eastAsia="Calibri" w:hAnsi="Calibri"/>
                <w:b w:val="false"/>
                <w:i w:val="false"/>
                <w:sz w:val="16"/>
              </w:rPr>
              <w:t>Slow</w:t>
            </w:r>
          </w:p>
        </w:tc>
        <w:tc>
          <w:tcPr>
            <w:tcW w:w="2438" w:type="dxa"/>
            <w:tcBorders/>
          </w:tcPr>
          <w:p w14:paraId="E886357C">
            <w:pPr>
              <w:pStyle w:val="style0"/>
              <w:rPr/>
            </w:pPr>
            <w:r>
              <w:rPr>
                <w:rFonts w:ascii="Calibri" w:eastAsia="Calibri" w:hAnsi="Calibri"/>
                <w:b w:val="false"/>
                <w:i w:val="false"/>
                <w:sz w:val="16"/>
              </w:rPr>
              <w:t>High-security only</w:t>
            </w:r>
          </w:p>
        </w:tc>
      </w:tr>
    </w:tbl>
    <w:p w14:paraId="F06F3999">
      <w:pPr>
        <w:pStyle w:val="style0"/>
        <w:spacing w:before="80" w:after="160"/>
        <w:rPr/>
      </w:pPr>
      <w:r>
        <w:rPr>
          <w:rFonts w:ascii="Calibri" w:eastAsia="Calibri" w:hAnsi="Calibri"/>
          <w:b w:val="false"/>
          <w:i w:val="false"/>
          <w:sz w:val="20"/>
        </w:rPr>
        <w:t>Larger keys increase security against factoring attacks but raise both key-generation and private-key operation costs roughly cubically. For most applications 2048-bit RSA (or preferably migration to ECC) strikes the best balance.</w:t>
      </w:r>
    </w:p>
    <w:p w14:paraId="07BD1B99">
      <w:pPr>
        <w:pStyle w:val="style0"/>
        <w:spacing w:before="80" w:after="80"/>
        <w:rPr/>
      </w:pPr>
      <w:r>
        <w:rPr>
          <w:rFonts w:ascii="Calibri" w:eastAsia="Calibri" w:hAnsi="Calibri"/>
          <w:b/>
          <w:i w:val="false"/>
          <w:color w:val="1f4e79"/>
          <w:sz w:val="24"/>
        </w:rPr>
        <w:t>4. Optimization and Security Analysis of Diffie-Hellman Key Exchange</w:t>
      </w:r>
    </w:p>
    <w:p w14:paraId="E457C499">
      <w:pPr>
        <w:pStyle w:val="style0"/>
        <w:spacing w:after="120"/>
        <w:rPr/>
      </w:pPr>
      <w:r>
        <w:rPr>
          <w:rFonts w:ascii="Calibri" w:eastAsia="Calibri" w:hAnsi="Calibri"/>
          <w:b w:val="false"/>
          <w:i/>
          <w:color w:val="464646"/>
          <w:sz w:val="18"/>
        </w:rPr>
        <w:t>Scenario: A Python DH implementation suffers from performance bottlenecks and security flaws.</w:t>
      </w:r>
    </w:p>
    <w:p w14:paraId="D8C00D2B">
      <w:pPr>
        <w:pStyle w:val="style0"/>
        <w:spacing w:after="60"/>
        <w:rPr/>
      </w:pPr>
      <w:r>
        <w:rPr>
          <w:rFonts w:ascii="Calibri" w:eastAsia="Calibri" w:hAnsi="Calibri"/>
          <w:b/>
          <w:i w:val="false"/>
          <w:color w:val="006699"/>
          <w:sz w:val="22"/>
        </w:rPr>
        <w:t>A. Debugging Incorrect Shared-Key Generation</w:t>
      </w:r>
    </w:p>
    <w:p w14:paraId="7F22BCA5">
      <w:pPr>
        <w:pStyle w:val="style48"/>
        <w:spacing w:after="20"/>
        <w:rPr/>
      </w:pPr>
      <w:r>
        <w:rPr>
          <w:rFonts w:ascii="Calibri" w:eastAsia="Calibri" w:hAnsi="Calibri"/>
          <w:b/>
          <w:i w:val="false"/>
          <w:sz w:val="20"/>
        </w:rPr>
        <w:t xml:space="preserve">Missing modular reduction: </w:t>
      </w:r>
      <w:r>
        <w:rPr>
          <w:rFonts w:ascii="Calibri" w:eastAsia="Calibri" w:hAnsi="Calibri"/>
          <w:b w:val="false"/>
          <w:i w:val="false"/>
          <w:sz w:val="20"/>
        </w:rPr>
        <w:t>Computing g**a without “mod p” produces enormous integers and wrong results; always use pow(g, a, p).</w:t>
      </w:r>
    </w:p>
    <w:p w14:paraId="C768A76F">
      <w:pPr>
        <w:pStyle w:val="style48"/>
        <w:spacing w:after="20"/>
        <w:rPr/>
      </w:pPr>
      <w:r>
        <w:rPr>
          <w:rFonts w:ascii="Calibri" w:eastAsia="Calibri" w:hAnsi="Calibri"/>
          <w:b/>
          <w:i w:val="false"/>
          <w:sz w:val="20"/>
        </w:rPr>
        <w:t xml:space="preserve">Non-prime or weak modulus: </w:t>
      </w:r>
      <w:r>
        <w:rPr>
          <w:rFonts w:ascii="Calibri" w:eastAsia="Calibri" w:hAnsi="Calibri"/>
          <w:b w:val="false"/>
          <w:i w:val="false"/>
          <w:sz w:val="20"/>
        </w:rPr>
        <w:t>p must be a safe prime (p = 2q+1 where q is also prime) or a well-known MODP group (RFC 3526).</w:t>
      </w:r>
    </w:p>
    <w:p w14:paraId="C393B89B">
      <w:pPr>
        <w:pStyle w:val="style48"/>
        <w:spacing w:after="20"/>
        <w:rPr/>
      </w:pPr>
      <w:r>
        <w:rPr>
          <w:rFonts w:ascii="Calibri" w:eastAsia="Calibri" w:hAnsi="Calibri"/>
          <w:b/>
          <w:i w:val="false"/>
          <w:sz w:val="20"/>
        </w:rPr>
        <w:t xml:space="preserve">Small private exponents: </w:t>
      </w:r>
      <w:r>
        <w:rPr>
          <w:rFonts w:ascii="Calibri" w:eastAsia="Calibri" w:hAnsi="Calibri"/>
          <w:b w:val="false"/>
          <w:i w:val="false"/>
          <w:sz w:val="20"/>
        </w:rPr>
        <w:t>a and b must be large (at least 256 bits for a 2048-bit p) and generated with a CSPRNG.</w:t>
      </w:r>
    </w:p>
    <w:p w14:paraId="9AC6E5E5">
      <w:pPr>
        <w:pStyle w:val="style48"/>
        <w:spacing w:after="20"/>
        <w:rPr/>
      </w:pPr>
      <w:r>
        <w:rPr>
          <w:rFonts w:ascii="Calibri" w:eastAsia="Calibri" w:hAnsi="Calibri"/>
          <w:b/>
          <w:i w:val="false"/>
          <w:sz w:val="20"/>
        </w:rPr>
        <w:t xml:space="preserve">Generator not a primitive root / generator of a large subgroup: </w:t>
      </w:r>
      <w:r>
        <w:rPr>
          <w:rFonts w:ascii="Calibri" w:eastAsia="Calibri" w:hAnsi="Calibri"/>
          <w:b w:val="false"/>
          <w:i w:val="false"/>
          <w:sz w:val="20"/>
        </w:rPr>
        <w:t>Using g = 2 with an inappropriate p can land the result in a small subgroup, enabling small-subgroup attacks.</w:t>
      </w:r>
    </w:p>
    <w:p w14:paraId="C49F8D69">
      <w:pPr>
        <w:pStyle w:val="style0"/>
        <w:spacing w:before="100" w:after="60"/>
        <w:rPr/>
      </w:pPr>
      <w:r>
        <w:rPr>
          <w:rFonts w:ascii="Calibri" w:eastAsia="Calibri" w:hAnsi="Calibri"/>
          <w:b/>
          <w:i w:val="false"/>
          <w:color w:val="006699"/>
          <w:sz w:val="22"/>
        </w:rPr>
        <w:t>B. Optimising Exponentiation for Large Primes</w:t>
      </w:r>
    </w:p>
    <w:p w14:paraId="BD77F3F6">
      <w:pPr>
        <w:pStyle w:val="style48"/>
        <w:spacing w:after="20"/>
        <w:rPr/>
      </w:pPr>
      <w:r>
        <w:rPr>
          <w:rFonts w:ascii="Calibri" w:eastAsia="Calibri" w:hAnsi="Calibri"/>
          <w:b w:val="false"/>
          <w:i w:val="false"/>
          <w:sz w:val="20"/>
        </w:rPr>
        <w:t>Rely exclusively on Python’s built-in modular pow (already optimised with binary exponentiation and Montgomery reduction in recent CPython).</w:t>
      </w:r>
    </w:p>
    <w:p w14:paraId="996DE8D9">
      <w:pPr>
        <w:pStyle w:val="style48"/>
        <w:spacing w:after="20"/>
        <w:rPr/>
      </w:pPr>
      <w:r>
        <w:rPr>
          <w:rFonts w:ascii="Calibri" w:eastAsia="Calibri" w:hAnsi="Calibri"/>
          <w:b w:val="false"/>
          <w:i w:val="false"/>
          <w:sz w:val="20"/>
        </w:rPr>
        <w:t>Use well-known safe-prime groups (e.g., 2048-bit or 3072-bit MODP groups) so that the modulus is constant and can benefit from any platform optimisations.</w:t>
      </w:r>
    </w:p>
    <w:p w14:paraId="2362113D">
      <w:pPr>
        <w:pStyle w:val="style48"/>
        <w:spacing w:after="20"/>
        <w:rPr/>
      </w:pPr>
      <w:r>
        <w:rPr>
          <w:rFonts w:ascii="Calibri" w:eastAsia="Calibri" w:hAnsi="Calibri"/>
          <w:b w:val="false"/>
          <w:i w:val="false"/>
          <w:sz w:val="20"/>
        </w:rPr>
        <w:t>When implementing in pure Python for teaching, use the square-and-multiply algorithm with sliding-window or Montgomery multiplication for further gains.</w:t>
      </w:r>
    </w:p>
    <w:p w14:paraId="A117F068">
      <w:pPr>
        <w:pStyle w:val="style48"/>
        <w:spacing w:after="20"/>
        <w:rPr/>
      </w:pPr>
      <w:r>
        <w:rPr>
          <w:rFonts w:ascii="Calibri" w:eastAsia="Calibri" w:hAnsi="Calibri"/>
          <w:b w:val="false"/>
          <w:i w:val="false"/>
          <w:sz w:val="20"/>
        </w:rPr>
        <w:t>Cache the public value g^a mod p if the same private key is reused (rare in ephemeral DH).</w:t>
      </w:r>
    </w:p>
    <w:p w14:paraId="0F561CDD">
      <w:pPr>
        <w:pStyle w:val="style0"/>
        <w:spacing w:before="100" w:after="60"/>
        <w:rPr/>
      </w:pPr>
      <w:r>
        <w:rPr>
          <w:rFonts w:ascii="Calibri" w:eastAsia="Calibri" w:hAnsi="Calibri"/>
          <w:b/>
          <w:i w:val="false"/>
          <w:color w:val="006699"/>
          <w:sz w:val="22"/>
        </w:rPr>
        <w:t>C. Mitigating Man-in-the-Middle Attacks</w:t>
      </w:r>
    </w:p>
    <w:p w14:paraId="394981AD">
      <w:pPr>
        <w:pStyle w:val="style0"/>
        <w:spacing w:after="40"/>
        <w:rPr/>
      </w:pPr>
      <w:r>
        <w:rPr>
          <w:rFonts w:ascii="Calibri" w:eastAsia="Calibri" w:hAnsi="Calibri"/>
          <w:b w:val="false"/>
          <w:i w:val="false"/>
          <w:sz w:val="20"/>
        </w:rPr>
        <w:t>Classic DH is unauthenticated. An active attacker can replace both public values and establish two separate shared secrets. Mitigations:</w:t>
      </w:r>
    </w:p>
    <w:p w14:paraId="C94151E8">
      <w:pPr>
        <w:pStyle w:val="style48"/>
        <w:spacing w:after="20"/>
        <w:rPr/>
      </w:pPr>
      <w:r>
        <w:rPr>
          <w:rFonts w:ascii="Calibri" w:eastAsia="Calibri" w:hAnsi="Calibri"/>
          <w:b w:val="false"/>
          <w:i w:val="false"/>
          <w:sz w:val="20"/>
        </w:rPr>
        <w:t>Sign the exchanged public values with a long-term private key (Station-to-Station protocol or SIGMA).</w:t>
      </w:r>
    </w:p>
    <w:p w14:paraId="3BF2444D">
      <w:pPr>
        <w:pStyle w:val="style48"/>
        <w:spacing w:after="20"/>
        <w:rPr/>
      </w:pPr>
      <w:r>
        <w:rPr>
          <w:rFonts w:ascii="Calibri" w:eastAsia="Calibri" w:hAnsi="Calibri"/>
          <w:b w:val="false"/>
          <w:i w:val="false"/>
          <w:sz w:val="20"/>
        </w:rPr>
        <w:t>Embed DH inside a protocol that already provides authentication (TLS 1.3 handshake, Noise framework, Signal protocol).</w:t>
      </w:r>
    </w:p>
    <w:p w14:paraId="CEA44975">
      <w:pPr>
        <w:pStyle w:val="style48"/>
        <w:spacing w:after="20"/>
        <w:rPr/>
      </w:pPr>
      <w:r>
        <w:rPr>
          <w:rFonts w:ascii="Calibri" w:eastAsia="Calibri" w:hAnsi="Calibri"/>
          <w:b w:val="false"/>
          <w:i w:val="false"/>
          <w:sz w:val="20"/>
        </w:rPr>
        <w:t>Use a pre-shared key to MAC the public values (password-authenticated key exchange).</w:t>
      </w:r>
    </w:p>
    <w:p w14:paraId="78FAEA13">
      <w:pPr>
        <w:pStyle w:val="style48"/>
        <w:spacing w:after="20"/>
        <w:rPr/>
      </w:pPr>
      <w:r>
        <w:rPr>
          <w:rFonts w:ascii="Calibri" w:eastAsia="Calibri" w:hAnsi="Calibri"/>
          <w:b w:val="false"/>
          <w:i w:val="false"/>
          <w:sz w:val="20"/>
        </w:rPr>
        <w:t>Prefer ephemeral ECDH with mutual certificate authentication – far smaller keys and built-in modern protocol support.</w:t>
      </w:r>
    </w:p>
    <w:p w14:paraId="0331613B">
      <w:pPr>
        <w:pStyle w:val="style0"/>
        <w:spacing w:after="160"/>
        <w:rPr/>
      </w:pPr>
      <w:r>
        <w:rPr>
          <w:rFonts w:ascii="Calibri" w:eastAsia="Calibri" w:hAnsi="Calibri"/>
          <w:b w:val="false"/>
          <w:i/>
          <w:sz w:val="20"/>
        </w:rPr>
        <w:t>Performance impact of authentication is modest: one extra signature generation/verification (or a MAC) per handshake, which is negligible compared with the modular exponentiations themselves.</w:t>
      </w:r>
    </w:p>
    <w:p w14:paraId="1B638A8A">
      <w:pPr>
        <w:pStyle w:val="style0"/>
        <w:spacing w:before="80" w:after="80"/>
        <w:rPr/>
      </w:pPr>
      <w:r>
        <w:rPr>
          <w:rFonts w:ascii="Calibri" w:eastAsia="Calibri" w:hAnsi="Calibri"/>
          <w:b/>
          <w:i w:val="false"/>
          <w:color w:val="1f4e79"/>
          <w:sz w:val="24"/>
        </w:rPr>
        <w:t>5. Debugging and Enhancing Elliptic Curve Cryptography (ECC)</w:t>
      </w:r>
    </w:p>
    <w:p w14:paraId="69FC58B5">
      <w:pPr>
        <w:pStyle w:val="style0"/>
        <w:spacing w:after="120"/>
        <w:rPr/>
      </w:pPr>
      <w:r>
        <w:rPr>
          <w:rFonts w:ascii="Calibri" w:eastAsia="Calibri" w:hAnsi="Calibri"/>
          <w:b w:val="false"/>
          <w:i/>
          <w:color w:val="464646"/>
          <w:sz w:val="18"/>
        </w:rPr>
        <w:t>Scenario: A Python ECC implementation produces incorrect results for certain curve parameters.</w:t>
      </w:r>
    </w:p>
    <w:p w14:paraId="FB4F472C">
      <w:pPr>
        <w:pStyle w:val="style0"/>
        <w:spacing w:after="60"/>
        <w:rPr/>
      </w:pPr>
      <w:r>
        <w:rPr>
          <w:rFonts w:ascii="Calibri" w:eastAsia="Calibri" w:hAnsi="Calibri"/>
          <w:b/>
          <w:i w:val="false"/>
          <w:color w:val="006699"/>
          <w:sz w:val="22"/>
        </w:rPr>
        <w:t>A. Errors in Point Addition &amp; Scalar Multiplication</w:t>
      </w:r>
    </w:p>
    <w:p w14:paraId="7B864D80">
      <w:pPr>
        <w:pStyle w:val="style48"/>
        <w:spacing w:after="20"/>
        <w:rPr/>
      </w:pPr>
      <w:r>
        <w:rPr>
          <w:rFonts w:ascii="Calibri" w:eastAsia="Calibri" w:hAnsi="Calibri"/>
          <w:b/>
          <w:i w:val="false"/>
          <w:sz w:val="20"/>
        </w:rPr>
        <w:t xml:space="preserve">Point-at-infinity handling: </w:t>
      </w:r>
      <w:r>
        <w:rPr>
          <w:rFonts w:ascii="Calibri" w:eastAsia="Calibri" w:hAnsi="Calibri"/>
          <w:b w:val="false"/>
          <w:i w:val="false"/>
          <w:sz w:val="20"/>
        </w:rPr>
        <w:t>The identity element O must be treated as a special case; many amateur implementations crash or return wrong coordinates when adding P + (−P).</w:t>
      </w:r>
    </w:p>
    <w:p w14:paraId="320F8631">
      <w:pPr>
        <w:pStyle w:val="style48"/>
        <w:spacing w:after="20"/>
        <w:rPr/>
      </w:pPr>
      <w:r>
        <w:rPr>
          <w:rFonts w:ascii="Calibri" w:eastAsia="Calibri" w:hAnsi="Calibri"/>
          <w:b/>
          <w:i w:val="false"/>
          <w:sz w:val="20"/>
        </w:rPr>
        <w:t xml:space="preserve">Incorrect slope calculation: </w:t>
      </w:r>
      <w:r>
        <w:rPr>
          <w:rFonts w:ascii="Calibri" w:eastAsia="Calibri" w:hAnsi="Calibri"/>
          <w:b w:val="false"/>
          <w:i w:val="false"/>
          <w:sz w:val="20"/>
        </w:rPr>
        <w:t>For P ≠ Q the slope λ = (y₂−y₁)·(x₂−x₁)⁻¹ mod p; for point doubling λ = (3x₁²+a)·(2y₁)⁻¹ mod p. Missing the modular inverse or using ordinary division breaks the group law.</w:t>
      </w:r>
    </w:p>
    <w:p w14:paraId="6D080CC1">
      <w:pPr>
        <w:pStyle w:val="style48"/>
        <w:spacing w:after="20"/>
        <w:rPr/>
      </w:pPr>
      <w:r>
        <w:rPr>
          <w:rFonts w:ascii="Calibri" w:eastAsia="Calibri" w:hAnsi="Calibri"/>
          <w:b/>
          <w:i w:val="false"/>
          <w:sz w:val="20"/>
        </w:rPr>
        <w:t xml:space="preserve">Modular reduction omitted: </w:t>
      </w:r>
      <w:r>
        <w:rPr>
          <w:rFonts w:ascii="Calibri" w:eastAsia="Calibri" w:hAnsi="Calibri"/>
          <w:b w:val="false"/>
          <w:i w:val="false"/>
          <w:sz w:val="20"/>
        </w:rPr>
        <w:t>All intermediate coordinates must be reduced modulo the field prime p.</w:t>
      </w:r>
    </w:p>
    <w:p w14:paraId="064021DA">
      <w:pPr>
        <w:pStyle w:val="style48"/>
        <w:spacing w:after="20"/>
        <w:rPr/>
      </w:pPr>
      <w:r>
        <w:rPr>
          <w:rFonts w:ascii="Calibri" w:eastAsia="Calibri" w:hAnsi="Calibri"/>
          <w:b/>
          <w:i w:val="false"/>
          <w:sz w:val="20"/>
        </w:rPr>
        <w:t xml:space="preserve">Wrong curve equation parameters: </w:t>
      </w:r>
      <w:r>
        <w:rPr>
          <w:rFonts w:ascii="Calibri" w:eastAsia="Calibri" w:hAnsi="Calibri"/>
          <w:b w:val="false"/>
          <w:i w:val="false"/>
          <w:sz w:val="20"/>
        </w:rPr>
        <w:t>Using a and b that do not satisfy the curve equation, or mixing affine and Jacobian coordinates inconsistently.</w:t>
      </w:r>
    </w:p>
    <w:p w14:paraId="B53049E9">
      <w:pPr>
        <w:pStyle w:val="style48"/>
        <w:spacing w:after="20"/>
        <w:rPr/>
      </w:pPr>
      <w:r>
        <w:rPr>
          <w:rFonts w:ascii="Calibri" w:eastAsia="Calibri" w:hAnsi="Calibri"/>
          <w:b/>
          <w:i w:val="false"/>
          <w:sz w:val="20"/>
        </w:rPr>
        <w:t xml:space="preserve">Scalar multiplication edge cases: </w:t>
      </w:r>
      <w:r>
        <w:rPr>
          <w:rFonts w:ascii="Calibri" w:eastAsia="Calibri" w:hAnsi="Calibri"/>
          <w:b w:val="false"/>
          <w:i w:val="false"/>
          <w:sz w:val="20"/>
        </w:rPr>
        <w:t>k = 0 should return O; k = 1 should return P; negative k should return −P.</w:t>
      </w:r>
    </w:p>
    <w:p w14:paraId="3530D37D">
      <w:pPr>
        <w:pStyle w:val="style0"/>
        <w:spacing w:before="100" w:after="60"/>
        <w:rPr/>
      </w:pPr>
      <w:r>
        <w:rPr>
          <w:rFonts w:ascii="Calibri" w:eastAsia="Calibri" w:hAnsi="Calibri"/>
          <w:b/>
          <w:i w:val="false"/>
          <w:color w:val="006699"/>
          <w:sz w:val="22"/>
        </w:rPr>
        <w:t>B. Optimising with Double-and-Add (and Better Algorithms)</w:t>
      </w:r>
    </w:p>
    <w:p w14:paraId="3509B0B4">
      <w:pPr>
        <w:pStyle w:val="style48"/>
        <w:spacing w:after="20"/>
        <w:rPr/>
      </w:pPr>
      <w:r>
        <w:rPr>
          <w:rFonts w:ascii="Calibri" w:eastAsia="Calibri" w:hAnsi="Calibri"/>
          <w:b w:val="false"/>
          <w:i w:val="false"/>
          <w:sz w:val="20"/>
        </w:rPr>
        <w:t>Classic double-and-add (binary method) already reduces the number of point additions from O(k) to O(log k).</w:t>
      </w:r>
    </w:p>
    <w:p w14:paraId="8F889920">
      <w:pPr>
        <w:pStyle w:val="style48"/>
        <w:spacing w:after="20"/>
        <w:rPr/>
      </w:pPr>
      <w:r>
        <w:rPr>
          <w:rFonts w:ascii="Calibri" w:eastAsia="Calibri" w:hAnsi="Calibri"/>
          <w:b w:val="false"/>
          <w:i w:val="false"/>
          <w:sz w:val="20"/>
        </w:rPr>
        <w:t>Windowed methods (fixed-window or sliding-window) further reduce the number of additions at the cost of a small pre-computation table.</w:t>
      </w:r>
    </w:p>
    <w:p w14:paraId="ABD92B1E">
      <w:pPr>
        <w:pStyle w:val="style48"/>
        <w:spacing w:after="20"/>
        <w:rPr/>
      </w:pPr>
      <w:r>
        <w:rPr>
          <w:rFonts w:ascii="Calibri" w:eastAsia="Calibri" w:hAnsi="Calibri"/>
          <w:b w:val="false"/>
          <w:i w:val="false"/>
          <w:sz w:val="20"/>
        </w:rPr>
        <w:t>Use Jacobian or projective coordinates to avoid expensive field inversions during intermediate steps; convert back to affine only at the end.</w:t>
      </w:r>
    </w:p>
    <w:p w14:paraId="E509140C">
      <w:pPr>
        <w:pStyle w:val="style48"/>
        <w:spacing w:after="20"/>
        <w:rPr/>
      </w:pPr>
      <w:r>
        <w:rPr>
          <w:rFonts w:ascii="Calibri" w:eastAsia="Calibri" w:hAnsi="Calibri"/>
          <w:b w:val="false"/>
          <w:i w:val="false"/>
          <w:sz w:val="20"/>
        </w:rPr>
        <w:t>For constant-time requirements (side-channel resistance) implement Montgomery ladder or a regular double-and-add always pattern.</w:t>
      </w:r>
    </w:p>
    <w:p w14:paraId="8DF6CFF4">
      <w:pPr>
        <w:pStyle w:val="style48"/>
        <w:spacing w:after="20"/>
        <w:rPr/>
      </w:pPr>
      <w:r>
        <w:rPr>
          <w:rFonts w:ascii="Calibri" w:eastAsia="Calibri" w:hAnsi="Calibri"/>
          <w:b w:val="false"/>
          <w:i w:val="false"/>
          <w:sz w:val="20"/>
        </w:rPr>
        <w:t>Prefer well-tested curves (NIST P-256, Curve25519, secp256k1) and libraries (cryptography, coincurve, ecdsa) rather than hand-rolled arithmetic.</w:t>
      </w:r>
    </w:p>
    <w:p w14:paraId="0837F232">
      <w:pPr>
        <w:pStyle w:val="style0"/>
        <w:spacing w:before="100" w:after="60"/>
        <w:rPr/>
      </w:pPr>
      <w:r>
        <w:rPr>
          <w:rFonts w:ascii="Calibri" w:eastAsia="Calibri" w:hAnsi="Calibri"/>
          <w:b/>
          <w:i w:val="false"/>
          <w:color w:val="006699"/>
          <w:sz w:val="22"/>
        </w:rPr>
        <w:t>C. ECC vs RSA – Efficiency, Security &amp; Suitability for Constrained Devices</w:t>
      </w:r>
    </w:p>
    <w:tbl>
      <w:tblPr>
        <w:tblStyle w:val="style154"/>
        <w:tblW w:w="0" w:type="auto"/>
        <w:jc w:val="center"/>
        <w:tblLook w:val="04A0" w:firstRow="1" w:lastRow="0" w:firstColumn="1" w:lastColumn="0" w:noHBand="0" w:noVBand="1"/>
      </w:tblPr>
      <w:tblGrid>
        <w:gridCol w:w="3251"/>
        <w:gridCol w:w="3251"/>
        <w:gridCol w:w="3251"/>
      </w:tblGrid>
      <w:tr w14:paraId="37B51FE3">
        <w:trPr>
          <w:jc w:val="center"/>
        </w:trPr>
        <w:tc>
          <w:tcPr>
            <w:tcW w:w="3251" w:type="dxa"/>
            <w:tcBorders/>
            <w:shd w:val="nil" w:color="auto" w:fill="1f4e79"/>
          </w:tcPr>
          <w:p w14:paraId="4682D827">
            <w:pPr>
              <w:pStyle w:val="style0"/>
              <w:jc w:val="center"/>
              <w:rPr/>
            </w:pPr>
            <w:r>
              <w:rPr>
                <w:rFonts w:ascii="Calibri" w:eastAsia="Calibri" w:hAnsi="Calibri"/>
                <w:b/>
                <w:i w:val="false"/>
                <w:color w:val="ffffff"/>
                <w:sz w:val="18"/>
              </w:rPr>
              <w:t>Aspect</w:t>
            </w:r>
          </w:p>
        </w:tc>
        <w:tc>
          <w:tcPr>
            <w:tcW w:w="3251" w:type="dxa"/>
            <w:tcBorders/>
            <w:shd w:val="nil" w:color="auto" w:fill="1f4e79"/>
          </w:tcPr>
          <w:p w14:paraId="0A9C8D36">
            <w:pPr>
              <w:pStyle w:val="style0"/>
              <w:jc w:val="center"/>
              <w:rPr/>
            </w:pPr>
            <w:r>
              <w:rPr>
                <w:rFonts w:ascii="Calibri" w:eastAsia="Calibri" w:hAnsi="Calibri"/>
                <w:b/>
                <w:i w:val="false"/>
                <w:color w:val="ffffff"/>
                <w:sz w:val="18"/>
              </w:rPr>
              <w:t>RSA-2048</w:t>
            </w:r>
          </w:p>
        </w:tc>
        <w:tc>
          <w:tcPr>
            <w:tcW w:w="3251" w:type="dxa"/>
            <w:tcBorders/>
            <w:shd w:val="nil" w:color="auto" w:fill="1f4e79"/>
          </w:tcPr>
          <w:p w14:paraId="BCDD0409">
            <w:pPr>
              <w:pStyle w:val="style0"/>
              <w:jc w:val="center"/>
              <w:rPr/>
            </w:pPr>
            <w:r>
              <w:rPr>
                <w:rFonts w:ascii="Calibri" w:eastAsia="Calibri" w:hAnsi="Calibri"/>
                <w:b/>
                <w:i w:val="false"/>
                <w:color w:val="ffffff"/>
                <w:sz w:val="18"/>
              </w:rPr>
              <w:t>ECC (P-256 / Curve25519)</w:t>
            </w:r>
          </w:p>
        </w:tc>
      </w:tr>
      <w:tr w14:paraId="25B8BF93">
        <w:tblPrEx/>
        <w:trPr>
          <w:jc w:val="center"/>
        </w:trPr>
        <w:tc>
          <w:tcPr>
            <w:tcW w:w="3251" w:type="dxa"/>
            <w:tcBorders/>
          </w:tcPr>
          <w:p w14:paraId="D4C0EFB0">
            <w:pPr>
              <w:pStyle w:val="style0"/>
              <w:rPr/>
            </w:pPr>
            <w:r>
              <w:rPr>
                <w:rFonts w:ascii="Calibri" w:eastAsia="Calibri" w:hAnsi="Calibri"/>
                <w:b w:val="false"/>
                <w:i w:val="false"/>
                <w:sz w:val="18"/>
              </w:rPr>
              <w:t>Security level</w:t>
            </w:r>
          </w:p>
        </w:tc>
        <w:tc>
          <w:tcPr>
            <w:tcW w:w="3251" w:type="dxa"/>
            <w:tcBorders/>
          </w:tcPr>
          <w:p w14:paraId="69272436">
            <w:pPr>
              <w:pStyle w:val="style0"/>
              <w:rPr/>
            </w:pPr>
            <w:r>
              <w:rPr>
                <w:rFonts w:ascii="Calibri" w:eastAsia="Calibri" w:hAnsi="Calibri"/>
                <w:b w:val="false"/>
                <w:i w:val="false"/>
                <w:sz w:val="18"/>
              </w:rPr>
              <w:t>~112-bit</w:t>
            </w:r>
          </w:p>
        </w:tc>
        <w:tc>
          <w:tcPr>
            <w:tcW w:w="3251" w:type="dxa"/>
            <w:tcBorders/>
          </w:tcPr>
          <w:p w14:paraId="34F2371C">
            <w:pPr>
              <w:pStyle w:val="style0"/>
              <w:rPr/>
            </w:pPr>
            <w:r>
              <w:rPr>
                <w:rFonts w:ascii="Calibri" w:eastAsia="Calibri" w:hAnsi="Calibri"/>
                <w:b/>
                <w:i w:val="false"/>
                <w:color w:val="006400"/>
                <w:sz w:val="18"/>
              </w:rPr>
              <w:t>~128-bit</w:t>
            </w:r>
          </w:p>
        </w:tc>
      </w:tr>
      <w:tr w14:paraId="BDEBF14A">
        <w:tblPrEx/>
        <w:trPr>
          <w:jc w:val="center"/>
        </w:trPr>
        <w:tc>
          <w:tcPr>
            <w:tcW w:w="3251" w:type="dxa"/>
            <w:tcBorders/>
          </w:tcPr>
          <w:p w14:paraId="A35CFD30">
            <w:pPr>
              <w:pStyle w:val="style0"/>
              <w:rPr/>
            </w:pPr>
            <w:r>
              <w:rPr>
                <w:rFonts w:ascii="Calibri" w:eastAsia="Calibri" w:hAnsi="Calibri"/>
                <w:b w:val="false"/>
                <w:i w:val="false"/>
                <w:sz w:val="18"/>
              </w:rPr>
              <w:t>Public-key size</w:t>
            </w:r>
          </w:p>
        </w:tc>
        <w:tc>
          <w:tcPr>
            <w:tcW w:w="3251" w:type="dxa"/>
            <w:tcBorders/>
          </w:tcPr>
          <w:p w14:paraId="C1F9D7AA">
            <w:pPr>
              <w:pStyle w:val="style0"/>
              <w:rPr/>
            </w:pPr>
            <w:r>
              <w:rPr>
                <w:rFonts w:ascii="Calibri" w:eastAsia="Calibri" w:hAnsi="Calibri"/>
                <w:b w:val="false"/>
                <w:i w:val="false"/>
                <w:sz w:val="18"/>
              </w:rPr>
              <w:t>256 bytes</w:t>
            </w:r>
          </w:p>
        </w:tc>
        <w:tc>
          <w:tcPr>
            <w:tcW w:w="3251" w:type="dxa"/>
            <w:tcBorders/>
          </w:tcPr>
          <w:p w14:paraId="C76FCE74">
            <w:pPr>
              <w:pStyle w:val="style0"/>
              <w:rPr/>
            </w:pPr>
            <w:r>
              <w:rPr>
                <w:rFonts w:ascii="Calibri" w:eastAsia="Calibri" w:hAnsi="Calibri"/>
                <w:b/>
                <w:i w:val="false"/>
                <w:color w:val="006400"/>
                <w:sz w:val="18"/>
              </w:rPr>
              <w:t>32–64 bytes</w:t>
            </w:r>
          </w:p>
        </w:tc>
      </w:tr>
      <w:tr w14:paraId="EA8027BC">
        <w:tblPrEx/>
        <w:trPr>
          <w:jc w:val="center"/>
        </w:trPr>
        <w:tc>
          <w:tcPr>
            <w:tcW w:w="3251" w:type="dxa"/>
            <w:tcBorders/>
          </w:tcPr>
          <w:p w14:paraId="AEDC90D4">
            <w:pPr>
              <w:pStyle w:val="style0"/>
              <w:rPr/>
            </w:pPr>
            <w:r>
              <w:rPr>
                <w:rFonts w:ascii="Calibri" w:eastAsia="Calibri" w:hAnsi="Calibri"/>
                <w:b w:val="false"/>
                <w:i w:val="false"/>
                <w:sz w:val="18"/>
              </w:rPr>
              <w:t>Private-key operation</w:t>
            </w:r>
          </w:p>
        </w:tc>
        <w:tc>
          <w:tcPr>
            <w:tcW w:w="3251" w:type="dxa"/>
            <w:tcBorders/>
          </w:tcPr>
          <w:p w14:paraId="1B031353">
            <w:pPr>
              <w:pStyle w:val="style0"/>
              <w:rPr/>
            </w:pPr>
            <w:r>
              <w:rPr>
                <w:rFonts w:ascii="Calibri" w:eastAsia="Calibri" w:hAnsi="Calibri"/>
                <w:b w:val="false"/>
                <w:i w:val="false"/>
                <w:sz w:val="18"/>
              </w:rPr>
              <w:t>Slow (CRT helps)</w:t>
            </w:r>
          </w:p>
        </w:tc>
        <w:tc>
          <w:tcPr>
            <w:tcW w:w="3251" w:type="dxa"/>
            <w:tcBorders/>
          </w:tcPr>
          <w:p w14:paraId="57E41780">
            <w:pPr>
              <w:pStyle w:val="style0"/>
              <w:rPr/>
            </w:pPr>
            <w:r>
              <w:rPr>
                <w:rFonts w:ascii="Calibri" w:eastAsia="Calibri" w:hAnsi="Calibri"/>
                <w:b/>
                <w:i w:val="false"/>
                <w:color w:val="006400"/>
                <w:sz w:val="18"/>
              </w:rPr>
              <w:t>Much faster</w:t>
            </w:r>
          </w:p>
        </w:tc>
      </w:tr>
      <w:tr w14:paraId="29FAC786">
        <w:tblPrEx/>
        <w:trPr>
          <w:jc w:val="center"/>
        </w:trPr>
        <w:tc>
          <w:tcPr>
            <w:tcW w:w="3251" w:type="dxa"/>
            <w:tcBorders/>
          </w:tcPr>
          <w:p w14:paraId="F1BD5C5D">
            <w:pPr>
              <w:pStyle w:val="style0"/>
              <w:rPr/>
            </w:pPr>
            <w:r>
              <w:rPr>
                <w:rFonts w:ascii="Calibri" w:eastAsia="Calibri" w:hAnsi="Calibri"/>
                <w:b w:val="false"/>
                <w:i w:val="false"/>
                <w:sz w:val="18"/>
              </w:rPr>
              <w:t>Suitability for IoT</w:t>
            </w:r>
          </w:p>
        </w:tc>
        <w:tc>
          <w:tcPr>
            <w:tcW w:w="3251" w:type="dxa"/>
            <w:tcBorders/>
          </w:tcPr>
          <w:p w14:paraId="AAB31DFE">
            <w:pPr>
              <w:pStyle w:val="style0"/>
              <w:rPr/>
            </w:pPr>
            <w:r>
              <w:rPr>
                <w:rFonts w:ascii="Calibri" w:eastAsia="Calibri" w:hAnsi="Calibri"/>
                <w:b w:val="false"/>
                <w:i w:val="false"/>
                <w:sz w:val="18"/>
              </w:rPr>
              <w:t>Poor (large keys, heavy math)</w:t>
            </w:r>
          </w:p>
        </w:tc>
        <w:tc>
          <w:tcPr>
            <w:tcW w:w="3251" w:type="dxa"/>
            <w:tcBorders/>
          </w:tcPr>
          <w:p w14:paraId="BE3F4DBE">
            <w:pPr>
              <w:pStyle w:val="style0"/>
              <w:rPr/>
            </w:pPr>
            <w:r>
              <w:rPr>
                <w:rFonts w:ascii="Calibri" w:eastAsia="Calibri" w:hAnsi="Calibri"/>
                <w:b/>
                <w:i w:val="false"/>
                <w:color w:val="006400"/>
                <w:sz w:val="18"/>
              </w:rPr>
              <w:t>Excellent (tiny keys, low energy)</w:t>
            </w:r>
          </w:p>
        </w:tc>
      </w:tr>
    </w:tbl>
    <w:p w14:paraId="F0517CB3">
      <w:pPr>
        <w:pStyle w:val="style0"/>
        <w:spacing w:before="100" w:after="240"/>
        <w:rPr/>
      </w:pPr>
      <w:r>
        <w:rPr>
          <w:rFonts w:ascii="Calibri" w:eastAsia="Calibri" w:hAnsi="Calibri"/>
          <w:b w:val="false"/>
          <w:i w:val="false"/>
          <w:sz w:val="20"/>
        </w:rPr>
        <w:t>Conclusion: An optimised ECC implementation is dramatically more efficient than RSA at equivalent (or higher) security levels. The smaller key sizes, faster scalar multiplication, and lower energy consumption make ECC the clear choice for resource-constrained environments such as smart-home IoT devices, mobile handsets and embedded systems.</w:t>
      </w:r>
    </w:p>
    <w:p w14:paraId="B3C0DB99">
      <w:pPr>
        <w:pStyle w:val="style0"/>
        <w:pBdr>
          <w:bottom w:val="single" w:sz="12" w:space="1" w:color="1f4e79"/>
        </w:pBdr>
        <w:rPr/>
      </w:pPr>
    </w:p>
    <w:p w14:paraId="8938BE66">
      <w:pPr>
        <w:pStyle w:val="style0"/>
        <w:jc w:val="center"/>
        <w:rPr/>
      </w:pPr>
      <w:r>
        <w:rPr>
          <w:rFonts w:ascii="Calibri" w:eastAsia="Calibri" w:hAnsi="Calibri"/>
          <w:b w:val="false"/>
          <w:i/>
          <w:color w:val="646464"/>
          <w:sz w:val="20"/>
        </w:rPr>
        <w:t>— End of Debugging &amp; Optimisation Answers —</w:t>
      </w:r>
    </w:p>
    <w:p w14:paraId="070A4CE8">
      <w:pPr>
        <w:pStyle w:val="style0"/>
        <w:rPr/>
      </w:pPr>
      <w:r>
        <w:br w:type="page"/>
      </w:r>
    </w:p>
    <w:p w14:paraId="7C080FCB">
      <w:pPr>
        <w:pStyle w:val="style0"/>
        <w:spacing w:after="200"/>
        <w:jc w:val="center"/>
        <w:rPr/>
      </w:pPr>
      <w:r>
        <w:rPr>
          <w:rFonts w:ascii="Calibri" w:eastAsia="Calibri" w:hAnsi="Calibri"/>
          <w:b/>
          <w:i w:val="false"/>
          <w:color w:val="1f4e79"/>
          <w:sz w:val="28"/>
        </w:rPr>
        <w:t>RUBRICS FOR CALCULATION</w:t>
      </w:r>
    </w:p>
    <w:tbl>
      <w:tblPr>
        <w:tblStyle w:val="style154"/>
        <w:tblW w:w="0" w:type="auto"/>
        <w:jc w:val="center"/>
        <w:tblLook w:val="04A0" w:firstRow="1" w:lastRow="0" w:firstColumn="1" w:lastColumn="0" w:noHBand="0" w:noVBand="1"/>
      </w:tblPr>
      <w:tblGrid>
        <w:gridCol w:w="1601"/>
        <w:gridCol w:w="1017"/>
        <w:gridCol w:w="1871"/>
        <w:gridCol w:w="1827"/>
        <w:gridCol w:w="1827"/>
        <w:gridCol w:w="1827"/>
      </w:tblGrid>
      <w:tr w14:paraId="C20ED4B8">
        <w:trPr>
          <w:jc w:val="center"/>
        </w:trPr>
        <w:tc>
          <w:tcPr>
            <w:tcW w:w="1701" w:type="dxa"/>
            <w:tcBorders/>
            <w:shd w:val="nil" w:color="auto" w:fill="1f4e79"/>
          </w:tcPr>
          <w:p w14:paraId="51C9EBC4">
            <w:pPr>
              <w:pStyle w:val="style0"/>
              <w:jc w:val="center"/>
              <w:rPr/>
            </w:pPr>
            <w:r>
              <w:rPr>
                <w:rFonts w:ascii="Calibri" w:eastAsia="Calibri" w:hAnsi="Calibri"/>
                <w:b/>
                <w:i w:val="false"/>
                <w:color w:val="ffffff"/>
                <w:sz w:val="16"/>
              </w:rPr>
              <w:t>Criteria</w:t>
            </w:r>
          </w:p>
        </w:tc>
        <w:tc>
          <w:tcPr>
            <w:tcW w:w="1020" w:type="dxa"/>
            <w:tcBorders/>
            <w:shd w:val="nil" w:color="auto" w:fill="1f4e79"/>
          </w:tcPr>
          <w:p w14:paraId="C2421936">
            <w:pPr>
              <w:pStyle w:val="style0"/>
              <w:jc w:val="center"/>
              <w:rPr/>
            </w:pPr>
            <w:r>
              <w:rPr>
                <w:rFonts w:ascii="Calibri" w:eastAsia="Calibri" w:hAnsi="Calibri"/>
                <w:b/>
                <w:i w:val="false"/>
                <w:color w:val="ffffff"/>
                <w:sz w:val="16"/>
              </w:rPr>
              <w:t>Weightage</w:t>
            </w:r>
          </w:p>
        </w:tc>
        <w:tc>
          <w:tcPr>
            <w:tcW w:w="2041" w:type="dxa"/>
            <w:tcBorders/>
            <w:shd w:val="nil" w:color="auto" w:fill="1f4e79"/>
          </w:tcPr>
          <w:p w14:paraId="AF9D5F61">
            <w:pPr>
              <w:pStyle w:val="style0"/>
              <w:jc w:val="center"/>
              <w:rPr/>
            </w:pPr>
            <w:r>
              <w:rPr>
                <w:rFonts w:ascii="Calibri" w:eastAsia="Calibri" w:hAnsi="Calibri"/>
                <w:b/>
                <w:i w:val="false"/>
                <w:color w:val="ffffff"/>
                <w:sz w:val="16"/>
              </w:rPr>
              <w:t>Level 4</w:t>
            </w:r>
            <w:r>
              <w:rPr>
                <w:rFonts w:ascii="Calibri" w:eastAsia="Calibri" w:hAnsi="Calibri"/>
                <w:b/>
                <w:i w:val="false"/>
                <w:color w:val="ffffff"/>
                <w:sz w:val="16"/>
              </w:rPr>
              <w:br/>
            </w:r>
            <w:r>
              <w:rPr>
                <w:rFonts w:ascii="Calibri" w:eastAsia="Calibri" w:hAnsi="Calibri"/>
                <w:b/>
                <w:i w:val="false"/>
                <w:color w:val="ffffff"/>
                <w:sz w:val="16"/>
              </w:rPr>
              <w:t>(Exemplary)</w:t>
            </w:r>
          </w:p>
        </w:tc>
        <w:tc>
          <w:tcPr>
            <w:tcW w:w="1984" w:type="dxa"/>
            <w:tcBorders/>
            <w:shd w:val="nil" w:color="auto" w:fill="1f4e79"/>
          </w:tcPr>
          <w:p w14:paraId="D925594B">
            <w:pPr>
              <w:pStyle w:val="style0"/>
              <w:jc w:val="center"/>
              <w:rPr/>
            </w:pPr>
            <w:r>
              <w:rPr>
                <w:rFonts w:ascii="Calibri" w:eastAsia="Calibri" w:hAnsi="Calibri"/>
                <w:b/>
                <w:i w:val="false"/>
                <w:color w:val="ffffff"/>
                <w:sz w:val="16"/>
              </w:rPr>
              <w:t>Level 3</w:t>
            </w:r>
            <w:r>
              <w:rPr>
                <w:rFonts w:ascii="Calibri" w:eastAsia="Calibri" w:hAnsi="Calibri"/>
                <w:b/>
                <w:i w:val="false"/>
                <w:color w:val="ffffff"/>
                <w:sz w:val="16"/>
              </w:rPr>
              <w:br/>
            </w:r>
            <w:r>
              <w:rPr>
                <w:rFonts w:ascii="Calibri" w:eastAsia="Calibri" w:hAnsi="Calibri"/>
                <w:b/>
                <w:i w:val="false"/>
                <w:color w:val="ffffff"/>
                <w:sz w:val="16"/>
              </w:rPr>
              <w:t>(Proficient)</w:t>
            </w:r>
          </w:p>
        </w:tc>
        <w:tc>
          <w:tcPr>
            <w:tcW w:w="1984" w:type="dxa"/>
            <w:tcBorders/>
            <w:shd w:val="nil" w:color="auto" w:fill="1f4e79"/>
          </w:tcPr>
          <w:p w14:paraId="EC573F0A">
            <w:pPr>
              <w:pStyle w:val="style0"/>
              <w:jc w:val="center"/>
              <w:rPr/>
            </w:pPr>
            <w:r>
              <w:rPr>
                <w:rFonts w:ascii="Calibri" w:eastAsia="Calibri" w:hAnsi="Calibri"/>
                <w:b/>
                <w:i w:val="false"/>
                <w:color w:val="ffffff"/>
                <w:sz w:val="16"/>
              </w:rPr>
              <w:t>Level 2</w:t>
            </w:r>
            <w:r>
              <w:rPr>
                <w:rFonts w:ascii="Calibri" w:eastAsia="Calibri" w:hAnsi="Calibri"/>
                <w:b/>
                <w:i w:val="false"/>
                <w:color w:val="ffffff"/>
                <w:sz w:val="16"/>
              </w:rPr>
              <w:br/>
            </w:r>
            <w:r>
              <w:rPr>
                <w:rFonts w:ascii="Calibri" w:eastAsia="Calibri" w:hAnsi="Calibri"/>
                <w:b/>
                <w:i w:val="false"/>
                <w:color w:val="ffffff"/>
                <w:sz w:val="16"/>
              </w:rPr>
              <w:t>(Developing)</w:t>
            </w:r>
          </w:p>
        </w:tc>
        <w:tc>
          <w:tcPr>
            <w:tcW w:w="1984" w:type="dxa"/>
            <w:tcBorders/>
            <w:shd w:val="nil" w:color="auto" w:fill="1f4e79"/>
          </w:tcPr>
          <w:p w14:paraId="2F5BFD13">
            <w:pPr>
              <w:pStyle w:val="style0"/>
              <w:jc w:val="center"/>
              <w:rPr/>
            </w:pPr>
            <w:r>
              <w:rPr>
                <w:rFonts w:ascii="Calibri" w:eastAsia="Calibri" w:hAnsi="Calibri"/>
                <w:b/>
                <w:i w:val="false"/>
                <w:color w:val="ffffff"/>
                <w:sz w:val="16"/>
              </w:rPr>
              <w:t>Level 1</w:t>
            </w:r>
            <w:r>
              <w:rPr>
                <w:rFonts w:ascii="Calibri" w:eastAsia="Calibri" w:hAnsi="Calibri"/>
                <w:b/>
                <w:i w:val="false"/>
                <w:color w:val="ffffff"/>
                <w:sz w:val="16"/>
              </w:rPr>
              <w:br/>
            </w:r>
            <w:r>
              <w:rPr>
                <w:rFonts w:ascii="Calibri" w:eastAsia="Calibri" w:hAnsi="Calibri"/>
                <w:b/>
                <w:i w:val="false"/>
                <w:color w:val="ffffff"/>
                <w:sz w:val="16"/>
              </w:rPr>
              <w:t>(Beginning)</w:t>
            </w:r>
          </w:p>
        </w:tc>
      </w:tr>
      <w:tr w14:paraId="741D1506">
        <w:tblPrEx/>
        <w:trPr>
          <w:jc w:val="center"/>
        </w:trPr>
        <w:tc>
          <w:tcPr>
            <w:tcW w:w="1701" w:type="dxa"/>
            <w:tcBorders/>
          </w:tcPr>
          <w:p w14:paraId="E28A8C68">
            <w:pPr>
              <w:pStyle w:val="style0"/>
              <w:rPr/>
            </w:pPr>
            <w:r>
              <w:rPr>
                <w:rFonts w:ascii="Calibri" w:eastAsia="Calibri" w:hAnsi="Calibri"/>
                <w:b/>
                <w:i w:val="false"/>
                <w:sz w:val="18"/>
              </w:rPr>
              <w:t>Problem Identification</w:t>
            </w:r>
          </w:p>
        </w:tc>
        <w:tc>
          <w:tcPr>
            <w:tcW w:w="1020" w:type="dxa"/>
            <w:tcBorders/>
          </w:tcPr>
          <w:p w14:paraId="FAB1E99E">
            <w:pPr>
              <w:pStyle w:val="style0"/>
              <w:jc w:val="center"/>
              <w:rPr/>
            </w:pPr>
            <w:r>
              <w:rPr>
                <w:rFonts w:ascii="Calibri" w:eastAsia="Calibri" w:hAnsi="Calibri"/>
                <w:b/>
                <w:i w:val="false"/>
                <w:sz w:val="18"/>
              </w:rPr>
              <w:t>20%</w:t>
            </w:r>
          </w:p>
        </w:tc>
        <w:tc>
          <w:tcPr>
            <w:tcW w:w="2041" w:type="dxa"/>
            <w:tcBorders/>
          </w:tcPr>
          <w:p w14:paraId="8214671D">
            <w:pPr>
              <w:pStyle w:val="style0"/>
              <w:rPr/>
            </w:pPr>
            <w:r>
              <w:rPr>
                <w:rFonts w:ascii="Calibri" w:eastAsia="Calibri" w:hAnsi="Calibri"/>
                <w:b w:val="false"/>
                <w:i w:val="false"/>
                <w:sz w:val="16"/>
              </w:rPr>
              <w:t>Accurately identifies all errors and root causes with clear understanding</w:t>
            </w:r>
          </w:p>
        </w:tc>
        <w:tc>
          <w:tcPr>
            <w:tcW w:w="1984" w:type="dxa"/>
            <w:tcBorders/>
          </w:tcPr>
          <w:p w14:paraId="C8AD4791">
            <w:pPr>
              <w:pStyle w:val="style0"/>
              <w:rPr/>
            </w:pPr>
            <w:r>
              <w:rPr>
                <w:rFonts w:ascii="Calibri" w:eastAsia="Calibri" w:hAnsi="Calibri"/>
                <w:b w:val="false"/>
                <w:i w:val="false"/>
                <w:sz w:val="16"/>
              </w:rPr>
              <w:t>Identifies most errors with minor gaps</w:t>
            </w:r>
          </w:p>
        </w:tc>
        <w:tc>
          <w:tcPr>
            <w:tcW w:w="1984" w:type="dxa"/>
            <w:tcBorders/>
          </w:tcPr>
          <w:p w14:paraId="AC98F235">
            <w:pPr>
              <w:pStyle w:val="style0"/>
              <w:rPr/>
            </w:pPr>
            <w:r>
              <w:rPr>
                <w:rFonts w:ascii="Calibri" w:eastAsia="Calibri" w:hAnsi="Calibri"/>
                <w:b w:val="false"/>
                <w:i w:val="false"/>
                <w:sz w:val="16"/>
              </w:rPr>
              <w:t>Identifies some errors but misses key issues</w:t>
            </w:r>
          </w:p>
        </w:tc>
        <w:tc>
          <w:tcPr>
            <w:tcW w:w="1984" w:type="dxa"/>
            <w:tcBorders/>
          </w:tcPr>
          <w:p w14:paraId="BF04C18E">
            <w:pPr>
              <w:pStyle w:val="style0"/>
              <w:rPr/>
            </w:pPr>
            <w:r>
              <w:rPr>
                <w:rFonts w:ascii="Calibri" w:eastAsia="Calibri" w:hAnsi="Calibri"/>
                <w:b w:val="false"/>
                <w:i w:val="false"/>
                <w:sz w:val="16"/>
              </w:rPr>
              <w:t>Unable to identify errors correctly</w:t>
            </w:r>
          </w:p>
        </w:tc>
      </w:tr>
      <w:tr w14:paraId="65F08EC7">
        <w:tblPrEx/>
        <w:trPr>
          <w:jc w:val="center"/>
        </w:trPr>
        <w:tc>
          <w:tcPr>
            <w:tcW w:w="1701" w:type="dxa"/>
            <w:tcBorders/>
          </w:tcPr>
          <w:p w14:paraId="80F76998">
            <w:pPr>
              <w:pStyle w:val="style0"/>
              <w:rPr/>
            </w:pPr>
            <w:r>
              <w:rPr>
                <w:rFonts w:ascii="Calibri" w:eastAsia="Calibri" w:hAnsi="Calibri"/>
                <w:b/>
                <w:i w:val="false"/>
                <w:sz w:val="18"/>
              </w:rPr>
              <w:t>Debugging</w:t>
            </w:r>
          </w:p>
        </w:tc>
        <w:tc>
          <w:tcPr>
            <w:tcW w:w="1020" w:type="dxa"/>
            <w:tcBorders/>
          </w:tcPr>
          <w:p w14:paraId="9B5E2AE2">
            <w:pPr>
              <w:pStyle w:val="style0"/>
              <w:jc w:val="center"/>
              <w:rPr/>
            </w:pPr>
            <w:r>
              <w:rPr>
                <w:rFonts w:ascii="Calibri" w:eastAsia="Calibri" w:hAnsi="Calibri"/>
                <w:b/>
                <w:i w:val="false"/>
                <w:sz w:val="18"/>
              </w:rPr>
              <w:t>25%</w:t>
            </w:r>
          </w:p>
        </w:tc>
        <w:tc>
          <w:tcPr>
            <w:tcW w:w="2041" w:type="dxa"/>
            <w:tcBorders/>
          </w:tcPr>
          <w:p w14:paraId="CF2FBFBD">
            <w:pPr>
              <w:pStyle w:val="style0"/>
              <w:rPr/>
            </w:pPr>
            <w:r>
              <w:rPr>
                <w:rFonts w:ascii="Calibri" w:eastAsia="Calibri" w:hAnsi="Calibri"/>
                <w:b w:val="false"/>
                <w:i w:val="false"/>
                <w:sz w:val="16"/>
              </w:rPr>
              <w:t>Applies systematic debugging techniques effectively to resolve issues</w:t>
            </w:r>
          </w:p>
        </w:tc>
        <w:tc>
          <w:tcPr>
            <w:tcW w:w="1984" w:type="dxa"/>
            <w:tcBorders/>
          </w:tcPr>
          <w:p w14:paraId="1A4C0066">
            <w:pPr>
              <w:pStyle w:val="style0"/>
              <w:rPr/>
            </w:pPr>
            <w:r>
              <w:rPr>
                <w:rFonts w:ascii="Calibri" w:eastAsia="Calibri" w:hAnsi="Calibri"/>
                <w:b w:val="false"/>
                <w:i w:val="false"/>
                <w:sz w:val="16"/>
              </w:rPr>
              <w:t>Uses appropriate debugging methods with minor errors</w:t>
            </w:r>
          </w:p>
        </w:tc>
        <w:tc>
          <w:tcPr>
            <w:tcW w:w="1984" w:type="dxa"/>
            <w:tcBorders/>
          </w:tcPr>
          <w:p w14:paraId="09FC1BC7">
            <w:pPr>
              <w:pStyle w:val="style0"/>
              <w:rPr/>
            </w:pPr>
            <w:r>
              <w:rPr>
                <w:rFonts w:ascii="Calibri" w:eastAsia="Calibri" w:hAnsi="Calibri"/>
                <w:b w:val="false"/>
                <w:i w:val="false"/>
                <w:sz w:val="16"/>
              </w:rPr>
              <w:t>Limited debugging approach; requires guidance</w:t>
            </w:r>
          </w:p>
        </w:tc>
        <w:tc>
          <w:tcPr>
            <w:tcW w:w="1984" w:type="dxa"/>
            <w:tcBorders/>
          </w:tcPr>
          <w:p w14:paraId="BE52AA16">
            <w:pPr>
              <w:pStyle w:val="style0"/>
              <w:rPr/>
            </w:pPr>
            <w:r>
              <w:rPr>
                <w:rFonts w:ascii="Calibri" w:eastAsia="Calibri" w:hAnsi="Calibri"/>
                <w:b w:val="false"/>
                <w:i w:val="false"/>
                <w:sz w:val="16"/>
              </w:rPr>
              <w:t>Unable to debug or resolve issues</w:t>
            </w:r>
          </w:p>
        </w:tc>
      </w:tr>
      <w:tr w14:paraId="03EE70B9">
        <w:tblPrEx/>
        <w:trPr>
          <w:jc w:val="center"/>
        </w:trPr>
        <w:tc>
          <w:tcPr>
            <w:tcW w:w="1701" w:type="dxa"/>
            <w:tcBorders/>
          </w:tcPr>
          <w:p w14:paraId="4A13D62F">
            <w:pPr>
              <w:pStyle w:val="style0"/>
              <w:rPr/>
            </w:pPr>
            <w:r>
              <w:rPr>
                <w:rFonts w:ascii="Calibri" w:eastAsia="Calibri" w:hAnsi="Calibri"/>
                <w:b/>
                <w:i w:val="false"/>
                <w:sz w:val="18"/>
              </w:rPr>
              <w:t>Optimization</w:t>
            </w:r>
          </w:p>
        </w:tc>
        <w:tc>
          <w:tcPr>
            <w:tcW w:w="1020" w:type="dxa"/>
            <w:tcBorders/>
          </w:tcPr>
          <w:p w14:paraId="1D07B8DA">
            <w:pPr>
              <w:pStyle w:val="style0"/>
              <w:jc w:val="center"/>
              <w:rPr/>
            </w:pPr>
            <w:r>
              <w:rPr>
                <w:rFonts w:ascii="Calibri" w:eastAsia="Calibri" w:hAnsi="Calibri"/>
                <w:b/>
                <w:i w:val="false"/>
                <w:sz w:val="18"/>
              </w:rPr>
              <w:t>20%</w:t>
            </w:r>
          </w:p>
        </w:tc>
        <w:tc>
          <w:tcPr>
            <w:tcW w:w="2041" w:type="dxa"/>
            <w:tcBorders/>
          </w:tcPr>
          <w:p w14:paraId="742DC62D">
            <w:pPr>
              <w:pStyle w:val="style0"/>
              <w:rPr/>
            </w:pPr>
            <w:r>
              <w:rPr>
                <w:rFonts w:ascii="Calibri" w:eastAsia="Calibri" w:hAnsi="Calibri"/>
                <w:b w:val="false"/>
                <w:i w:val="false"/>
                <w:sz w:val="16"/>
              </w:rPr>
              <w:t>Optimizes code by significantly improving time complexity using efficient algorithms</w:t>
            </w:r>
          </w:p>
        </w:tc>
        <w:tc>
          <w:tcPr>
            <w:tcW w:w="1984" w:type="dxa"/>
            <w:tcBorders/>
          </w:tcPr>
          <w:p w14:paraId="5492C984">
            <w:pPr>
              <w:pStyle w:val="style0"/>
              <w:rPr/>
            </w:pPr>
            <w:r>
              <w:rPr>
                <w:rFonts w:ascii="Calibri" w:eastAsia="Calibri" w:hAnsi="Calibri"/>
                <w:b w:val="false"/>
                <w:i w:val="false"/>
                <w:sz w:val="16"/>
              </w:rPr>
              <w:t>Improves time complexity with minor gaps in efficiency</w:t>
            </w:r>
          </w:p>
        </w:tc>
        <w:tc>
          <w:tcPr>
            <w:tcW w:w="1984" w:type="dxa"/>
            <w:tcBorders/>
          </w:tcPr>
          <w:p w14:paraId="868F52F7">
            <w:pPr>
              <w:pStyle w:val="style0"/>
              <w:rPr/>
            </w:pPr>
            <w:r>
              <w:rPr>
                <w:rFonts w:ascii="Calibri" w:eastAsia="Calibri" w:hAnsi="Calibri"/>
                <w:b w:val="false"/>
                <w:i w:val="false"/>
                <w:sz w:val="16"/>
              </w:rPr>
              <w:t>Limited improvement in time complexity</w:t>
            </w:r>
          </w:p>
        </w:tc>
        <w:tc>
          <w:tcPr>
            <w:tcW w:w="1984" w:type="dxa"/>
            <w:tcBorders/>
          </w:tcPr>
          <w:p w14:paraId="6E96B02B">
            <w:pPr>
              <w:pStyle w:val="style0"/>
              <w:rPr/>
            </w:pPr>
            <w:r>
              <w:rPr>
                <w:rFonts w:ascii="Calibri" w:eastAsia="Calibri" w:hAnsi="Calibri"/>
                <w:b w:val="false"/>
                <w:i w:val="false"/>
                <w:sz w:val="16"/>
              </w:rPr>
              <w:t>No improvement; inefficient approach retained</w:t>
            </w:r>
          </w:p>
        </w:tc>
      </w:tr>
      <w:tr w14:paraId="A88AAC9C">
        <w:tblPrEx/>
        <w:trPr>
          <w:jc w:val="center"/>
        </w:trPr>
        <w:tc>
          <w:tcPr>
            <w:tcW w:w="1701" w:type="dxa"/>
            <w:tcBorders/>
          </w:tcPr>
          <w:p w14:paraId="BDE45917">
            <w:pPr>
              <w:pStyle w:val="style0"/>
              <w:rPr/>
            </w:pPr>
            <w:r>
              <w:rPr>
                <w:rFonts w:ascii="Calibri" w:eastAsia="Calibri" w:hAnsi="Calibri"/>
                <w:b/>
                <w:i w:val="false"/>
                <w:sz w:val="18"/>
              </w:rPr>
              <w:t>Analysis</w:t>
            </w:r>
          </w:p>
        </w:tc>
        <w:tc>
          <w:tcPr>
            <w:tcW w:w="1020" w:type="dxa"/>
            <w:tcBorders/>
          </w:tcPr>
          <w:p w14:paraId="C7843E77">
            <w:pPr>
              <w:pStyle w:val="style0"/>
              <w:jc w:val="center"/>
              <w:rPr/>
            </w:pPr>
            <w:r>
              <w:rPr>
                <w:rFonts w:ascii="Calibri" w:eastAsia="Calibri" w:hAnsi="Calibri"/>
                <w:b/>
                <w:i w:val="false"/>
                <w:sz w:val="18"/>
              </w:rPr>
              <w:t>20%</w:t>
            </w:r>
          </w:p>
        </w:tc>
        <w:tc>
          <w:tcPr>
            <w:tcW w:w="2041" w:type="dxa"/>
            <w:tcBorders/>
          </w:tcPr>
          <w:p w14:paraId="003831A0">
            <w:pPr>
              <w:pStyle w:val="style0"/>
              <w:rPr/>
            </w:pPr>
            <w:r>
              <w:rPr>
                <w:rFonts w:ascii="Calibri" w:eastAsia="Calibri" w:hAnsi="Calibri"/>
                <w:b w:val="false"/>
                <w:i w:val="false"/>
                <w:sz w:val="16"/>
              </w:rPr>
              <w:t>Demonstrates strong logical reasoning and clear justification of solutions</w:t>
            </w:r>
          </w:p>
        </w:tc>
        <w:tc>
          <w:tcPr>
            <w:tcW w:w="1984" w:type="dxa"/>
            <w:tcBorders/>
          </w:tcPr>
          <w:p w14:paraId="F2F495C2">
            <w:pPr>
              <w:pStyle w:val="style0"/>
              <w:rPr/>
            </w:pPr>
            <w:r>
              <w:rPr>
                <w:rFonts w:ascii="Calibri" w:eastAsia="Calibri" w:hAnsi="Calibri"/>
                <w:b w:val="false"/>
                <w:i w:val="false"/>
                <w:sz w:val="16"/>
              </w:rPr>
              <w:t>Shows reasonable analysis with some justification</w:t>
            </w:r>
          </w:p>
        </w:tc>
        <w:tc>
          <w:tcPr>
            <w:tcW w:w="1984" w:type="dxa"/>
            <w:tcBorders/>
          </w:tcPr>
          <w:p w14:paraId="ED260453">
            <w:pPr>
              <w:pStyle w:val="style0"/>
              <w:rPr/>
            </w:pPr>
            <w:r>
              <w:rPr>
                <w:rFonts w:ascii="Calibri" w:eastAsia="Calibri" w:hAnsi="Calibri"/>
                <w:b w:val="false"/>
                <w:i w:val="false"/>
                <w:sz w:val="16"/>
              </w:rPr>
              <w:t>Limited analysis; weak reasoning</w:t>
            </w:r>
          </w:p>
        </w:tc>
        <w:tc>
          <w:tcPr>
            <w:tcW w:w="1984" w:type="dxa"/>
            <w:tcBorders/>
          </w:tcPr>
          <w:p w14:paraId="2C5AE6B9">
            <w:pPr>
              <w:pStyle w:val="style0"/>
              <w:rPr/>
            </w:pPr>
            <w:r>
              <w:rPr>
                <w:rFonts w:ascii="Calibri" w:eastAsia="Calibri" w:hAnsi="Calibri"/>
                <w:b w:val="false"/>
                <w:i w:val="false"/>
                <w:sz w:val="16"/>
              </w:rPr>
              <w:t>No analytical reasoning demonstrated</w:t>
            </w:r>
          </w:p>
        </w:tc>
      </w:tr>
      <w:tr w14:paraId="30D5BC31">
        <w:tblPrEx/>
        <w:trPr>
          <w:jc w:val="center"/>
        </w:trPr>
        <w:tc>
          <w:tcPr>
            <w:tcW w:w="1701" w:type="dxa"/>
            <w:tcBorders/>
          </w:tcPr>
          <w:p w14:paraId="75AEC135">
            <w:pPr>
              <w:pStyle w:val="style0"/>
              <w:rPr/>
            </w:pPr>
            <w:r>
              <w:rPr>
                <w:rFonts w:ascii="Calibri" w:eastAsia="Calibri" w:hAnsi="Calibri"/>
                <w:b/>
                <w:i w:val="false"/>
                <w:sz w:val="18"/>
              </w:rPr>
              <w:t>Code Quality</w:t>
            </w:r>
          </w:p>
        </w:tc>
        <w:tc>
          <w:tcPr>
            <w:tcW w:w="1020" w:type="dxa"/>
            <w:tcBorders/>
          </w:tcPr>
          <w:p w14:paraId="223193D5">
            <w:pPr>
              <w:pStyle w:val="style0"/>
              <w:jc w:val="center"/>
              <w:rPr/>
            </w:pPr>
            <w:r>
              <w:rPr>
                <w:rFonts w:ascii="Calibri" w:eastAsia="Calibri" w:hAnsi="Calibri"/>
                <w:b/>
                <w:i w:val="false"/>
                <w:sz w:val="18"/>
              </w:rPr>
              <w:t>15%</w:t>
            </w:r>
          </w:p>
        </w:tc>
        <w:tc>
          <w:tcPr>
            <w:tcW w:w="2041" w:type="dxa"/>
            <w:tcBorders/>
          </w:tcPr>
          <w:p w14:paraId="441A31F4">
            <w:pPr>
              <w:pStyle w:val="style0"/>
              <w:rPr/>
            </w:pPr>
            <w:r>
              <w:rPr>
                <w:rFonts w:ascii="Calibri" w:eastAsia="Calibri" w:hAnsi="Calibri"/>
                <w:b w:val="false"/>
                <w:i w:val="false"/>
                <w:sz w:val="16"/>
              </w:rPr>
              <w:t>Produces clean, well-structured code with proper comments and documentation</w:t>
            </w:r>
          </w:p>
        </w:tc>
        <w:tc>
          <w:tcPr>
            <w:tcW w:w="1984" w:type="dxa"/>
            <w:tcBorders/>
          </w:tcPr>
          <w:p w14:paraId="B6AFB214">
            <w:pPr>
              <w:pStyle w:val="style0"/>
              <w:rPr/>
            </w:pPr>
            <w:r>
              <w:rPr>
                <w:rFonts w:ascii="Calibri" w:eastAsia="Calibri" w:hAnsi="Calibri"/>
                <w:b w:val="false"/>
                <w:i w:val="false"/>
                <w:sz w:val="16"/>
              </w:rPr>
              <w:t>Code is mostly clear with minor documentation gaps</w:t>
            </w:r>
          </w:p>
        </w:tc>
        <w:tc>
          <w:tcPr>
            <w:tcW w:w="1984" w:type="dxa"/>
            <w:tcBorders/>
          </w:tcPr>
          <w:p w14:paraId="ADCEF154">
            <w:pPr>
              <w:pStyle w:val="style0"/>
              <w:rPr/>
            </w:pPr>
            <w:r>
              <w:rPr>
                <w:rFonts w:ascii="Calibri" w:eastAsia="Calibri" w:hAnsi="Calibri"/>
                <w:b w:val="false"/>
                <w:i w:val="false"/>
                <w:sz w:val="16"/>
              </w:rPr>
              <w:t>Code lacks structure and proper documentation</w:t>
            </w:r>
          </w:p>
        </w:tc>
        <w:tc>
          <w:tcPr>
            <w:tcW w:w="1984" w:type="dxa"/>
            <w:tcBorders/>
          </w:tcPr>
          <w:p w14:paraId="B9156A03">
            <w:pPr>
              <w:pStyle w:val="style0"/>
              <w:rPr/>
            </w:pPr>
            <w:r>
              <w:rPr>
                <w:rFonts w:ascii="Calibri" w:eastAsia="Calibri" w:hAnsi="Calibri"/>
                <w:b w:val="false"/>
                <w:i w:val="false"/>
                <w:sz w:val="16"/>
              </w:rPr>
              <w:t>Poorly written code with no documentation</w:t>
            </w:r>
          </w:p>
        </w:tc>
      </w:tr>
    </w:tbl>
    <w:p w14:paraId="228C8084">
      <w:pPr>
        <w:pStyle w:val="style0"/>
        <w:spacing w:before="360"/>
        <w:jc w:val="center"/>
        <w:rPr/>
      </w:pPr>
      <w:r>
        <w:rPr>
          <w:rFonts w:ascii="Calibri" w:eastAsia="Calibri" w:hAnsi="Calibri"/>
          <w:b w:val="false"/>
          <w:i/>
          <w:color w:val="787878"/>
          <w:sz w:val="18"/>
        </w:rPr>
        <w:t>SIMATS ENGINEERING  |  CSA51 – Cryptography and Network Security  |  Assessment Tool 3</w:t>
      </w:r>
    </w:p>
    <w:sectPr>
      <w:pgSz w:w="11906" w:h="16838" w:orient="portrait"/>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69"/>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78b9409-c627-4e01-840b-de98c92bf68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3a1bd29-47b2-4e89-a669-2fc90a28a69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1adee1e-a8c5-4b4b-9e3d-b85c04b7a46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c2cb3a9-3c3c-4717-b27c-5d4dc033b4c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913f9ea-df5a-4a51-bfa2-ef41bb3b59b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8afd085-137f-4967-a69c-62a80c42d2e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2b340e9-e8d8-44e2-8faf-1c3f8fe0e612"/>
    <w:basedOn w:val="style65"/>
    <w:next w:val="style4108"/>
    <w:link w:val="style180"/>
    <w:uiPriority w:val="29"/>
    <w:rPr>
      <w:i/>
      <w:iCs/>
      <w:color w:val="000000"/>
    </w:rPr>
  </w:style>
  <w:style w:type="character" w:customStyle="1" w:styleId="style4109">
    <w:name w:val="Heading 4 Char_804315c5-1afb-421c-8997-ccb7d9b7191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b487133-cf0b-4074-92a6-f013734c077b"/>
    <w:basedOn w:val="style65"/>
    <w:next w:val="style4110"/>
    <w:link w:val="style5"/>
    <w:uiPriority w:val="9"/>
    <w:rPr>
      <w:rFonts w:ascii="Calibri" w:cs="宋体" w:eastAsia="ＭＳ ゴシック" w:hAnsi="Calibri"/>
      <w:color w:val="243f60"/>
    </w:rPr>
  </w:style>
  <w:style w:type="character" w:customStyle="1" w:styleId="style4111">
    <w:name w:val="Heading 6 Char_784aabd0-9cf7-4811-9039-f8c0be80f354"/>
    <w:basedOn w:val="style65"/>
    <w:next w:val="style4111"/>
    <w:link w:val="style6"/>
    <w:uiPriority w:val="9"/>
    <w:rPr>
      <w:rFonts w:ascii="Calibri" w:cs="宋体" w:eastAsia="ＭＳ ゴシック" w:hAnsi="Calibri"/>
      <w:i/>
      <w:iCs/>
      <w:color w:val="243f60"/>
    </w:rPr>
  </w:style>
  <w:style w:type="character" w:customStyle="1" w:styleId="style4112">
    <w:name w:val="Heading 7 Char_9b1e0437-a946-44ab-85ed-d75cd9e64255"/>
    <w:basedOn w:val="style65"/>
    <w:next w:val="style4112"/>
    <w:link w:val="style7"/>
    <w:uiPriority w:val="9"/>
    <w:rPr>
      <w:rFonts w:ascii="Calibri" w:cs="宋体" w:eastAsia="ＭＳ ゴシック" w:hAnsi="Calibri"/>
      <w:i/>
      <w:iCs/>
      <w:color w:val="404040"/>
    </w:rPr>
  </w:style>
  <w:style w:type="character" w:customStyle="1" w:styleId="style4113">
    <w:name w:val="Heading 8 Char_be820706-70b9-4379-9f8f-6db83f63750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5645b05-1c73-450b-a165-041e4534099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e3d593a-d72b-45f4-b4ef-53613147cc4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2010</Words>
  <Pages>1</Pages>
  <Characters>11798</Characters>
  <Application>WPS Office</Application>
  <DocSecurity>0</DocSecurity>
  <Paragraphs>211</Paragraphs>
  <ScaleCrop>false</ScaleCrop>
  <LinksUpToDate>false</LinksUpToDate>
  <CharactersWithSpaces>13662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CPH2603</lastModifiedBy>
  <dcterms:modified xsi:type="dcterms:W3CDTF">2026-10-27T05:06:00Z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90dc6e8f3570464f9d9c5e0900b020ae_23</vt:lpwstr>
  </property>
</Properties>
</file>