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B" w:rsidRPr="00731C42" w:rsidRDefault="008A14D4" w:rsidP="00EB3FFA">
      <w:pPr>
        <w:pStyle w:val="berschrift1"/>
      </w:pPr>
      <w:bookmarkStart w:id="0" w:name="_GoBack"/>
      <w:bookmarkEnd w:id="0"/>
      <w:proofErr w:type="spellStart"/>
      <w:r w:rsidRPr="00731C42">
        <w:t>PhotoScan</w:t>
      </w:r>
      <w:proofErr w:type="spellEnd"/>
      <w:r w:rsidRPr="00731C42">
        <w:t xml:space="preserve"> Analysis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kann ein Report zur Bildmessgenauigkeit erstellt werden. Weiter lassen sich die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Fehlerellipsoide</w:t>
      </w:r>
      <w:r w:rsidR="00B32A64" w:rsidRPr="00731C42">
        <w:t xml:space="preserve"> der Objektpunkte</w:t>
      </w:r>
      <w:r w:rsidR="003917B3">
        <w:t xml:space="preserve"> </w:t>
      </w:r>
      <w:r w:rsidR="003917B3" w:rsidRPr="00731C42">
        <w:t>(nicht metrisch)</w:t>
      </w:r>
      <w:r w:rsidR="00B32A64" w:rsidRPr="00731C42">
        <w:t>.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6C4289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731C42">
        <w:rPr>
          <w:rFonts w:ascii="Consolas" w:hAnsi="Consolas" w:cs="Consolas"/>
        </w:rPr>
        <w:t xml:space="preserve"> </w:t>
      </w:r>
      <w:proofErr w:type="spellStart"/>
      <w:r w:rsidRPr="006C4289">
        <w:rPr>
          <w:rFonts w:ascii="Consolas" w:hAnsi="Consolas" w:cs="Consolas"/>
          <w:sz w:val="20"/>
        </w:rPr>
        <w:t>Camera</w:t>
      </w:r>
      <w:proofErr w:type="spellEnd"/>
      <w:r w:rsidRPr="006C4289">
        <w:rPr>
          <w:rFonts w:ascii="Consolas" w:hAnsi="Consolas" w:cs="Consolas"/>
          <w:sz w:val="20"/>
        </w:rPr>
        <w:t xml:space="preserve"> Name   </w:t>
      </w:r>
      <w:proofErr w:type="spellStart"/>
      <w:r w:rsidRPr="006C4289">
        <w:rPr>
          <w:rFonts w:ascii="Consolas" w:hAnsi="Consolas" w:cs="Consolas"/>
          <w:sz w:val="20"/>
        </w:rPr>
        <w:t>Projections</w:t>
      </w:r>
      <w:proofErr w:type="spellEnd"/>
      <w:r w:rsidRPr="006C4289">
        <w:rPr>
          <w:rFonts w:ascii="Consolas" w:hAnsi="Consolas" w:cs="Consolas"/>
          <w:sz w:val="20"/>
        </w:rPr>
        <w:t xml:space="preserve">  SIGMA x  SIGMA y  SIGMA P    MAX x    MAX y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IMG_4287.JPG           297  0.32126  0.35394  0.47799  1.26451  1.10858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IMG_4288.JPG           231  0.36953  0.39133  0.53823  1.23350  1.23678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.......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IMG_4335.JPG           612  0.19908  0.28742  0.34963  1.08133  1.27099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IMG_4336.JPG           367  0.27735  0.35559  0.45096  1.09968  1.40987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proofErr w:type="spellStart"/>
      <w:r w:rsidRPr="00731C42">
        <w:rPr>
          <w:rFonts w:asciiTheme="majorHAnsi" w:hAnsiTheme="majorHAnsi" w:cs="Consolas"/>
        </w:rPr>
        <w:t>Projections</w:t>
      </w:r>
      <w:proofErr w:type="spellEnd"/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MAX </w:t>
      </w:r>
      <w:proofErr w:type="spellStart"/>
      <w:r w:rsidRPr="00731C42">
        <w:rPr>
          <w:rFonts w:asciiTheme="majorHAnsi" w:eastAsiaTheme="minorEastAsia" w:hAnsiTheme="majorHAnsi" w:cs="Consolas"/>
        </w:rPr>
        <w:t>x,y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(Maximaler Bildmessfehler in x und y)</w:t>
      </w:r>
    </w:p>
    <w:p w:rsidR="00D35364" w:rsidRPr="00201251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  <w:lang w:val="en-US"/>
        </w:rPr>
      </w:pPr>
      <w:r w:rsidRPr="00201251">
        <w:rPr>
          <w:rFonts w:asciiTheme="majorHAnsi" w:eastAsiaTheme="minorEastAsia" w:hAnsiTheme="majorHAnsi" w:cs="Consolas"/>
          <w:lang w:val="en-US"/>
        </w:rPr>
        <w:t xml:space="preserve">RMS (Root Mean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</m:t>
                </m:r>
                <m:r>
                  <w:rPr>
                    <w:rFonts w:ascii="Cambria Math" w:eastAsiaTheme="minorEastAsia" w:hAnsi="Cambria Math" w:cs="Consolas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  <w:lang w:val="en-U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  <w:lang w:val="en-US"/>
          </w:rPr>
          <m:t>;</m:t>
        </m:r>
        <m:r>
          <w:rPr>
            <w:rFonts w:ascii="Cambria Math" w:eastAsiaTheme="minorEastAsia" w:hAnsi="Cambria Math" w:cs="Consolas"/>
          </w:rPr>
          <m:t>m</m:t>
        </m:r>
        <m:r>
          <w:rPr>
            <w:rFonts w:ascii="Cambria Math" w:eastAsiaTheme="minorEastAsia" w:hAnsi="Cambria Math" w:cs="Consolas"/>
            <w:lang w:val="en-US"/>
          </w:rPr>
          <m:t>=</m:t>
        </m:r>
        <m:r>
          <w:rPr>
            <w:rFonts w:ascii="Cambria Math" w:eastAsiaTheme="minorEastAsia" w:hAnsi="Cambria Math" w:cs="Consolas"/>
          </w:rPr>
          <m:t>Anza</m:t>
        </m:r>
        <m:r>
          <w:rPr>
            <w:rFonts w:ascii="Cambria Math" w:eastAsiaTheme="minorEastAsia" w:hAnsi="Cambria Math" w:cs="Consolas"/>
            <w:lang w:val="en-US"/>
          </w:rPr>
          <m:t>h</m:t>
        </m:r>
        <m:r>
          <w:rPr>
            <w:rFonts w:ascii="Cambria Math" w:eastAsiaTheme="minorEastAsia" w:hAnsi="Cambria Math" w:cs="Consolas"/>
          </w:rPr>
          <m:t>l</m:t>
        </m:r>
        <m:r>
          <w:rPr>
            <w:rFonts w:ascii="Cambria Math" w:eastAsiaTheme="minorEastAsia" w:hAnsi="Cambria Math" w:cs="Consolas"/>
            <w:lang w:val="en-US"/>
          </w:rPr>
          <m:t xml:space="preserve"> </m:t>
        </m:r>
        <m:r>
          <w:rPr>
            <w:rFonts w:ascii="Cambria Math" w:eastAsiaTheme="minorEastAsia" w:hAnsi="Cambria Math" w:cs="Consolas"/>
          </w:rPr>
          <m:t>Kameras</m:t>
        </m:r>
      </m:oMath>
      <w:r w:rsidRPr="00201251">
        <w:rPr>
          <w:rFonts w:asciiTheme="majorHAnsi" w:eastAsiaTheme="minorEastAsia" w:hAnsiTheme="majorHAnsi" w:cs="Consolas"/>
          <w:lang w:val="en-US"/>
        </w:rPr>
        <w:t xml:space="preserve"> </w:t>
      </w:r>
      <w:r w:rsidR="007858A5" w:rsidRPr="00201251">
        <w:rPr>
          <w:rFonts w:asciiTheme="majorHAnsi" w:eastAsiaTheme="minorEastAsia" w:hAnsiTheme="majorHAnsi" w:cs="Consolas"/>
          <w:lang w:val="en-U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800015" w:rsidP="00D35364"/>
    <w:p w:rsidR="00D35364" w:rsidRPr="00731C42" w:rsidRDefault="00731C42" w:rsidP="00800015">
      <w:r w:rsidRPr="00731C4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282B5" wp14:editId="243D547D">
                <wp:simplePos x="0" y="0"/>
                <wp:positionH relativeFrom="column">
                  <wp:posOffset>-4445</wp:posOffset>
                </wp:positionH>
                <wp:positionV relativeFrom="paragraph">
                  <wp:posOffset>-99695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-7.8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">
                <v:rect id="Rechteck 2" o:spid="_x0000_s1027" style="position:absolute;top:190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els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2npb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7Dc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p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6Ow3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60720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lastRenderedPageBreak/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3733800" cy="24628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65" cy="2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>Die Fehlerellipsoide geben Aufschluss über die Netzkonfiguration des Bildverbandes</w:t>
      </w:r>
      <w:r w:rsidR="003917B3">
        <w:t>. Eventuelle</w:t>
      </w:r>
      <w:r>
        <w:t xml:space="preserve"> grobe Fehler lassen sich durch verhältnismäßig  große Ellipsoide erkennen. </w:t>
      </w:r>
    </w:p>
    <w:p w:rsidR="003957B0" w:rsidRDefault="003957B0" w:rsidP="00EB3FFA">
      <w:r>
        <w:t>Die Berechnung der Ellipsoide erfolgt über die Bestimmung der Normalgleichungsmatrix</w:t>
      </w:r>
      <w:r w:rsidR="003917B3">
        <w:t xml:space="preserve"> pro Objektpunkt</w:t>
      </w:r>
    </w:p>
    <w:p w:rsidR="003957B0" w:rsidRPr="00476A2F" w:rsidRDefault="00476A2F" w:rsidP="00EB3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∙P∙A</m:t>
          </m:r>
        </m:oMath>
      </m:oMathPara>
    </w:p>
    <w:p w:rsidR="003957B0" w:rsidRDefault="003957B0" w:rsidP="00EB3FFA">
      <w:pPr>
        <w:rPr>
          <w:rFonts w:eastAsiaTheme="minorEastAsia"/>
        </w:rPr>
      </w:pPr>
      <w:r>
        <w:rPr>
          <w:rFonts w:eastAsiaTheme="minorEastAsia"/>
        </w:rPr>
        <w:t xml:space="preserve">und der daraus resultierenden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476A2F">
        <w:rPr>
          <w:rFonts w:eastAsiaTheme="minorEastAsia"/>
        </w:rPr>
        <w:t>Die Jakobimatrix</w:t>
      </w:r>
      <w:r w:rsidR="00C9669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76A2F">
        <w:rPr>
          <w:rFonts w:eastAsiaTheme="minorEastAsia"/>
        </w:rPr>
        <w:t xml:space="preserve"> wird </w:t>
      </w:r>
      <w:r w:rsidR="00C96692">
        <w:rPr>
          <w:rFonts w:eastAsiaTheme="minorEastAsia"/>
        </w:rPr>
        <w:t xml:space="preserve">definiert </w:t>
      </w:r>
      <w:r w:rsidR="00476A2F">
        <w:rPr>
          <w:rFonts w:eastAsiaTheme="minorEastAsia"/>
        </w:rPr>
        <w:t xml:space="preserve">über den Parametervektor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76A2F">
        <w:rPr>
          <w:rFonts w:eastAsiaTheme="minorEastAsia"/>
          <w:b/>
        </w:rPr>
        <w:t xml:space="preserve"> </w:t>
      </w:r>
      <w:r w:rsidR="00476A2F">
        <w:rPr>
          <w:rFonts w:eastAsiaTheme="minorEastAsia"/>
        </w:rPr>
        <w:t xml:space="preserve">,welcher nur die Koordinaten eines Objektpunktes enthält (Alle anderen </w:t>
      </w:r>
      <w:r w:rsidR="003917B3">
        <w:rPr>
          <w:rFonts w:eastAsiaTheme="minorEastAsia"/>
        </w:rPr>
        <w:t>Parameter</w:t>
      </w:r>
      <w:r w:rsidR="00476A2F">
        <w:rPr>
          <w:rFonts w:eastAsiaTheme="minorEastAsia"/>
        </w:rPr>
        <w:t xml:space="preserve"> werden als fest angenommen)</w:t>
      </w:r>
      <w:r w:rsidR="00C96692">
        <w:rPr>
          <w:rFonts w:eastAsiaTheme="minorEastAsia"/>
        </w:rPr>
        <w:t xml:space="preserve">. Der Beobachtungsvektor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96692">
        <w:rPr>
          <w:rFonts w:eastAsiaTheme="minorEastAsia"/>
          <w:b/>
        </w:rPr>
        <w:t xml:space="preserve"> </w:t>
      </w:r>
      <w:r w:rsidR="00C96692" w:rsidRPr="00C96692">
        <w:rPr>
          <w:rFonts w:eastAsiaTheme="minorEastAsia"/>
        </w:rPr>
        <w:t xml:space="preserve">enthält </w:t>
      </w:r>
      <w:r w:rsidR="00C96692">
        <w:rPr>
          <w:rFonts w:eastAsiaTheme="minorEastAsia"/>
        </w:rPr>
        <w:t>die</w:t>
      </w:r>
      <w:r w:rsidR="00C96692" w:rsidRPr="00C96692">
        <w:rPr>
          <w:rFonts w:eastAsiaTheme="minorEastAsia"/>
        </w:rPr>
        <w:t xml:space="preserve"> </w:t>
      </w:r>
      <w:r w:rsidR="00C96692">
        <w:rPr>
          <w:rFonts w:eastAsiaTheme="minorEastAsia"/>
        </w:rPr>
        <w:t>Bildmessungen a</w:t>
      </w:r>
      <w:r w:rsidR="00916E37">
        <w:rPr>
          <w:rFonts w:eastAsiaTheme="minorEastAsia"/>
        </w:rPr>
        <w:t>ller Kameras. Die g</w:t>
      </w:r>
      <w:r w:rsidR="00C96692">
        <w:rPr>
          <w:rFonts w:eastAsiaTheme="minorEastAsia"/>
        </w:rPr>
        <w:t>enaue Aufstellung der Jakobimatrix findet sich im Luhmann S. 244 und 308.</w:t>
      </w:r>
      <w:r w:rsidR="00916E37">
        <w:rPr>
          <w:rFonts w:eastAsiaTheme="minorEastAsia"/>
        </w:rPr>
        <w:t xml:space="preserve"> Die für die </w:t>
      </w:r>
      <w:proofErr w:type="spellStart"/>
      <w:r w:rsidR="00916E37">
        <w:rPr>
          <w:rFonts w:eastAsiaTheme="minorEastAsia"/>
        </w:rPr>
        <w:t>Gewischtsmatrix</w:t>
      </w:r>
      <w:proofErr w:type="spellEnd"/>
      <w:r w:rsidR="00916E3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16E37">
        <w:rPr>
          <w:rFonts w:eastAsiaTheme="minorEastAsia"/>
        </w:rPr>
        <w:t xml:space="preserve"> notwendigen Standardabweichungen der Beobachtungen sind die bereits für den Report bestimmten Standardabweichungen pro Bild.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Durch Bestimmung der Eigenwerte (</w:t>
      </w:r>
      <w:r w:rsidR="003917B3">
        <w:rPr>
          <w:rFonts w:eastAsiaTheme="minorEastAsia"/>
        </w:rPr>
        <w:t>durch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Singulärwertzerlegung</w:t>
      </w:r>
      <w:proofErr w:type="spellEnd"/>
      <w:r>
        <w:rPr>
          <w:rFonts w:eastAsiaTheme="minorEastAsia"/>
        </w:rPr>
        <w:t xml:space="preserve">) der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lassen sich die Halbachsen der Fehlerellipsoide bestimmen (Luhmann S. 345).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Um Ellipsoide im STL-Format zu erzeugen, wird zunächst eine Einheitskugel (R=1, X0</w:t>
      </w:r>
      <w:proofErr w:type="gramStart"/>
      <w:r>
        <w:rPr>
          <w:rFonts w:eastAsiaTheme="minorEastAsia"/>
        </w:rPr>
        <w:t>,Y0,Z0</w:t>
      </w:r>
      <w:proofErr w:type="gramEnd"/>
      <w:r>
        <w:rPr>
          <w:rFonts w:eastAsiaTheme="minorEastAsia"/>
        </w:rPr>
        <w:t xml:space="preserve"> = 0) zu einem Ellipsoid transformiert. Zur Skalierung dienen die </w:t>
      </w:r>
      <w:r w:rsidR="00F3006A">
        <w:rPr>
          <w:rFonts w:eastAsiaTheme="minorEastAsia"/>
        </w:rPr>
        <w:t xml:space="preserve">Längen der </w:t>
      </w:r>
      <w:r w:rsidR="00916E37">
        <w:rPr>
          <w:rFonts w:eastAsiaTheme="minorEastAsia"/>
        </w:rPr>
        <w:t>Halba</w:t>
      </w:r>
      <w:r w:rsidR="00F3006A">
        <w:rPr>
          <w:rFonts w:eastAsiaTheme="minorEastAsia"/>
        </w:rPr>
        <w:t xml:space="preserve">chsen. Die Rotation erfolgt über eine Rotationsmatrix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16E37">
        <w:rPr>
          <w:rFonts w:eastAsiaTheme="minorEastAsia"/>
        </w:rPr>
        <w:t xml:space="preserve"> </w:t>
      </w:r>
    </w:p>
    <w:p w:rsidR="003957B0" w:rsidRPr="003957B0" w:rsidRDefault="00F3006A" w:rsidP="00EB3FFA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9" name="Grafik 9" descr="&#10;R_z(\alpha) = \begin{pmatrix}&#10;\cos \alpha &amp; -\sin \alpha &amp; 0 \\&#10;\sin \alpha &amp;  \cos \alpha &amp; 0 \\         &#10;   0        &amp;  0           &amp; 1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R_z(\alpha) = \begin{pmatrix}&#10;\cos \alpha &amp; -\sin \alpha &amp; 0 \\&#10;\sin \alpha &amp;  \cos \alpha &amp; 0 \\         &#10;   0        &amp;  0           &amp; 1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8" name="Grafik 8" descr="&#10;R_y(\alpha) = \begin{pmatrix}&#10;\cos \alpha  &amp; 0 &amp; \sin \alpha \\&#10;   0         &amp; 1 &amp;  0          \\&#10;-\sin \alpha &amp; 0 &amp;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R_y(\alpha) = \begin{pmatrix}&#10;\cos \alpha  &amp; 0 &amp; \sin \alpha \\&#10;   0         &amp; 1 &amp;  0          \\&#10;-\sin \alpha &amp; 0 &amp;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8" cy="504000"/>
            <wp:effectExtent l="0" t="0" r="7620" b="0"/>
            <wp:docPr id="7" name="Grafik 7" descr="&#10;R_x(\alpha) = \begin{pmatrix}&#10;1 &amp;   0         &amp; 0           \\&#10;0 &amp; \cos \alpha &amp; -\sin \alpha \\&#10;0 &amp; \sin \alpha &amp; 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R_x(\alpha) = \begin{pmatrix}&#10;1 &amp;   0         &amp; 0           \\&#10;0 &amp; \cos \alpha &amp; -\sin \alpha \\&#10;0 &amp; \sin \alpha &amp; 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</w:t>
      </w:r>
      <w:proofErr w:type="spellStart"/>
      <w:r>
        <w:t>PhotoScan</w:t>
      </w:r>
      <w:proofErr w:type="spellEnd"/>
      <w:r>
        <w:t xml:space="preserve">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</w:t>
      </w:r>
      <w:r w:rsidR="00201251">
        <w:t>t</w:t>
      </w:r>
      <w:r>
        <w:t xml:space="preserve"> der folgende  Hilfetext: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PhotoScan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Analysis v0.2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report_out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report file. Options: filename (default: report)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SVG-Image with image-measurements Option: filename (default: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image_measurements</w:t>
      </w:r>
      <w:proofErr w:type="spellEnd"/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error-vector for the SVG-File (default: 40)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[columns]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The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number of columns used to generate the overview image (default: 20)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Create a STL-Mesh with Point-Error-Ellipsoids. Option: filename (default: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stl_export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ellipsoid-axis (default: 100)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export_ellipsoid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Export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a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ellipsoid file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Sample: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rout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10 -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GUI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You can also use the GUI by choosing the argument '-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useGUI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'</w:t>
      </w:r>
    </w:p>
    <w:p w:rsidR="001D40E6" w:rsidRDefault="001D40E6" w:rsidP="001D40E6">
      <w:pPr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</w:pP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Please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 xml:space="preserve"> open a Project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with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completed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photo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eastAsia="de-DE"/>
        </w:rPr>
        <w:t>alignment</w:t>
      </w:r>
      <w:proofErr w:type="spellEnd"/>
    </w:p>
    <w:p w:rsidR="008D6980" w:rsidRDefault="008D6980" w:rsidP="001D40E6">
      <w:pPr>
        <w:rPr>
          <w:lang w:eastAsia="de-DE"/>
        </w:rPr>
      </w:pPr>
      <w:r>
        <w:rPr>
          <w:lang w:eastAsia="de-DE"/>
        </w:rPr>
        <w:t>Besonders die Vergrößerungsfaktoren sind für jedes Projekt oder Analysefall unterschiedlich und müssen iterativ gefunden werden. Dazu muss das Skript mehrmals</w:t>
      </w:r>
      <w:r w:rsidR="006C4289">
        <w:rPr>
          <w:lang w:eastAsia="de-DE"/>
        </w:rPr>
        <w:t>,</w:t>
      </w:r>
      <w:r>
        <w:rPr>
          <w:lang w:eastAsia="de-DE"/>
        </w:rPr>
        <w:t xml:space="preserve"> mit veränderten Werte</w:t>
      </w:r>
      <w:r w:rsidR="006C4289">
        <w:rPr>
          <w:lang w:eastAsia="de-DE"/>
        </w:rPr>
        <w:t>n,</w:t>
      </w:r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 xml:space="preserve">zeugten Dateien liegen im </w:t>
      </w:r>
      <w:proofErr w:type="spellStart"/>
      <w:r>
        <w:rPr>
          <w:lang w:eastAsia="de-DE"/>
        </w:rPr>
        <w:t>PhotoS</w:t>
      </w:r>
      <w:r w:rsidRPr="008D6980">
        <w:rPr>
          <w:lang w:eastAsia="de-DE"/>
        </w:rPr>
        <w:t>can</w:t>
      </w:r>
      <w:proofErr w:type="spellEnd"/>
      <w:r w:rsidRPr="008D6980">
        <w:rPr>
          <w:lang w:eastAsia="de-DE"/>
        </w:rPr>
        <w:t xml:space="preserve"> Projektverzeichnis. </w:t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svgname.svg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1D40E6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stlname.stl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STL-Dateien können in der Open-Source Software </w:t>
      </w:r>
      <w:proofErr w:type="spellStart"/>
      <w:r>
        <w:rPr>
          <w:lang w:eastAsia="de-DE"/>
        </w:rPr>
        <w:t>MeshLab</w:t>
      </w:r>
      <w:proofErr w:type="spellEnd"/>
      <w:r>
        <w:rPr>
          <w:lang w:eastAsia="de-DE"/>
        </w:rPr>
        <w:t xml:space="preserve"> geöffnet werden</w:t>
      </w:r>
    </w:p>
    <w:p w:rsidR="008D6980" w:rsidRDefault="001D40E6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ellname.ell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Datei mit </w:t>
      </w:r>
      <w:proofErr w:type="spellStart"/>
      <w:r>
        <w:rPr>
          <w:lang w:eastAsia="de-DE"/>
        </w:rPr>
        <w:t>Ellipsoidparametern</w:t>
      </w:r>
      <w:proofErr w:type="spellEnd"/>
      <w:r>
        <w:rPr>
          <w:lang w:eastAsia="de-DE"/>
        </w:rPr>
        <w:t xml:space="preserve"> zur weiteren Nutzung (z.B. </w:t>
      </w:r>
      <w:proofErr w:type="spellStart"/>
      <w:r>
        <w:rPr>
          <w:lang w:eastAsia="de-DE"/>
        </w:rPr>
        <w:t>Matlab</w:t>
      </w:r>
      <w:proofErr w:type="spellEnd"/>
      <w:r>
        <w:rPr>
          <w:lang w:eastAsia="de-DE"/>
        </w:rPr>
        <w:t>)</w:t>
      </w:r>
      <w:r w:rsidR="008D6980">
        <w:rPr>
          <w:lang w:eastAsia="de-DE"/>
        </w:rPr>
        <w:tab/>
      </w:r>
    </w:p>
    <w:p w:rsidR="008D6980" w:rsidRDefault="002B4B85" w:rsidP="007E03E6">
      <w:pPr>
        <w:pStyle w:val="berschrift2"/>
      </w:pPr>
      <w:r>
        <w:t>Verwendete Software-Quellen</w:t>
      </w:r>
      <w:r w:rsidR="007E03E6">
        <w:t>: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 xml:space="preserve">svd.py </w:t>
      </w:r>
      <w:r>
        <w:tab/>
      </w:r>
      <w:r>
        <w:tab/>
        <w:t xml:space="preserve">Python-Skript zur </w:t>
      </w:r>
      <w:proofErr w:type="spellStart"/>
      <w:r w:rsidRPr="007E03E6">
        <w:t>Singulärwertzerlegung</w:t>
      </w:r>
      <w:proofErr w:type="spellEnd"/>
      <w:r>
        <w:t xml:space="preserve"> von </w:t>
      </w:r>
      <w:r w:rsidRPr="007E03E6">
        <w:t xml:space="preserve">Thomas R. </w:t>
      </w:r>
      <w:proofErr w:type="spellStart"/>
      <w:r w:rsidRPr="007E03E6">
        <w:t>Metcalf</w:t>
      </w:r>
      <w:proofErr w:type="spellEnd"/>
      <w:r>
        <w:t xml:space="preserve"> unter der </w:t>
      </w:r>
    </w:p>
    <w:p w:rsidR="007E03E6" w:rsidRDefault="002B4B85" w:rsidP="002B4B85">
      <w:pPr>
        <w:pStyle w:val="Listenabsatz"/>
      </w:pPr>
      <w:r>
        <w:tab/>
      </w:r>
      <w:r>
        <w:tab/>
      </w:r>
      <w:r w:rsidR="007E03E6">
        <w:t>GNU-Lizenz  (</w:t>
      </w:r>
      <w:hyperlink r:id="rId13" w:history="1">
        <w:r w:rsidR="007E03E6" w:rsidRPr="00796A05">
          <w:rPr>
            <w:rStyle w:val="Hyperlink"/>
          </w:rPr>
          <w:t>http://stitchpanorama.sourceforge.net/Python/svd.py</w:t>
        </w:r>
      </w:hyperlink>
      <w:r w:rsidR="007E03E6">
        <w:t>)</w:t>
      </w:r>
    </w:p>
    <w:p w:rsidR="002B4B85" w:rsidRDefault="007E03E6" w:rsidP="007E03E6">
      <w:pPr>
        <w:pStyle w:val="Listenabsatz"/>
        <w:numPr>
          <w:ilvl w:val="0"/>
          <w:numId w:val="1"/>
        </w:numPr>
      </w:pPr>
      <w:r>
        <w:t>STL_Writer.py</w:t>
      </w:r>
      <w:r>
        <w:tab/>
        <w:t xml:space="preserve">Python-Skript zur Erzeugung binären STL-Dateien. MIT-Lizenz </w:t>
      </w:r>
    </w:p>
    <w:p w:rsidR="007E03E6" w:rsidRDefault="007E03E6" w:rsidP="002B4B85">
      <w:pPr>
        <w:pStyle w:val="Listenabsatz"/>
        <w:ind w:left="1428" w:firstLine="696"/>
      </w:pPr>
      <w:r>
        <w:t>(</w:t>
      </w:r>
      <w:r w:rsidRPr="007E03E6">
        <w:t>https://github.com/jv4779/spin_mirror/blob/master/STL_Writer.py</w:t>
      </w:r>
      <w:r>
        <w:t xml:space="preserve">) 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proofErr w:type="spellStart"/>
      <w:r>
        <w:t>pysvg</w:t>
      </w:r>
      <w:proofErr w:type="spellEnd"/>
      <w:r>
        <w:tab/>
      </w:r>
      <w:r>
        <w:tab/>
        <w:t>Python-Modul zur Erzeugung von SVG-</w:t>
      </w:r>
      <w:r w:rsidR="002B4B85">
        <w:t>Dateien. BSD-Lizenz</w:t>
      </w:r>
    </w:p>
    <w:p w:rsidR="007E03E6" w:rsidRDefault="002B4B85" w:rsidP="002B4B85">
      <w:pPr>
        <w:pStyle w:val="Listenabsatz"/>
        <w:ind w:left="1428" w:firstLine="696"/>
      </w:pPr>
      <w:r>
        <w:t>(</w:t>
      </w:r>
      <w:r w:rsidRPr="002B4B85">
        <w:t>http://codeboje.de/pysvg/</w:t>
      </w:r>
      <w:r>
        <w:t>)</w:t>
      </w:r>
    </w:p>
    <w:p w:rsidR="007E03E6" w:rsidRPr="007E03E6" w:rsidRDefault="007E03E6" w:rsidP="007E03E6">
      <w:pPr>
        <w:pStyle w:val="Listenabsatz"/>
      </w:pPr>
    </w:p>
    <w:sectPr w:rsidR="007E03E6" w:rsidRPr="007E03E6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FD6" w:rsidRDefault="00D55FD6" w:rsidP="007037F3">
      <w:pPr>
        <w:spacing w:after="0" w:line="240" w:lineRule="auto"/>
      </w:pPr>
      <w:r>
        <w:separator/>
      </w:r>
    </w:p>
  </w:endnote>
  <w:endnote w:type="continuationSeparator" w:id="0">
    <w:p w:rsidR="00D55FD6" w:rsidRDefault="00D55FD6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FD6" w:rsidRDefault="00D55FD6" w:rsidP="007037F3">
      <w:pPr>
        <w:spacing w:after="0" w:line="240" w:lineRule="auto"/>
      </w:pPr>
      <w:r>
        <w:separator/>
      </w:r>
    </w:p>
  </w:footnote>
  <w:footnote w:type="continuationSeparator" w:id="0">
    <w:p w:rsidR="00D55FD6" w:rsidRDefault="00D55FD6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F3" w:rsidRDefault="007037F3">
    <w:pPr>
      <w:pStyle w:val="Kopfzeile"/>
    </w:pPr>
    <w:proofErr w:type="spellStart"/>
    <w:r>
      <w:t>PhotoScan</w:t>
    </w:r>
    <w:proofErr w:type="spellEnd"/>
    <w:r>
      <w:t xml:space="preserve"> Analysis v0.</w:t>
    </w:r>
    <w:r w:rsidR="00B45D2D">
      <w:t>2</w:t>
    </w:r>
    <w:r>
      <w:t xml:space="preserve"> </w:t>
    </w:r>
    <w:r>
      <w:tab/>
    </w:r>
    <w:r>
      <w:tab/>
      <w:t>1</w:t>
    </w:r>
    <w:r w:rsidR="00B45D2D">
      <w:t>7</w:t>
    </w:r>
    <w:r>
      <w:t>.0</w:t>
    </w:r>
    <w:r w:rsidR="00B45D2D">
      <w:t>8</w:t>
    </w:r>
    <w:r>
      <w:t>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F0AC4"/>
    <w:rsid w:val="00142338"/>
    <w:rsid w:val="001C6D2A"/>
    <w:rsid w:val="001D40E6"/>
    <w:rsid w:val="00201251"/>
    <w:rsid w:val="002B4B85"/>
    <w:rsid w:val="003917B3"/>
    <w:rsid w:val="003957B0"/>
    <w:rsid w:val="003D591B"/>
    <w:rsid w:val="00445A13"/>
    <w:rsid w:val="00476A2F"/>
    <w:rsid w:val="00480753"/>
    <w:rsid w:val="00526A50"/>
    <w:rsid w:val="006C4289"/>
    <w:rsid w:val="007037F3"/>
    <w:rsid w:val="00731C42"/>
    <w:rsid w:val="00782D27"/>
    <w:rsid w:val="007858A5"/>
    <w:rsid w:val="007E03E6"/>
    <w:rsid w:val="00800015"/>
    <w:rsid w:val="008A14D4"/>
    <w:rsid w:val="008D6980"/>
    <w:rsid w:val="00916E37"/>
    <w:rsid w:val="00952B27"/>
    <w:rsid w:val="00B32A64"/>
    <w:rsid w:val="00B45D2D"/>
    <w:rsid w:val="00BB55C0"/>
    <w:rsid w:val="00C96692"/>
    <w:rsid w:val="00D35364"/>
    <w:rsid w:val="00D55FD6"/>
    <w:rsid w:val="00D57A7B"/>
    <w:rsid w:val="00E42609"/>
    <w:rsid w:val="00EB3FFA"/>
    <w:rsid w:val="00F253BC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itchpanorama.sourceforge.net/Python/svd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9</cp:revision>
  <dcterms:created xsi:type="dcterms:W3CDTF">2015-05-12T06:10:00Z</dcterms:created>
  <dcterms:modified xsi:type="dcterms:W3CDTF">2015-08-17T08:33:00Z</dcterms:modified>
</cp:coreProperties>
</file>