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42B43"/>
          <w:sz w:val="76"/>
        </w:rPr>
        <w:t>TECTONIC</w:t>
      </w:r>
    </w:p>
    <w:p>
      <w:pPr>
        <w:jc w:val="center"/>
      </w:pPr>
      <w:r>
        <w:rPr>
          <w:rFonts w:ascii="Aptos Display" w:hAnsi="Aptos Display"/>
          <w:b/>
          <w:color w:val="294C6E"/>
          <w:sz w:val="44"/>
        </w:rPr>
        <w:t>Governed Autonomous Execution Control Plane</w:t>
      </w:r>
    </w:p>
    <w:p>
      <w:pPr>
        <w:spacing w:before="240"/>
        <w:jc w:val="center"/>
      </w:pPr>
      <w:r>
        <w:rPr>
          <w:color w:val="556573"/>
          <w:sz w:val="24"/>
        </w:rPr>
        <w:t>Best-in-class architecture for dynamic agent workforces in tightly regulated environments</w:t>
      </w:r>
    </w:p>
    <w:p>
      <w:pPr>
        <w:spacing w:before="600"/>
        <w:jc w:val="center"/>
      </w:pPr>
      <w:r>
        <w:rPr>
          <w:i/>
          <w:color w:val="646464"/>
          <w:sz w:val="20"/>
        </w:rPr>
        <w:t>Architecture review, revised 14-stage implementation sequence, observability, explainability, assurance and regulatory evidence design</w:t>
      </w:r>
    </w:p>
    <w:p>
      <w:pPr>
        <w:spacing w:before="900"/>
      </w:pP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EAF1F8"/>
            <w:tcMar>
              <w:top w:w="150" w:type="dxa"/>
              <w:start w:w="120" w:type="dxa"/>
              <w:bottom w:w="150" w:type="dxa"/>
              <w:end w:w="120" w:type="dxa"/>
            </w:tcMar>
            <w:vAlign w:val="center"/>
          </w:tcPr>
          <w:p>
            <w:pPr>
              <w:jc w:val="center"/>
            </w:pPr>
            <w:r>
              <w:rPr>
                <w:rFonts w:ascii="Aptos" w:hAnsi="Aptos"/>
                <w:b/>
                <w:color w:val="142B43"/>
                <w:sz w:val="18"/>
              </w:rPr>
              <w:t>MISSION</w:t>
              <w:br/>
            </w:r>
            <w:r>
              <w:rPr>
                <w:rFonts w:ascii="Aptos" w:hAnsi="Aptos"/>
                <w:color w:val="4B5C6A"/>
                <w:sz w:val="15"/>
              </w:rPr>
              <w:t>Purpose + constraints</w:t>
            </w:r>
          </w:p>
        </w:tc>
        <w:tc>
          <w:tcPr>
            <w:tcW w:type="dxa" w:w="2541"/>
            <w:shd w:fill="EAF1F8"/>
            <w:tcMar>
              <w:top w:w="150" w:type="dxa"/>
              <w:start w:w="120" w:type="dxa"/>
              <w:bottom w:w="150" w:type="dxa"/>
              <w:end w:w="120" w:type="dxa"/>
            </w:tcMar>
            <w:vAlign w:val="center"/>
          </w:tcPr>
          <w:p>
            <w:pPr>
              <w:jc w:val="center"/>
            </w:pPr>
            <w:r>
              <w:rPr>
                <w:rFonts w:ascii="Aptos" w:hAnsi="Aptos"/>
                <w:b/>
                <w:color w:val="142B43"/>
                <w:sz w:val="18"/>
              </w:rPr>
              <w:t>CONTROL</w:t>
              <w:br/>
            </w:r>
            <w:r>
              <w:rPr>
                <w:rFonts w:ascii="Aptos" w:hAnsi="Aptos"/>
                <w:color w:val="4B5C6A"/>
                <w:sz w:val="15"/>
              </w:rPr>
              <w:t>Policy + authority</w:t>
            </w:r>
          </w:p>
        </w:tc>
        <w:tc>
          <w:tcPr>
            <w:tcW w:type="dxa" w:w="2541"/>
            <w:shd w:fill="EAF1F8"/>
            <w:tcMar>
              <w:top w:w="150" w:type="dxa"/>
              <w:start w:w="120" w:type="dxa"/>
              <w:bottom w:w="150" w:type="dxa"/>
              <w:end w:w="120" w:type="dxa"/>
            </w:tcMar>
            <w:vAlign w:val="center"/>
          </w:tcPr>
          <w:p>
            <w:pPr>
              <w:jc w:val="center"/>
            </w:pPr>
            <w:r>
              <w:rPr>
                <w:rFonts w:ascii="Aptos" w:hAnsi="Aptos"/>
                <w:b/>
                <w:color w:val="142B43"/>
                <w:sz w:val="18"/>
              </w:rPr>
              <w:t>ASSURANCE</w:t>
              <w:br/>
            </w:r>
            <w:r>
              <w:rPr>
                <w:rFonts w:ascii="Aptos" w:hAnsi="Aptos"/>
                <w:color w:val="4B5C6A"/>
                <w:sz w:val="15"/>
              </w:rPr>
              <w:t>Evidence + validation</w:t>
            </w:r>
          </w:p>
        </w:tc>
        <w:tc>
          <w:tcPr>
            <w:tcW w:type="dxa" w:w="2541"/>
            <w:shd w:fill="EAF1F8"/>
            <w:tcMar>
              <w:top w:w="150" w:type="dxa"/>
              <w:start w:w="120" w:type="dxa"/>
              <w:bottom w:w="150" w:type="dxa"/>
              <w:end w:w="120" w:type="dxa"/>
            </w:tcMar>
            <w:vAlign w:val="center"/>
          </w:tcPr>
          <w:p>
            <w:pPr>
              <w:jc w:val="center"/>
            </w:pPr>
            <w:r>
              <w:rPr>
                <w:rFonts w:ascii="Aptos" w:hAnsi="Aptos"/>
                <w:b/>
                <w:color w:val="142B43"/>
                <w:sz w:val="18"/>
              </w:rPr>
              <w:t>RUNTIME</w:t>
              <w:br/>
            </w:r>
            <w:r>
              <w:rPr>
                <w:rFonts w:ascii="Aptos" w:hAnsi="Aptos"/>
                <w:color w:val="4B5C6A"/>
                <w:sz w:val="15"/>
              </w:rPr>
              <w:t>Ephemeral execution</w:t>
            </w:r>
          </w:p>
        </w:tc>
      </w:tr>
    </w:tbl>
    <w:p>
      <w:r>
        <w:br w:type="page"/>
      </w:r>
    </w:p>
    <w:p>
      <w:pPr>
        <w:pStyle w:val="Heading1"/>
      </w:pPr>
      <w:r>
        <w:t>Executive Summary</w:t>
      </w:r>
    </w:p>
    <w:p>
      <w:pPr>
        <w:pStyle w:val="Lead"/>
      </w:pPr>
      <w:r>
        <w:t>The current 14-stage concept is a strong execution backbone, but to lead the market in banking, insurance, healthcare, government and other regulated sectors, Tectonic should evolve beyond dynamic agent generation into a governed control plane for autonomous work.</w:t>
      </w:r>
    </w:p>
    <w:p>
      <w:pPr>
        <w:pStyle w:val="BodyText"/>
      </w:pPr>
      <w:r>
        <w:t xml:space="preserve">The critical architectural correction is timing: </w:t>
      </w:r>
      <w:r>
        <w:rPr>
          <w:b/>
        </w:rPr>
        <w:t>governance, evidence, identity, observability and runtime safety cannot arrive after autonomy.</w:t>
      </w:r>
      <w:r>
        <w:t xml:space="preserve"> They must be embedded from the first execution and become richer as the platform matures.</w:t>
      </w:r>
    </w:p>
    <w:p>
      <w:pPr>
        <w:pStyle w:val="ListBullet"/>
        <w:spacing w:after="40"/>
      </w:pPr>
      <w:r>
        <w:t>Treat the mission, not the agent, as the primary governed object.</w:t>
      </w:r>
    </w:p>
    <w:p>
      <w:pPr>
        <w:pStyle w:val="ListBullet"/>
        <w:spacing w:after="40"/>
      </w:pPr>
      <w:r>
        <w:t>Create an Evidence Fabric from the beginning so every plan, agent, tool call, policy decision, approval and outcome is reconstructable.</w:t>
      </w:r>
    </w:p>
    <w:p>
      <w:pPr>
        <w:pStyle w:val="ListBullet"/>
        <w:spacing w:after="40"/>
      </w:pPr>
      <w:r>
        <w:t>Give every ephemeral agent a workload identity, bounded authority and short-lived credentials.</w:t>
      </w:r>
    </w:p>
    <w:p>
      <w:pPr>
        <w:pStyle w:val="ListBullet"/>
        <w:spacing w:after="40"/>
      </w:pPr>
      <w:r>
        <w:t>Separate observability, explainability, auditability and governance. They answer different questions and require different data.</w:t>
      </w:r>
    </w:p>
    <w:p>
      <w:pPr>
        <w:pStyle w:val="ListBullet"/>
        <w:spacing w:after="40"/>
      </w:pPr>
      <w:r>
        <w:t>Require continuous authorization for consequential actions, not just policy checks when an agent is created.</w:t>
      </w:r>
    </w:p>
    <w:p>
      <w:pPr>
        <w:pStyle w:val="ListBullet"/>
        <w:spacing w:after="40"/>
      </w:pPr>
      <w:r>
        <w:t>Introduce independent assurance and challenge for higher-risk missions.</w:t>
      </w:r>
    </w:p>
    <w:p>
      <w:pPr>
        <w:pStyle w:val="ListBullet"/>
        <w:spacing w:after="40"/>
      </w:pPr>
      <w:r>
        <w:t>Make autonomous containment, blast-radius controls and kill switches native platform capabilities.</w:t>
      </w:r>
    </w:p>
    <w:p>
      <w:pPr>
        <w:pStyle w:val="ListBullet"/>
        <w:spacing w:after="40"/>
      </w:pPr>
      <w:r>
        <w:t>Generate an Agent Bill of Materials and a regulator-ready Evidence Pack for every material mission.</w:t>
      </w:r>
    </w:p>
    <w:p>
      <w:pPr>
        <w:pStyle w:val="ListBullet"/>
        <w:spacing w:after="40"/>
      </w:pPr>
      <w:r>
        <w:t>Position Tectonic ultimately as the enterprise control plane for autonomous work, not merely an agent platform.</w:t>
      </w:r>
    </w:p>
    <w:p>
      <w:pPr>
        <w:pStyle w:val="Heading2"/>
      </w:pPr>
      <w:r>
        <w:t>Proposed product position</w:t>
      </w:r>
    </w:p>
    <w:p>
      <w:pPr>
        <w:pStyle w:val="CodeBlock"/>
      </w:pPr>
      <w:r>
        <w:t>Dynamic Agent Orchestration Platform</w:t>
      </w:r>
      <w:r>
        <w:br/>
      </w:r>
      <w:r>
        <w:t xml:space="preserve">                ↓</w:t>
      </w:r>
      <w:r>
        <w:br/>
      </w:r>
      <w:r>
        <w:t>Governed Runtime Control Plane for Autonomous AI</w:t>
      </w:r>
      <w:r>
        <w:br/>
      </w:r>
      <w:r>
        <w:t xml:space="preserve">                ↓</w:t>
      </w:r>
      <w:r>
        <w:br/>
      </w:r>
      <w:r>
        <w:t>Enterprise Control Plane for Autonomous Work</w:t>
      </w:r>
    </w:p>
    <w:p>
      <w:pPr>
        <w:pStyle w:val="Heading1"/>
      </w:pPr>
      <w:r>
        <w:t>Why This Matters in Regulated Environments</w:t>
      </w:r>
    </w:p>
    <w:p>
      <w:pPr>
        <w:pStyle w:val="BodyText"/>
      </w:pPr>
      <w:r>
        <w:t>The UK regulatory direction supports a control-plane architecture rather than a narrow agent-framework approach. The PRA's current SS1/23 sets expectations around model identification and classification, governance, development and implementation, independent model validation and model-risk mitigants. The current statement also identifies interpretability, explainability, transparency and bias as relevant factors when assessing model complexity and risk.</w:t>
      </w:r>
    </w:p>
    <w:p>
      <w:pPr>
        <w:pStyle w:val="BodyText"/>
      </w:pPr>
      <w:r>
        <w:t>The FCA continues to take a principles- and outcomes-based approach to AI, relying on existing frameworks such as Consumer Duty, SM&amp;CR, governance and controls rather than introducing a standalone AI rulebook. In May 2026, the FCA, Bank of England and HM Treasury also emphasised protective, detective, containment and response capabilities for frontier-AI-related cyber and operational resilience risks.</w:t>
      </w:r>
    </w:p>
    <w:p>
      <w:pPr>
        <w:pStyle w:val="Heading1"/>
      </w:pPr>
      <w:r>
        <w:t>Target Architecture</w:t>
      </w:r>
    </w:p>
    <w:p>
      <w:pPr>
        <w:pStyle w:val="CodeBlock"/>
      </w:pPr>
      <w:r>
        <w:t xml:space="preserve">                         TECTONIC</w:t>
      </w:r>
      <w:r>
        <w:br/>
      </w:r>
      <w:r>
        <w:t xml:space="preserve">        GOVERNED AUTONOMOUS EXECUTION CONTROL PLANE</w:t>
      </w:r>
      <w:r>
        <w:br/>
      </w:r>
      <w:r/>
      <w:r>
        <w:br/>
      </w:r>
      <w:r>
        <w:t xml:space="preserve"> EXPERIENCE PLANE</w:t>
      </w:r>
      <w:r>
        <w:br/>
      </w:r>
      <w:r>
        <w:t xml:space="preserve"> Workflow Studio | Mission Console | Evidence Explorer</w:t>
      </w:r>
      <w:r>
        <w:br/>
      </w:r>
      <w:r>
        <w:t xml:space="preserve">                         ↓</w:t>
      </w:r>
      <w:r>
        <w:br/>
      </w:r>
      <w:r>
        <w:t xml:space="preserve"> INTENT PLANE</w:t>
      </w:r>
      <w:r>
        <w:br/>
      </w:r>
      <w:r>
        <w:t xml:space="preserve"> Mission Contract | Risk Classification | Constraints</w:t>
      </w:r>
      <w:r>
        <w:br/>
      </w:r>
      <w:r>
        <w:t xml:space="preserve"> Success Criteria | Authority | Human Accountability</w:t>
      </w:r>
      <w:r>
        <w:br/>
      </w:r>
      <w:r>
        <w:t xml:space="preserve">                         ↓</w:t>
      </w:r>
      <w:r>
        <w:br/>
      </w:r>
      <w:r>
        <w:t xml:space="preserve"> INTELLIGENCE PLANE</w:t>
      </w:r>
      <w:r>
        <w:br/>
      </w:r>
      <w:r>
        <w:t xml:space="preserve"> Planner | Agent Compiler | Replanner | Model Router</w:t>
      </w:r>
      <w:r>
        <w:br/>
      </w:r>
      <w:r>
        <w:t xml:space="preserve"> Capability Discovery | Context Engineering</w:t>
      </w:r>
      <w:r>
        <w:br/>
      </w:r>
      <w:r>
        <w:t xml:space="preserve">                         ↓</w:t>
      </w:r>
      <w:r>
        <w:br/>
      </w:r>
      <w:r>
        <w:t xml:space="preserve"> CONTROL PLANE</w:t>
      </w:r>
      <w:r>
        <w:br/>
      </w:r>
      <w:r>
        <w:t xml:space="preserve"> Policy | Identity | Entitlements | Budget | Approval</w:t>
      </w:r>
      <w:r>
        <w:br/>
      </w:r>
      <w:r>
        <w:t xml:space="preserve"> Risk Engine | Guardrails | Kill Switch | Rate Limits</w:t>
      </w:r>
      <w:r>
        <w:br/>
      </w:r>
      <w:r>
        <w:t xml:space="preserve">                         ↓</w:t>
      </w:r>
      <w:r>
        <w:br/>
      </w:r>
      <w:r>
        <w:t xml:space="preserve"> EXECUTION PLANE</w:t>
      </w:r>
      <w:r>
        <w:br/>
      </w:r>
      <w:r>
        <w:t xml:space="preserve"> Ephemeral Agents | Sandboxes | MCP | Tools | APIs</w:t>
      </w:r>
      <w:r>
        <w:br/>
      </w:r>
      <w:r>
        <w:t xml:space="preserve"> Humans | Existing Enterprise Systems</w:t>
      </w:r>
      <w:r>
        <w:br/>
      </w:r>
      <w:r>
        <w:t xml:space="preserve">                         ↓</w:t>
      </w:r>
      <w:r>
        <w:br/>
      </w:r>
      <w:r>
        <w:t xml:space="preserve"> ASSURANCE PLANE</w:t>
      </w:r>
      <w:r>
        <w:br/>
      </w:r>
      <w:r>
        <w:t xml:space="preserve"> Evaluation | Verification | Independent Challenge</w:t>
      </w:r>
      <w:r>
        <w:br/>
      </w:r>
      <w:r>
        <w:t xml:space="preserve"> Safety Tests | Drift | Outcome Validation</w:t>
      </w:r>
      <w:r>
        <w:br/>
      </w:r>
      <w:r/>
      <w:r>
        <w:br/>
      </w:r>
      <w:r>
        <w:t xml:space="preserve"> EVERYTHING EMITS INTO</w:t>
      </w:r>
      <w:r>
        <w:br/>
      </w:r>
      <w:r/>
      <w:r>
        <w:br/>
      </w:r>
      <w:r>
        <w:t xml:space="preserve"> EVIDENCE FABRIC</w:t>
      </w:r>
      <w:r>
        <w:br/>
      </w:r>
      <w:r>
        <w:t xml:space="preserve"> Traces | Decisions | Inputs | Outputs | Policies</w:t>
      </w:r>
      <w:r>
        <w:br/>
      </w:r>
      <w:r>
        <w:t xml:space="preserve"> Lineage | Costs | Approvals | Models | Tools | Data</w:t>
      </w:r>
    </w:p>
    <w:p>
      <w:pPr>
        <w:pStyle w:val="Heading1"/>
        <w:keepNext/>
      </w:pPr>
      <w:r>
        <w:t>Stage 1: Mission Contract and Runtime Foundation</w:t>
      </w:r>
    </w:p>
    <w:p>
      <w:pPr>
        <w:pStyle w:val="Lead"/>
      </w:pPr>
      <w:r>
        <w:t>Make the authorised mission the primary governed object. The runtime is subordinate to the mission contract.</w:t>
      </w:r>
    </w:p>
    <w:p>
      <w:pPr>
        <w:pStyle w:val="Heading2"/>
      </w:pPr>
      <w:r>
        <w:t>Mission Contract</w:t>
      </w:r>
    </w:p>
    <w:p>
      <w:pPr>
        <w:pStyle w:val="ListBullet"/>
        <w:spacing w:after="40"/>
      </w:pPr>
      <w:r>
        <w:t>Objective and business purpose</w:t>
      </w:r>
    </w:p>
    <w:p>
      <w:pPr>
        <w:pStyle w:val="ListBullet"/>
        <w:spacing w:after="40"/>
      </w:pPr>
      <w:r>
        <w:t>Business owner and accountable owner</w:t>
      </w:r>
    </w:p>
    <w:p>
      <w:pPr>
        <w:pStyle w:val="ListBullet"/>
        <w:spacing w:after="40"/>
      </w:pPr>
      <w:r>
        <w:t>Risk classification</w:t>
      </w:r>
    </w:p>
    <w:p>
      <w:pPr>
        <w:pStyle w:val="ListBullet"/>
        <w:spacing w:after="40"/>
      </w:pPr>
      <w:r>
        <w:t>Permitted and prohibited outcomes</w:t>
      </w:r>
    </w:p>
    <w:p>
      <w:pPr>
        <w:pStyle w:val="ListBullet"/>
        <w:spacing w:after="40"/>
      </w:pPr>
      <w:r>
        <w:t>Data classification</w:t>
      </w:r>
    </w:p>
    <w:p>
      <w:pPr>
        <w:pStyle w:val="ListBullet"/>
        <w:spacing w:after="40"/>
      </w:pPr>
      <w:r>
        <w:t>Maximum authority</w:t>
      </w:r>
    </w:p>
    <w:p>
      <w:pPr>
        <w:pStyle w:val="ListBullet"/>
        <w:spacing w:after="40"/>
      </w:pPr>
      <w:r>
        <w:t>Maximum spend and runtime</w:t>
      </w:r>
    </w:p>
    <w:p>
      <w:pPr>
        <w:pStyle w:val="ListBullet"/>
        <w:spacing w:after="40"/>
      </w:pPr>
      <w:r>
        <w:t>Permitted models and capabilities</w:t>
      </w:r>
    </w:p>
    <w:p>
      <w:pPr>
        <w:pStyle w:val="ListBullet"/>
        <w:spacing w:after="40"/>
      </w:pPr>
      <w:r>
        <w:t>Human oversight requirements</w:t>
      </w:r>
    </w:p>
    <w:p>
      <w:pPr>
        <w:pStyle w:val="ListBullet"/>
        <w:spacing w:after="40"/>
      </w:pPr>
      <w:r>
        <w:t>Success criteria</w:t>
      </w:r>
    </w:p>
    <w:p>
      <w:pPr>
        <w:pStyle w:val="ListBullet"/>
        <w:spacing w:after="40"/>
      </w:pPr>
      <w:r>
        <w:t>Evidence requirements</w:t>
      </w:r>
    </w:p>
    <w:p>
      <w:pPr>
        <w:pStyle w:val="Heading2"/>
      </w:pPr>
      <w:r>
        <w:t>Risk classification</w:t>
      </w:r>
    </w:p>
    <w:p>
      <w:pPr>
        <w:pStyle w:val="CodeBlock"/>
      </w:pPr>
      <w:r>
        <w:t>LOW</w:t>
      </w:r>
      <w:r>
        <w:br/>
      </w:r>
      <w:r>
        <w:t>MODERATE</w:t>
      </w:r>
      <w:r>
        <w:br/>
      </w:r>
      <w:r>
        <w:t>HIGH</w:t>
      </w:r>
      <w:r>
        <w:br/>
      </w:r>
      <w:r>
        <w:t>CRITICAL</w:t>
      </w:r>
      <w:r>
        <w:br/>
      </w:r>
      <w:r/>
      <w:r>
        <w:br/>
      </w:r>
      <w:r>
        <w:t>Risk tier automatically drives approvals, model choice, evaluation depth, logging, human oversight, retention and independent validation.</w:t>
      </w:r>
    </w:p>
    <w:p>
      <w:pPr>
        <w:pStyle w:val="Heading2"/>
      </w:pPr>
      <w:r>
        <w:t>Runtime foundation</w:t>
      </w:r>
    </w:p>
    <w:p>
      <w:pPr>
        <w:pStyle w:val="BodyText"/>
      </w:pPr>
      <w:r>
        <w:t>Introduce a framework-neutral AgentRuntime and canonical AgentDefinition. Use the OpenAI Agents SDK as the first runtime adapter, but keep Tectonic orchestration semantics independent of any vendor SDK.</w:t>
      </w:r>
    </w:p>
    <w:p>
      <w:pPr>
        <w:pStyle w:val="Heading2"/>
      </w:pPr>
      <w:r>
        <w:t>Outcome</w:t>
      </w:r>
    </w:p>
    <w:p>
      <w:pPr>
        <w:pStyle w:val="BodyText"/>
      </w:pPr>
      <w:r>
        <w:t>Tectonic executes an authorised mission inside a defined operating envelope rather than merely running an agent.</w:t>
      </w:r>
    </w:p>
    <w:p>
      <w:pPr>
        <w:pStyle w:val="Heading1"/>
        <w:keepNext/>
      </w:pPr>
      <w:r>
        <w:t>Stage 2: Evidence Fabric and Universal Telemetry</w:t>
      </w:r>
    </w:p>
    <w:p>
      <w:pPr>
        <w:pStyle w:val="Lead"/>
      </w:pPr>
      <w:r>
        <w:t>Move observability to the beginning. No autonomous execution should occur without a reconstructable event trail.</w:t>
      </w:r>
    </w:p>
    <w:p>
      <w:pPr>
        <w:pStyle w:val="Heading2"/>
      </w:pPr>
      <w:r>
        <w:t>Universal event model</w:t>
      </w:r>
    </w:p>
    <w:p>
      <w:pPr>
        <w:pStyle w:val="ListBullet"/>
        <w:spacing w:after="40"/>
      </w:pPr>
      <w:r>
        <w:t>Mission, workflow, plan, task, agent and parent identifiers</w:t>
      </w:r>
    </w:p>
    <w:p>
      <w:pPr>
        <w:pStyle w:val="ListBullet"/>
        <w:spacing w:after="40"/>
      </w:pPr>
      <w:r>
        <w:t>Event type and timestamp</w:t>
      </w:r>
    </w:p>
    <w:p>
      <w:pPr>
        <w:pStyle w:val="ListBullet"/>
        <w:spacing w:after="40"/>
      </w:pPr>
      <w:r>
        <w:t>Model and model version</w:t>
      </w:r>
    </w:p>
    <w:p>
      <w:pPr>
        <w:pStyle w:val="ListBullet"/>
        <w:spacing w:after="40"/>
      </w:pPr>
      <w:r>
        <w:t>Input and output hashes</w:t>
      </w:r>
    </w:p>
    <w:p>
      <w:pPr>
        <w:pStyle w:val="ListBullet"/>
        <w:spacing w:after="40"/>
      </w:pPr>
      <w:r>
        <w:t>Policy version and decision</w:t>
      </w:r>
    </w:p>
    <w:p>
      <w:pPr>
        <w:pStyle w:val="ListBullet"/>
        <w:spacing w:after="40"/>
      </w:pPr>
      <w:r>
        <w:t>Capabilities, tools and data sources used</w:t>
      </w:r>
    </w:p>
    <w:p>
      <w:pPr>
        <w:pStyle w:val="ListBullet"/>
        <w:spacing w:after="40"/>
      </w:pPr>
      <w:r>
        <w:t>Decision rationale</w:t>
      </w:r>
    </w:p>
    <w:p>
      <w:pPr>
        <w:pStyle w:val="ListBullet"/>
        <w:spacing w:after="40"/>
      </w:pPr>
      <w:r>
        <w:t>Token, latency and cost metrics</w:t>
      </w:r>
    </w:p>
    <w:p>
      <w:pPr>
        <w:pStyle w:val="ListBullet"/>
        <w:spacing w:after="40"/>
      </w:pPr>
      <w:r>
        <w:t>Risk state</w:t>
      </w:r>
    </w:p>
    <w:p>
      <w:pPr>
        <w:pStyle w:val="ListBullet"/>
        <w:spacing w:after="40"/>
      </w:pPr>
      <w:r>
        <w:t>Trace and span identifiers</w:t>
      </w:r>
    </w:p>
    <w:p>
      <w:pPr>
        <w:pStyle w:val="Heading2"/>
      </w:pPr>
      <w:r>
        <w:t>Four different questions</w:t>
      </w:r>
    </w:p>
    <w:p>
      <w:pPr>
        <w:pStyle w:val="ListBullet"/>
        <w:spacing w:after="40"/>
      </w:pPr>
      <w:r>
        <w:t>Operational observability: What is happening?</w:t>
      </w:r>
    </w:p>
    <w:p>
      <w:pPr>
        <w:pStyle w:val="ListBullet"/>
        <w:spacing w:after="40"/>
      </w:pPr>
      <w:r>
        <w:t>Decision observability: Why did it happen?</w:t>
      </w:r>
    </w:p>
    <w:p>
      <w:pPr>
        <w:pStyle w:val="ListBullet"/>
        <w:spacing w:after="40"/>
      </w:pPr>
      <w:r>
        <w:t>Security observability: What authority was exercised?</w:t>
      </w:r>
    </w:p>
    <w:p>
      <w:pPr>
        <w:pStyle w:val="ListBullet"/>
        <w:spacing w:after="40"/>
      </w:pPr>
      <w:r>
        <w:t>Financial observability: What did it cost?</w:t>
      </w:r>
    </w:p>
    <w:p>
      <w:pPr>
        <w:pStyle w:val="ListBullet"/>
        <w:spacing w:after="40"/>
      </w:pPr>
      <w:r>
        <w:t>Model/data observability: Which model and evidence influenced the outcome?</w:t>
      </w:r>
    </w:p>
    <w:p>
      <w:pPr>
        <w:pStyle w:val="ListBullet"/>
        <w:spacing w:after="40"/>
      </w:pPr>
      <w:r>
        <w:t>Governance observability: Which policy allowed or blocked it?</w:t>
      </w:r>
    </w:p>
    <w:p>
      <w:pPr>
        <w:pStyle w:val="Heading2"/>
      </w:pPr>
      <w:r>
        <w:t>Outcome</w:t>
      </w:r>
    </w:p>
    <w:p>
      <w:pPr>
        <w:pStyle w:val="BodyText"/>
      </w:pPr>
      <w:r>
        <w:t>Every later platform capability writes to the same Evidence Fabric, creating one coherent evidence spine across the product.</w:t>
      </w:r>
    </w:p>
    <w:p>
      <w:pPr>
        <w:pStyle w:val="Heading1"/>
        <w:keepNext/>
      </w:pPr>
      <w:r>
        <w:t>Stage 3: Governed Capability Trust Registry</w:t>
      </w:r>
    </w:p>
    <w:p>
      <w:pPr>
        <w:pStyle w:val="Lead"/>
      </w:pPr>
      <w:r>
        <w:t>Upgrade the capability catalogue into a trust registry that expresses not only what exists, but whether and under what conditions it can be used.</w:t>
      </w:r>
    </w:p>
    <w:p>
      <w:pPr>
        <w:pStyle w:val="Heading2"/>
      </w:pPr>
      <w:r>
        <w:t>Each capability should record</w:t>
      </w:r>
    </w:p>
    <w:p>
      <w:pPr>
        <w:pStyle w:val="ListBullet"/>
        <w:spacing w:after="40"/>
      </w:pPr>
      <w:r>
        <w:t>Identity, owner, purpose and version</w:t>
      </w:r>
    </w:p>
    <w:p>
      <w:pPr>
        <w:pStyle w:val="ListBullet"/>
        <w:spacing w:after="40"/>
      </w:pPr>
      <w:r>
        <w:t>Risk tier and data classification</w:t>
      </w:r>
    </w:p>
    <w:p>
      <w:pPr>
        <w:pStyle w:val="ListBullet"/>
        <w:spacing w:after="40"/>
      </w:pPr>
      <w:r>
        <w:t>Permitted consumers and models</w:t>
      </w:r>
    </w:p>
    <w:p>
      <w:pPr>
        <w:pStyle w:val="ListBullet"/>
        <w:spacing w:after="40"/>
      </w:pPr>
      <w:r>
        <w:t>Required permissions</w:t>
      </w:r>
    </w:p>
    <w:p>
      <w:pPr>
        <w:pStyle w:val="ListBullet"/>
        <w:spacing w:after="40"/>
      </w:pPr>
      <w:r>
        <w:t>Input and output schemas</w:t>
      </w:r>
    </w:p>
    <w:p>
      <w:pPr>
        <w:pStyle w:val="ListBullet"/>
        <w:spacing w:after="40"/>
      </w:pPr>
      <w:r>
        <w:t>Read/write and side-effect classification</w:t>
      </w:r>
    </w:p>
    <w:p>
      <w:pPr>
        <w:pStyle w:val="ListBullet"/>
        <w:spacing w:after="40"/>
      </w:pPr>
      <w:r>
        <w:t>Geographic and regulatory constraints</w:t>
      </w:r>
    </w:p>
    <w:p>
      <w:pPr>
        <w:pStyle w:val="ListBullet"/>
        <w:spacing w:after="40"/>
      </w:pPr>
      <w:r>
        <w:t>Cost profile</w:t>
      </w:r>
    </w:p>
    <w:p>
      <w:pPr>
        <w:pStyle w:val="ListBullet"/>
        <w:spacing w:after="40"/>
      </w:pPr>
      <w:r>
        <w:t>Known limitations</w:t>
      </w:r>
    </w:p>
    <w:p>
      <w:pPr>
        <w:pStyle w:val="ListBullet"/>
        <w:spacing w:after="40"/>
      </w:pPr>
      <w:r>
        <w:t>Evaluation and certification status</w:t>
      </w:r>
    </w:p>
    <w:p>
      <w:pPr>
        <w:pStyle w:val="ListBullet"/>
        <w:spacing w:after="40"/>
      </w:pPr>
      <w:r>
        <w:t>Approval status and review/expiry date</w:t>
      </w:r>
    </w:p>
    <w:p>
      <w:pPr>
        <w:pStyle w:val="Heading2"/>
      </w:pPr>
      <w:r>
        <w:t>MCP-specific trust metadata</w:t>
      </w:r>
    </w:p>
    <w:p>
      <w:pPr>
        <w:pStyle w:val="ListBullet"/>
        <w:spacing w:after="40"/>
      </w:pPr>
      <w:r>
        <w:t>Server owner and trust status</w:t>
      </w:r>
    </w:p>
    <w:p>
      <w:pPr>
        <w:pStyle w:val="ListBullet"/>
        <w:spacing w:after="40"/>
      </w:pPr>
      <w:r>
        <w:t>Certified tool list</w:t>
      </w:r>
    </w:p>
    <w:p>
      <w:pPr>
        <w:pStyle w:val="ListBullet"/>
        <w:spacing w:after="40"/>
      </w:pPr>
      <w:r>
        <w:t>Read/write capability</w:t>
      </w:r>
    </w:p>
    <w:p>
      <w:pPr>
        <w:pStyle w:val="ListBullet"/>
        <w:spacing w:after="40"/>
      </w:pPr>
      <w:r>
        <w:t>Data classification and outbound connectivity</w:t>
      </w:r>
    </w:p>
    <w:p>
      <w:pPr>
        <w:pStyle w:val="ListBullet"/>
        <w:spacing w:after="40"/>
      </w:pPr>
      <w:r>
        <w:t>Current risk score</w:t>
      </w:r>
    </w:p>
    <w:p>
      <w:pPr>
        <w:pStyle w:val="ListBullet"/>
        <w:spacing w:after="40"/>
      </w:pPr>
      <w:r>
        <w:t>Allowed missions and environments</w:t>
      </w:r>
    </w:p>
    <w:p>
      <w:pPr>
        <w:pStyle w:val="Heading2"/>
      </w:pPr>
      <w:r>
        <w:t>Outcome</w:t>
      </w:r>
    </w:p>
    <w:p>
      <w:pPr>
        <w:pStyle w:val="BodyText"/>
      </w:pPr>
      <w:r>
        <w:t>The planner and compiler can only compose agents from capabilities that are known, authorised and appropriately trusted.</w:t>
      </w:r>
    </w:p>
    <w:p>
      <w:pPr>
        <w:pStyle w:val="Heading1"/>
        <w:keepNext/>
      </w:pPr>
      <w:r>
        <w:t>Stage 4: Identity, Authority and Delegation</w:t>
      </w:r>
    </w:p>
    <w:p>
      <w:pPr>
        <w:pStyle w:val="Lead"/>
      </w:pPr>
      <w:r>
        <w:t>Every ephemeral agent needs a workload identity, explicit authority and bounded delegation.</w:t>
      </w:r>
    </w:p>
    <w:p>
      <w:pPr>
        <w:pStyle w:val="Heading2"/>
      </w:pPr>
      <w:r>
        <w:t>Authority chain</w:t>
      </w:r>
    </w:p>
    <w:p>
      <w:pPr>
        <w:pStyle w:val="CodeBlock"/>
      </w:pPr>
      <w:r>
        <w:t>Human Authority</w:t>
      </w:r>
      <w:r>
        <w:br/>
      </w:r>
      <w:r>
        <w:t xml:space="preserve">      ↓</w:t>
      </w:r>
      <w:r>
        <w:br/>
      </w:r>
      <w:r>
        <w:t>Mission Authority</w:t>
      </w:r>
      <w:r>
        <w:br/>
      </w:r>
      <w:r>
        <w:t xml:space="preserve">      ↓</w:t>
      </w:r>
      <w:r>
        <w:br/>
      </w:r>
      <w:r>
        <w:t>Planner Authority</w:t>
      </w:r>
      <w:r>
        <w:br/>
      </w:r>
      <w:r>
        <w:t xml:space="preserve">      ↓</w:t>
      </w:r>
      <w:r>
        <w:br/>
      </w:r>
      <w:r>
        <w:t>Agent Authority</w:t>
      </w:r>
      <w:r>
        <w:br/>
      </w:r>
      <w:r>
        <w:t xml:space="preserve">      ↓</w:t>
      </w:r>
      <w:r>
        <w:br/>
      </w:r>
      <w:r>
        <w:t>Tool Authority</w:t>
      </w:r>
    </w:p>
    <w:p>
      <w:pPr>
        <w:pStyle w:val="Heading2"/>
      </w:pPr>
      <w:r>
        <w:t>Core controls</w:t>
      </w:r>
    </w:p>
    <w:p>
      <w:pPr>
        <w:pStyle w:val="ListBullet"/>
        <w:spacing w:after="40"/>
      </w:pPr>
      <w:r>
        <w:t>Short-lived credentials</w:t>
      </w:r>
    </w:p>
    <w:p>
      <w:pPr>
        <w:pStyle w:val="ListBullet"/>
        <w:spacing w:after="40"/>
      </w:pPr>
      <w:r>
        <w:t>Least-privilege access</w:t>
      </w:r>
    </w:p>
    <w:p>
      <w:pPr>
        <w:pStyle w:val="ListBullet"/>
        <w:spacing w:after="40"/>
      </w:pPr>
      <w:r>
        <w:t>Mission-scoped identities</w:t>
      </w:r>
    </w:p>
    <w:p>
      <w:pPr>
        <w:pStyle w:val="ListBullet"/>
        <w:spacing w:after="40"/>
      </w:pPr>
      <w:r>
        <w:t>Explicit read/write/execute entitlements</w:t>
      </w:r>
    </w:p>
    <w:p>
      <w:pPr>
        <w:pStyle w:val="ListBullet"/>
        <w:spacing w:after="40"/>
      </w:pPr>
      <w:r>
        <w:t>Delegation depth limits</w:t>
      </w:r>
    </w:p>
    <w:p>
      <w:pPr>
        <w:pStyle w:val="ListBullet"/>
        <w:spacing w:after="40"/>
      </w:pPr>
      <w:r>
        <w:t>No agent may delegate more authority than it holds</w:t>
      </w:r>
    </w:p>
    <w:p>
      <w:pPr>
        <w:pStyle w:val="ListBullet"/>
        <w:spacing w:after="40"/>
      </w:pPr>
      <w:r>
        <w:t>Immediate credential revocation on termination or quarantine</w:t>
      </w:r>
    </w:p>
    <w:p>
      <w:pPr>
        <w:pStyle w:val="Heading2"/>
      </w:pPr>
      <w:r>
        <w:t>Outcome</w:t>
      </w:r>
    </w:p>
    <w:p>
      <w:pPr>
        <w:pStyle w:val="BodyText"/>
      </w:pPr>
      <w:r>
        <w:t>Tectonic can prove who or what exercised authority, on whose behalf, within what scope and for how long.</w:t>
      </w:r>
    </w:p>
    <w:p>
      <w:pPr>
        <w:pStyle w:val="Heading1"/>
        <w:keepNext/>
      </w:pPr>
      <w:r>
        <w:t>Stage 5: Dynamic Workforce Node and Autonomy Levels</w:t>
      </w:r>
    </w:p>
    <w:p>
      <w:pPr>
        <w:pStyle w:val="Lead"/>
      </w:pPr>
      <w:r>
        <w:t>Make Dynamic Workforce a first-class Workflow Engine primitive while exposing the level of autonomy explicitly.</w:t>
      </w:r>
    </w:p>
    <w:p>
      <w:pPr>
        <w:pStyle w:val="Heading2"/>
      </w:pPr>
      <w:r>
        <w:t>Autonomy levels</w:t>
      </w:r>
    </w:p>
    <w:p>
      <w:pPr>
        <w:pStyle w:val="CodeBlock"/>
      </w:pPr>
      <w:r>
        <w:t>L0  Recommend only</w:t>
      </w:r>
      <w:r>
        <w:br/>
      </w:r>
      <w:r>
        <w:t>L1  Plan autonomously, human executes</w:t>
      </w:r>
      <w:r>
        <w:br/>
      </w:r>
      <w:r>
        <w:t>L2  Execute read-only actions</w:t>
      </w:r>
      <w:r>
        <w:br/>
      </w:r>
      <w:r>
        <w:t>L3  Execute reversible actions within policy</w:t>
      </w:r>
      <w:r>
        <w:br/>
      </w:r>
      <w:r>
        <w:t>L4  Execute consequential actions with approval gates</w:t>
      </w:r>
      <w:r>
        <w:br/>
      </w:r>
      <w:r>
        <w:t>L5  Highly autonomous execution within explicitly bounded authority</w:t>
      </w:r>
    </w:p>
    <w:p>
      <w:pPr>
        <w:pStyle w:val="Heading2"/>
      </w:pPr>
      <w:r>
        <w:t>Node configuration</w:t>
      </w:r>
    </w:p>
    <w:p>
      <w:pPr>
        <w:pStyle w:val="ListBullet"/>
        <w:spacing w:after="40"/>
      </w:pPr>
      <w:r>
        <w:t>Objective</w:t>
      </w:r>
    </w:p>
    <w:p>
      <w:pPr>
        <w:pStyle w:val="ListBullet"/>
        <w:spacing w:after="40"/>
      </w:pPr>
      <w:r>
        <w:t>Risk tier</w:t>
      </w:r>
    </w:p>
    <w:p>
      <w:pPr>
        <w:pStyle w:val="ListBullet"/>
        <w:spacing w:after="40"/>
      </w:pPr>
      <w:r>
        <w:t>Autonomy level</w:t>
      </w:r>
    </w:p>
    <w:p>
      <w:pPr>
        <w:pStyle w:val="ListBullet"/>
        <w:spacing w:after="40"/>
      </w:pPr>
      <w:r>
        <w:t>Maximum agents and concurrency</w:t>
      </w:r>
    </w:p>
    <w:p>
      <w:pPr>
        <w:pStyle w:val="ListBullet"/>
        <w:spacing w:after="40"/>
      </w:pPr>
      <w:r>
        <w:t>Maximum delegation depth</w:t>
      </w:r>
    </w:p>
    <w:p>
      <w:pPr>
        <w:pStyle w:val="ListBullet"/>
        <w:spacing w:after="40"/>
      </w:pPr>
      <w:r>
        <w:t>Budget and token limits</w:t>
      </w:r>
    </w:p>
    <w:p>
      <w:pPr>
        <w:pStyle w:val="ListBullet"/>
        <w:spacing w:after="40"/>
      </w:pPr>
      <w:r>
        <w:t>Allowed capability domains</w:t>
      </w:r>
    </w:p>
    <w:p>
      <w:pPr>
        <w:pStyle w:val="ListBullet"/>
        <w:spacing w:after="40"/>
      </w:pPr>
      <w:r>
        <w:t>Human approval requirements</w:t>
      </w:r>
    </w:p>
    <w:p>
      <w:pPr>
        <w:pStyle w:val="ListBullet"/>
        <w:spacing w:after="40"/>
      </w:pPr>
      <w:r>
        <w:t>Default lifecycle</w:t>
      </w:r>
    </w:p>
    <w:p>
      <w:pPr>
        <w:pStyle w:val="ListBullet"/>
        <w:spacing w:after="40"/>
      </w:pPr>
      <w:r>
        <w:t>Evidence and evaluation requirements</w:t>
      </w:r>
    </w:p>
    <w:p>
      <w:pPr>
        <w:pStyle w:val="Heading2"/>
      </w:pPr>
      <w:r>
        <w:t>Outcome</w:t>
      </w:r>
    </w:p>
    <w:p>
      <w:pPr>
        <w:pStyle w:val="BodyText"/>
      </w:pPr>
      <w:r>
        <w:t>Users can understand the effective authority of a Dynamic Workforce immediately rather than inferring it from dozens of low-level settings.</w:t>
      </w:r>
    </w:p>
    <w:p>
      <w:pPr>
        <w:pStyle w:val="Heading1"/>
        <w:keepNext/>
      </w:pPr>
      <w:r>
        <w:t>Stage 6: Mission Planner and Explainable Planning</w:t>
      </w:r>
    </w:p>
    <w:p>
      <w:pPr>
        <w:pStyle w:val="Lead"/>
      </w:pPr>
      <w:r>
        <w:t>The planner must produce a structured, evidence-bearing plan rather than an opaque narrative.</w:t>
      </w:r>
    </w:p>
    <w:p>
      <w:pPr>
        <w:pStyle w:val="Heading2"/>
      </w:pPr>
      <w:r>
        <w:t>Every planned task should contain</w:t>
      </w:r>
    </w:p>
    <w:p>
      <w:pPr>
        <w:pStyle w:val="ListBullet"/>
        <w:spacing w:after="40"/>
      </w:pPr>
      <w:r>
        <w:t>Task objective</w:t>
      </w:r>
    </w:p>
    <w:p>
      <w:pPr>
        <w:pStyle w:val="ListBullet"/>
        <w:spacing w:after="40"/>
      </w:pPr>
      <w:r>
        <w:t>Reason the task exists</w:t>
      </w:r>
    </w:p>
    <w:p>
      <w:pPr>
        <w:pStyle w:val="ListBullet"/>
        <w:spacing w:after="40"/>
      </w:pPr>
      <w:r>
        <w:t>Required capabilities</w:t>
      </w:r>
    </w:p>
    <w:p>
      <w:pPr>
        <w:pStyle w:val="ListBullet"/>
        <w:spacing w:after="40"/>
      </w:pPr>
      <w:r>
        <w:t>Dependencies</w:t>
      </w:r>
    </w:p>
    <w:p>
      <w:pPr>
        <w:pStyle w:val="ListBullet"/>
        <w:spacing w:after="40"/>
      </w:pPr>
      <w:r>
        <w:t>Expected output</w:t>
      </w:r>
    </w:p>
    <w:p>
      <w:pPr>
        <w:pStyle w:val="ListBullet"/>
        <w:spacing w:after="40"/>
      </w:pPr>
      <w:r>
        <w:t>Risk level</w:t>
      </w:r>
    </w:p>
    <w:p>
      <w:pPr>
        <w:pStyle w:val="ListBullet"/>
        <w:spacing w:after="40"/>
      </w:pPr>
      <w:r>
        <w:t>Completion criterion</w:t>
      </w:r>
    </w:p>
    <w:p>
      <w:pPr>
        <w:pStyle w:val="ListBullet"/>
        <w:spacing w:after="40"/>
      </w:pPr>
      <w:r>
        <w:t>Why this approach was selected</w:t>
      </w:r>
    </w:p>
    <w:p>
      <w:pPr>
        <w:pStyle w:val="ListBullet"/>
        <w:spacing w:after="40"/>
      </w:pPr>
      <w:r>
        <w:t>Material alternatives considered</w:t>
      </w:r>
    </w:p>
    <w:p>
      <w:pPr>
        <w:pStyle w:val="Heading2"/>
      </w:pPr>
      <w:r>
        <w:t>Explainability principle</w:t>
      </w:r>
    </w:p>
    <w:p>
      <w:pPr>
        <w:pStyle w:val="BodyText"/>
      </w:pPr>
      <w:r>
        <w:t>Do not expose or rely on private chain-of-thought. Generate structured decision rationale that cites observable evidence, applicable rules and the resulting action.</w:t>
      </w:r>
    </w:p>
    <w:p>
      <w:pPr>
        <w:pStyle w:val="Heading2"/>
      </w:pPr>
      <w:r>
        <w:t>Example rationale</w:t>
      </w:r>
    </w:p>
    <w:p>
      <w:pPr>
        <w:pStyle w:val="CodeBlock"/>
      </w:pPr>
      <w:r>
        <w:t>Decision: Create regulatory-analysis task</w:t>
      </w:r>
      <w:r>
        <w:br/>
      </w:r>
      <w:r>
        <w:t>Evidence: Research identified payment-initiation capability</w:t>
      </w:r>
      <w:r>
        <w:br/>
      </w:r>
      <w:r>
        <w:t>Rule: Mission policy requires regulatory assessment for transaction execution</w:t>
      </w:r>
      <w:r>
        <w:br/>
      </w:r>
      <w:r>
        <w:t>Action: Add regulatory-analysis task</w:t>
      </w:r>
    </w:p>
    <w:p>
      <w:pPr>
        <w:pStyle w:val="Heading2"/>
      </w:pPr>
      <w:r>
        <w:t>Outcome</w:t>
      </w:r>
    </w:p>
    <w:p>
      <w:pPr>
        <w:pStyle w:val="BodyText"/>
      </w:pPr>
      <w:r>
        <w:t>A reviewer can reconstruct why the mission plan took its current shape and how it changed over time.</w:t>
      </w:r>
    </w:p>
    <w:p>
      <w:pPr>
        <w:pStyle w:val="Heading1"/>
        <w:keepNext/>
      </w:pPr>
      <w:r>
        <w:t>Stage 7: Agent Compiler and Agent Bill of Materials</w:t>
      </w:r>
    </w:p>
    <w:p>
      <w:pPr>
        <w:pStyle w:val="Lead"/>
      </w:pPr>
      <w:r>
        <w:t>Treat generated agents as compiled, versioned, auditable runtime objects.</w:t>
      </w:r>
    </w:p>
    <w:p>
      <w:pPr>
        <w:pStyle w:val="Heading2"/>
      </w:pPr>
      <w:r>
        <w:t>Agent Bill of Materials (A-BOM)</w:t>
      </w:r>
    </w:p>
    <w:p>
      <w:pPr>
        <w:pStyle w:val="ListBullet"/>
        <w:spacing w:after="40"/>
      </w:pPr>
      <w:r>
        <w:t>Agent identity and creation time</w:t>
      </w:r>
    </w:p>
    <w:p>
      <w:pPr>
        <w:pStyle w:val="ListBullet"/>
        <w:spacing w:after="40"/>
      </w:pPr>
      <w:r>
        <w:t>Creation rationale and parent</w:t>
      </w:r>
    </w:p>
    <w:p>
      <w:pPr>
        <w:pStyle w:val="ListBullet"/>
        <w:spacing w:after="40"/>
      </w:pPr>
      <w:r>
        <w:t>Mission and task</w:t>
      </w:r>
    </w:p>
    <w:p>
      <w:pPr>
        <w:pStyle w:val="ListBullet"/>
        <w:spacing w:after="40"/>
      </w:pPr>
      <w:r>
        <w:t>Model and version</w:t>
      </w:r>
    </w:p>
    <w:p>
      <w:pPr>
        <w:pStyle w:val="ListBullet"/>
        <w:spacing w:after="40"/>
      </w:pPr>
      <w:r>
        <w:t>Instruction version</w:t>
      </w:r>
    </w:p>
    <w:p>
      <w:pPr>
        <w:pStyle w:val="ListBullet"/>
        <w:spacing w:after="40"/>
      </w:pPr>
      <w:r>
        <w:t>Skills and versions</w:t>
      </w:r>
    </w:p>
    <w:p>
      <w:pPr>
        <w:pStyle w:val="ListBullet"/>
        <w:spacing w:after="40"/>
      </w:pPr>
      <w:r>
        <w:t>Tools and MCP servers</w:t>
      </w:r>
    </w:p>
    <w:p>
      <w:pPr>
        <w:pStyle w:val="ListBullet"/>
        <w:spacing w:after="40"/>
      </w:pPr>
      <w:r>
        <w:t>Knowledge sources</w:t>
      </w:r>
    </w:p>
    <w:p>
      <w:pPr>
        <w:pStyle w:val="ListBullet"/>
        <w:spacing w:after="40"/>
      </w:pPr>
      <w:r>
        <w:t>Data classification</w:t>
      </w:r>
    </w:p>
    <w:p>
      <w:pPr>
        <w:pStyle w:val="ListBullet"/>
        <w:spacing w:after="40"/>
      </w:pPr>
      <w:r>
        <w:t>Effective authority</w:t>
      </w:r>
    </w:p>
    <w:p>
      <w:pPr>
        <w:pStyle w:val="ListBullet"/>
        <w:spacing w:after="40"/>
      </w:pPr>
      <w:r>
        <w:t>Budget</w:t>
      </w:r>
    </w:p>
    <w:p>
      <w:pPr>
        <w:pStyle w:val="ListBullet"/>
        <w:spacing w:after="40"/>
      </w:pPr>
      <w:r>
        <w:t>Lifecycle</w:t>
      </w:r>
    </w:p>
    <w:p>
      <w:pPr>
        <w:pStyle w:val="ListBullet"/>
        <w:spacing w:after="40"/>
      </w:pPr>
      <w:r>
        <w:t>Risk classification</w:t>
      </w:r>
    </w:p>
    <w:p>
      <w:pPr>
        <w:pStyle w:val="Heading2"/>
      </w:pPr>
      <w:r>
        <w:t>Compiler rule</w:t>
      </w:r>
    </w:p>
    <w:p>
      <w:pPr>
        <w:pStyle w:val="BodyText"/>
      </w:pPr>
      <w:r>
        <w:t>The Agent Compiler may only bind capabilities that exist in the Capability Trust Registry and are permitted by mission policy and authority.</w:t>
      </w:r>
    </w:p>
    <w:p>
      <w:pPr>
        <w:pStyle w:val="Heading2"/>
      </w:pPr>
      <w:r>
        <w:t>Outcome</w:t>
      </w:r>
    </w:p>
    <w:p>
      <w:pPr>
        <w:pStyle w:val="BodyText"/>
      </w:pPr>
      <w:r>
        <w:t>Every dynamically generated agent has a durable forensic record comparable in spirit to a software bill of materials.</w:t>
      </w:r>
    </w:p>
    <w:p>
      <w:pPr>
        <w:pStyle w:val="Heading1"/>
        <w:keepNext/>
      </w:pPr>
      <w:r>
        <w:t>Stage 8: Governed Just-in-Time Workforce Creation</w:t>
      </w:r>
    </w:p>
    <w:p>
      <w:pPr>
        <w:pStyle w:val="Lead"/>
      </w:pPr>
      <w:r>
        <w:t>Allow runtime specialist creation, but place a risk decision point between capability need and agent instantiation.</w:t>
      </w:r>
    </w:p>
    <w:p>
      <w:pPr>
        <w:pStyle w:val="Heading2"/>
      </w:pPr>
      <w:r>
        <w:t>Creation decision flow</w:t>
      </w:r>
    </w:p>
    <w:p>
      <w:pPr>
        <w:pStyle w:val="CodeBlock"/>
      </w:pPr>
      <w:r>
        <w:t>Capability Gap</w:t>
      </w:r>
      <w:r>
        <w:br/>
      </w:r>
      <w:r>
        <w:t xml:space="preserve">     ↓</w:t>
      </w:r>
      <w:r>
        <w:br/>
      </w:r>
      <w:r>
        <w:t>Agent Requested</w:t>
      </w:r>
      <w:r>
        <w:br/>
      </w:r>
      <w:r>
        <w:t xml:space="preserve">     ↓</w:t>
      </w:r>
      <w:r>
        <w:br/>
      </w:r>
      <w:r>
        <w:t>Risk Engine</w:t>
      </w:r>
      <w:r>
        <w:br/>
      </w:r>
      <w:r>
        <w:t xml:space="preserve">     ↓</w:t>
      </w:r>
      <w:r>
        <w:br/>
      </w:r>
      <w:r>
        <w:t>Policy Engine</w:t>
      </w:r>
      <w:r>
        <w:br/>
      </w:r>
      <w:r>
        <w:t xml:space="preserve">     ↓</w:t>
      </w:r>
      <w:r>
        <w:br/>
      </w:r>
      <w:r>
        <w:t>Authority Engine</w:t>
      </w:r>
      <w:r>
        <w:br/>
      </w:r>
      <w:r>
        <w:t xml:space="preserve">     ↓</w:t>
      </w:r>
      <w:r>
        <w:br/>
      </w:r>
      <w:r>
        <w:t>Budget / SoD checks</w:t>
      </w:r>
      <w:r>
        <w:br/>
      </w:r>
      <w:r>
        <w:t xml:space="preserve">     ↓</w:t>
      </w:r>
      <w:r>
        <w:br/>
      </w:r>
      <w:r>
        <w:t>ALLOW | DENY | MODIFY | ESCALATE | REQUIRE APPROVAL</w:t>
      </w:r>
    </w:p>
    <w:p>
      <w:pPr>
        <w:pStyle w:val="Heading2"/>
      </w:pPr>
      <w:r>
        <w:t>Policy modification example</w:t>
      </w:r>
    </w:p>
    <w:p>
      <w:pPr>
        <w:pStyle w:val="BodyText"/>
      </w:pPr>
      <w:r>
        <w:t>If a mission may analyse payment execution but not execute transactions, Tectonic should be able to modify a requested Payments Execution Agent into a Payments Simulation Agent.</w:t>
      </w:r>
    </w:p>
    <w:p>
      <w:pPr>
        <w:pStyle w:val="Heading2"/>
      </w:pPr>
      <w:r>
        <w:t>Outcome</w:t>
      </w:r>
    </w:p>
    <w:p>
      <w:pPr>
        <w:pStyle w:val="BodyText"/>
      </w:pPr>
      <w:r>
        <w:t>JIT spawning becomes controlled capability composition rather than unrestricted recursive agent creation.</w:t>
      </w:r>
    </w:p>
    <w:p>
      <w:pPr>
        <w:pStyle w:val="Heading1"/>
        <w:keepNext/>
      </w:pPr>
      <w:r>
        <w:t>Stage 9: Continuous Runtime Policy Enforcement</w:t>
      </w:r>
    </w:p>
    <w:p>
      <w:pPr>
        <w:pStyle w:val="Lead"/>
      </w:pPr>
      <w:r>
        <w:t>Creation-time approval is not enough. Consequential actions require continuous authorization.</w:t>
      </w:r>
    </w:p>
    <w:p>
      <w:pPr>
        <w:pStyle w:val="Heading2"/>
      </w:pPr>
      <w:r>
        <w:t>Before sensitive actions evaluate</w:t>
      </w:r>
    </w:p>
    <w:p>
      <w:pPr>
        <w:pStyle w:val="ListBullet"/>
        <w:spacing w:after="40"/>
      </w:pPr>
      <w:r>
        <w:t>Agent identity</w:t>
      </w:r>
    </w:p>
    <w:p>
      <w:pPr>
        <w:pStyle w:val="ListBullet"/>
        <w:spacing w:after="40"/>
      </w:pPr>
      <w:r>
        <w:t>Mission authority</w:t>
      </w:r>
    </w:p>
    <w:p>
      <w:pPr>
        <w:pStyle w:val="ListBullet"/>
        <w:spacing w:after="40"/>
      </w:pPr>
      <w:r>
        <w:t>Current policy</w:t>
      </w:r>
    </w:p>
    <w:p>
      <w:pPr>
        <w:pStyle w:val="ListBullet"/>
        <w:spacing w:after="40"/>
      </w:pPr>
      <w:r>
        <w:t>Current risk state</w:t>
      </w:r>
    </w:p>
    <w:p>
      <w:pPr>
        <w:pStyle w:val="ListBullet"/>
        <w:spacing w:after="40"/>
      </w:pPr>
      <w:r>
        <w:t>Data classification</w:t>
      </w:r>
    </w:p>
    <w:p>
      <w:pPr>
        <w:pStyle w:val="ListBullet"/>
        <w:spacing w:after="40"/>
      </w:pPr>
      <w:r>
        <w:t>Transaction or action value</w:t>
      </w:r>
    </w:p>
    <w:p>
      <w:pPr>
        <w:pStyle w:val="ListBullet"/>
        <w:spacing w:after="40"/>
      </w:pPr>
      <w:r>
        <w:t>Customer/context constraints</w:t>
      </w:r>
    </w:p>
    <w:p>
      <w:pPr>
        <w:pStyle w:val="ListBullet"/>
        <w:spacing w:after="40"/>
      </w:pPr>
      <w:r>
        <w:t>Approval state</w:t>
      </w:r>
    </w:p>
    <w:p>
      <w:pPr>
        <w:pStyle w:val="ListBullet"/>
        <w:spacing w:after="40"/>
      </w:pPr>
      <w:r>
        <w:t>Rate and budget limits</w:t>
      </w:r>
    </w:p>
    <w:p>
      <w:pPr>
        <w:pStyle w:val="Heading2"/>
      </w:pPr>
      <w:r>
        <w:t>Decision outcomes</w:t>
      </w:r>
    </w:p>
    <w:p>
      <w:pPr>
        <w:pStyle w:val="ListBullet"/>
        <w:spacing w:after="40"/>
      </w:pPr>
      <w:r>
        <w:t>ALLOW</w:t>
      </w:r>
    </w:p>
    <w:p>
      <w:pPr>
        <w:pStyle w:val="ListBullet"/>
        <w:spacing w:after="40"/>
      </w:pPr>
      <w:r>
        <w:t>BLOCK</w:t>
      </w:r>
    </w:p>
    <w:p>
      <w:pPr>
        <w:pStyle w:val="ListBullet"/>
        <w:spacing w:after="40"/>
      </w:pPr>
      <w:r>
        <w:t>ESCALATE</w:t>
      </w:r>
    </w:p>
    <w:p>
      <w:pPr>
        <w:pStyle w:val="ListBullet"/>
        <w:spacing w:after="40"/>
      </w:pPr>
      <w:r>
        <w:t>REQUIRE APPROVAL</w:t>
      </w:r>
    </w:p>
    <w:p>
      <w:pPr>
        <w:pStyle w:val="ListBullet"/>
        <w:spacing w:after="40"/>
      </w:pPr>
      <w:r>
        <w:t>DOWNGRADE AUTHORITY</w:t>
      </w:r>
    </w:p>
    <w:p>
      <w:pPr>
        <w:pStyle w:val="ListBullet"/>
        <w:spacing w:after="40"/>
      </w:pPr>
      <w:r>
        <w:t>REDIRECT TO SIMULATION</w:t>
      </w:r>
    </w:p>
    <w:p>
      <w:pPr>
        <w:pStyle w:val="Heading2"/>
      </w:pPr>
      <w:r>
        <w:t>Outcome</w:t>
      </w:r>
    </w:p>
    <w:p>
      <w:pPr>
        <w:pStyle w:val="BodyText"/>
      </w:pPr>
      <w:r>
        <w:t>An agent that was safe when created cannot silently drift into an unauthorised action later in the mission.</w:t>
      </w:r>
    </w:p>
    <w:p>
      <w:pPr>
        <w:pStyle w:val="Heading1"/>
        <w:keepNext/>
      </w:pPr>
      <w:r>
        <w:t>Stage 10: Dynamic Replanning and Runtime Risk Engine</w:t>
      </w:r>
    </w:p>
    <w:p>
      <w:pPr>
        <w:pStyle w:val="Lead"/>
      </w:pPr>
      <w:r>
        <w:t>Permit adaptive plans, but make every replan explicit, versioned and risk-aware.</w:t>
      </w:r>
    </w:p>
    <w:p>
      <w:pPr>
        <w:pStyle w:val="Heading2"/>
      </w:pPr>
      <w:r>
        <w:t>Each plan delta should capture</w:t>
      </w:r>
    </w:p>
    <w:p>
      <w:pPr>
        <w:pStyle w:val="ListBullet"/>
        <w:spacing w:after="40"/>
      </w:pPr>
      <w:r>
        <w:t>Change made</w:t>
      </w:r>
    </w:p>
    <w:p>
      <w:pPr>
        <w:pStyle w:val="ListBullet"/>
        <w:spacing w:after="40"/>
      </w:pPr>
      <w:r>
        <w:t>Reason</w:t>
      </w:r>
    </w:p>
    <w:p>
      <w:pPr>
        <w:pStyle w:val="ListBullet"/>
        <w:spacing w:after="40"/>
      </w:pPr>
      <w:r>
        <w:t>Evidence</w:t>
      </w:r>
    </w:p>
    <w:p>
      <w:pPr>
        <w:pStyle w:val="ListBullet"/>
        <w:spacing w:after="40"/>
      </w:pPr>
      <w:r>
        <w:t>Risk delta</w:t>
      </w:r>
    </w:p>
    <w:p>
      <w:pPr>
        <w:pStyle w:val="ListBullet"/>
        <w:spacing w:after="40"/>
      </w:pPr>
      <w:r>
        <w:t>Cost delta</w:t>
      </w:r>
    </w:p>
    <w:p>
      <w:pPr>
        <w:pStyle w:val="ListBullet"/>
        <w:spacing w:after="40"/>
      </w:pPr>
      <w:r>
        <w:t>Authority delta</w:t>
      </w:r>
    </w:p>
    <w:p>
      <w:pPr>
        <w:pStyle w:val="ListBullet"/>
        <w:spacing w:after="40"/>
      </w:pPr>
      <w:r>
        <w:t>New dependencies</w:t>
      </w:r>
    </w:p>
    <w:p>
      <w:pPr>
        <w:pStyle w:val="ListBullet"/>
        <w:spacing w:after="40"/>
      </w:pPr>
      <w:r>
        <w:t>New agents</w:t>
      </w:r>
    </w:p>
    <w:p>
      <w:pPr>
        <w:pStyle w:val="ListBullet"/>
        <w:spacing w:after="40"/>
      </w:pPr>
      <w:r>
        <w:t>Removed tasks</w:t>
      </w:r>
    </w:p>
    <w:p>
      <w:pPr>
        <w:pStyle w:val="ListBullet"/>
        <w:spacing w:after="40"/>
      </w:pPr>
      <w:r>
        <w:t>Required approvals</w:t>
      </w:r>
    </w:p>
    <w:p>
      <w:pPr>
        <w:pStyle w:val="Heading2"/>
      </w:pPr>
      <w:r>
        <w:t>Example</w:t>
      </w:r>
    </w:p>
    <w:p>
      <w:pPr>
        <w:pStyle w:val="CodeBlock"/>
      </w:pPr>
      <w:r>
        <w:t>Plan v7 → v8</w:t>
      </w:r>
      <w:r>
        <w:br/>
      </w:r>
      <w:r>
        <w:t>Added: External market analysis</w:t>
      </w:r>
      <w:r>
        <w:br/>
      </w:r>
      <w:r>
        <w:t>Reason: Internal evidence insufficient</w:t>
      </w:r>
      <w:r>
        <w:br/>
      </w:r>
      <w:r>
        <w:t>Risk: MODERATE → HIGH</w:t>
      </w:r>
      <w:r>
        <w:br/>
      </w:r>
      <w:r>
        <w:t>Cause: External data transmission required</w:t>
      </w:r>
      <w:r>
        <w:br/>
      </w:r>
      <w:r>
        <w:t>Decision: Pause pending approval</w:t>
      </w:r>
    </w:p>
    <w:p>
      <w:pPr>
        <w:pStyle w:val="Heading2"/>
      </w:pPr>
      <w:r>
        <w:t>Outcome</w:t>
      </w:r>
    </w:p>
    <w:p>
      <w:pPr>
        <w:pStyle w:val="BodyText"/>
      </w:pPr>
      <w:r>
        <w:t>Tectonic can explain not only what the plan is, but how and why it evolved.</w:t>
      </w:r>
    </w:p>
    <w:p>
      <w:pPr>
        <w:pStyle w:val="Heading1"/>
        <w:keepNext/>
      </w:pPr>
      <w:r>
        <w:t>Stage 11: Multi-Layer Explainability</w:t>
      </w:r>
    </w:p>
    <w:p>
      <w:pPr>
        <w:pStyle w:val="Lead"/>
      </w:pPr>
      <w:r>
        <w:t>Explainability should exist at mission, plan, agent, action, output and outcome levels.</w:t>
      </w:r>
    </w:p>
    <w:p>
      <w:pPr>
        <w:pStyle w:val="Heading2"/>
      </w:pPr>
      <w:r>
        <w:t>Six layers</w:t>
      </w:r>
    </w:p>
    <w:p>
      <w:pPr>
        <w:pStyle w:val="ListBullet"/>
        <w:spacing w:after="40"/>
      </w:pPr>
      <w:r>
        <w:t>Mission: Why was the system running?</w:t>
      </w:r>
    </w:p>
    <w:p>
      <w:pPr>
        <w:pStyle w:val="ListBullet"/>
        <w:spacing w:after="40"/>
      </w:pPr>
      <w:r>
        <w:t>Plan: Why were these tasks selected?</w:t>
      </w:r>
    </w:p>
    <w:p>
      <w:pPr>
        <w:pStyle w:val="ListBullet"/>
        <w:spacing w:after="40"/>
      </w:pPr>
      <w:r>
        <w:t>Agent: Why was this agent created?</w:t>
      </w:r>
    </w:p>
    <w:p>
      <w:pPr>
        <w:pStyle w:val="ListBullet"/>
        <w:spacing w:after="40"/>
      </w:pPr>
      <w:r>
        <w:t>Action: Why did the agent invoke this tool?</w:t>
      </w:r>
    </w:p>
    <w:p>
      <w:pPr>
        <w:pStyle w:val="ListBullet"/>
        <w:spacing w:after="40"/>
      </w:pPr>
      <w:r>
        <w:t>Output: What evidence supports the result?</w:t>
      </w:r>
    </w:p>
    <w:p>
      <w:pPr>
        <w:pStyle w:val="ListBullet"/>
        <w:spacing w:after="40"/>
      </w:pPr>
      <w:r>
        <w:t>Outcome: Why did Tectonic consider the mission successful or unsafe?</w:t>
      </w:r>
    </w:p>
    <w:p>
      <w:pPr>
        <w:pStyle w:val="Heading2"/>
      </w:pPr>
      <w:r>
        <w:t>User experience</w:t>
      </w:r>
    </w:p>
    <w:p>
      <w:pPr>
        <w:pStyle w:val="ListBullet"/>
        <w:spacing w:after="40"/>
      </w:pPr>
      <w:r>
        <w:t>Provide an Explain This action on missions, tasks, agents, tool calls, policy decisions and outputs.</w:t>
      </w:r>
    </w:p>
    <w:p>
      <w:pPr>
        <w:pStyle w:val="ListBullet"/>
        <w:spacing w:after="40"/>
      </w:pPr>
      <w:r>
        <w:t>Support questions such as: Why this model? Why was this blocked? Why did the plan change? Which evidence influenced this recommendation? Which policy permitted this API call?</w:t>
      </w:r>
    </w:p>
    <w:p>
      <w:pPr>
        <w:pStyle w:val="Heading2"/>
      </w:pPr>
      <w:r>
        <w:t>Outcome</w:t>
      </w:r>
    </w:p>
    <w:p>
      <w:pPr>
        <w:pStyle w:val="BodyText"/>
      </w:pPr>
      <w:r>
        <w:t>Explainability becomes a product surface rather than a debugging log.</w:t>
      </w:r>
    </w:p>
    <w:p>
      <w:pPr>
        <w:pStyle w:val="Heading1"/>
        <w:keepNext/>
      </w:pPr>
      <w:r>
        <w:t>Stage 12: Assurance Fabric and Independent Challenge</w:t>
      </w:r>
    </w:p>
    <w:p>
      <w:pPr>
        <w:pStyle w:val="Lead"/>
      </w:pPr>
      <w:r>
        <w:t>Separate generation from assurance, especially for higher-risk workloads.</w:t>
      </w:r>
    </w:p>
    <w:p>
      <w:pPr>
        <w:pStyle w:val="Heading2"/>
      </w:pPr>
      <w:r>
        <w:t>Pre-execution assurance</w:t>
      </w:r>
    </w:p>
    <w:p>
      <w:pPr>
        <w:pStyle w:val="ListBullet"/>
        <w:spacing w:after="40"/>
      </w:pPr>
      <w:r>
        <w:t>Mission risk assessment</w:t>
      </w:r>
    </w:p>
    <w:p>
      <w:pPr>
        <w:pStyle w:val="ListBullet"/>
        <w:spacing w:after="40"/>
      </w:pPr>
      <w:r>
        <w:t>Prompt/instruction tests</w:t>
      </w:r>
    </w:p>
    <w:p>
      <w:pPr>
        <w:pStyle w:val="ListBullet"/>
        <w:spacing w:after="40"/>
      </w:pPr>
      <w:r>
        <w:t>Tool and capability validation</w:t>
      </w:r>
    </w:p>
    <w:p>
      <w:pPr>
        <w:pStyle w:val="ListBullet"/>
        <w:spacing w:after="40"/>
      </w:pPr>
      <w:r>
        <w:t>Policy validation</w:t>
      </w:r>
    </w:p>
    <w:p>
      <w:pPr>
        <w:pStyle w:val="ListBullet"/>
        <w:spacing w:after="40"/>
      </w:pPr>
      <w:r>
        <w:t>Data validation</w:t>
      </w:r>
    </w:p>
    <w:p>
      <w:pPr>
        <w:pStyle w:val="Heading2"/>
      </w:pPr>
      <w:r>
        <w:t>In-execution assurance</w:t>
      </w:r>
    </w:p>
    <w:p>
      <w:pPr>
        <w:pStyle w:val="ListBullet"/>
        <w:spacing w:after="40"/>
      </w:pPr>
      <w:r>
        <w:t>Grounding and hallucination checks</w:t>
      </w:r>
    </w:p>
    <w:p>
      <w:pPr>
        <w:pStyle w:val="ListBullet"/>
        <w:spacing w:after="40"/>
      </w:pPr>
      <w:r>
        <w:t>Behaviour anomaly detection</w:t>
      </w:r>
    </w:p>
    <w:p>
      <w:pPr>
        <w:pStyle w:val="ListBullet"/>
        <w:spacing w:after="40"/>
      </w:pPr>
      <w:r>
        <w:t>Policy checks</w:t>
      </w:r>
    </w:p>
    <w:p>
      <w:pPr>
        <w:pStyle w:val="ListBullet"/>
        <w:spacing w:after="40"/>
      </w:pPr>
      <w:r>
        <w:t>Agent-loop detection</w:t>
      </w:r>
    </w:p>
    <w:p>
      <w:pPr>
        <w:pStyle w:val="ListBullet"/>
        <w:spacing w:after="40"/>
      </w:pPr>
      <w:r>
        <w:t>Cost anomalies</w:t>
      </w:r>
    </w:p>
    <w:p>
      <w:pPr>
        <w:pStyle w:val="ListBullet"/>
        <w:spacing w:after="40"/>
      </w:pPr>
      <w:r>
        <w:t>Data leakage</w:t>
      </w:r>
    </w:p>
    <w:p>
      <w:pPr>
        <w:pStyle w:val="ListBullet"/>
        <w:spacing w:after="40"/>
      </w:pPr>
      <w:r>
        <w:t>Tool misuse</w:t>
      </w:r>
    </w:p>
    <w:p>
      <w:pPr>
        <w:pStyle w:val="Heading2"/>
      </w:pPr>
      <w:r>
        <w:t>Post-execution assurance</w:t>
      </w:r>
    </w:p>
    <w:p>
      <w:pPr>
        <w:pStyle w:val="ListBullet"/>
        <w:spacing w:after="40"/>
      </w:pPr>
      <w:r>
        <w:t>Outcome quality</w:t>
      </w:r>
    </w:p>
    <w:p>
      <w:pPr>
        <w:pStyle w:val="ListBullet"/>
        <w:spacing w:after="40"/>
      </w:pPr>
      <w:r>
        <w:t>Evidence sufficiency</w:t>
      </w:r>
    </w:p>
    <w:p>
      <w:pPr>
        <w:pStyle w:val="ListBullet"/>
        <w:spacing w:after="40"/>
      </w:pPr>
      <w:r>
        <w:t>Bias and fairness</w:t>
      </w:r>
    </w:p>
    <w:p>
      <w:pPr>
        <w:pStyle w:val="ListBullet"/>
        <w:spacing w:after="40"/>
      </w:pPr>
      <w:r>
        <w:t>Accuracy and completeness</w:t>
      </w:r>
    </w:p>
    <w:p>
      <w:pPr>
        <w:pStyle w:val="ListBullet"/>
        <w:spacing w:after="40"/>
      </w:pPr>
      <w:r>
        <w:t>Policy compliance</w:t>
      </w:r>
    </w:p>
    <w:p>
      <w:pPr>
        <w:pStyle w:val="ListBullet"/>
        <w:spacing w:after="40"/>
      </w:pPr>
      <w:r>
        <w:t>Human review where required</w:t>
      </w:r>
    </w:p>
    <w:p>
      <w:pPr>
        <w:pStyle w:val="Heading2"/>
      </w:pPr>
      <w:r>
        <w:t>Independent challenge</w:t>
      </w:r>
    </w:p>
    <w:p>
      <w:pPr>
        <w:pStyle w:val="CodeBlock"/>
      </w:pPr>
      <w:r>
        <w:t>Producer Agent</w:t>
      </w:r>
      <w:r>
        <w:br/>
      </w:r>
      <w:r>
        <w:t xml:space="preserve">      ↓</w:t>
      </w:r>
      <w:r>
        <w:br/>
      </w:r>
      <w:r>
        <w:t>Independent Evaluator</w:t>
      </w:r>
      <w:r>
        <w:br/>
      </w:r>
      <w:r>
        <w:t xml:space="preserve">      ↓</w:t>
      </w:r>
      <w:r>
        <w:br/>
      </w:r>
      <w:r>
        <w:t>Policy Validator</w:t>
      </w:r>
      <w:r>
        <w:br/>
      </w:r>
      <w:r>
        <w:t xml:space="preserve">      ↓</w:t>
      </w:r>
      <w:r>
        <w:br/>
      </w:r>
      <w:r>
        <w:t>Optional Human Reviewer</w:t>
      </w:r>
    </w:p>
    <w:p>
      <w:pPr>
        <w:pStyle w:val="Heading2"/>
      </w:pPr>
      <w:r>
        <w:t>Outcome</w:t>
      </w:r>
    </w:p>
    <w:p>
      <w:pPr>
        <w:pStyle w:val="BodyText"/>
      </w:pPr>
      <w:r>
        <w:t>The system that produces a result is not solely responsible for declaring its own result safe or sufficient.</w:t>
      </w:r>
    </w:p>
    <w:p>
      <w:pPr>
        <w:pStyle w:val="Heading1"/>
        <w:keepNext/>
      </w:pPr>
      <w:r>
        <w:t>Stage 13: Resilience, Security and Autonomous Containment</w:t>
      </w:r>
    </w:p>
    <w:p>
      <w:pPr>
        <w:pStyle w:val="Lead"/>
      </w:pPr>
      <w:r>
        <w:t>Treat autonomous execution as an operational-resilience problem, not just an orchestration problem.</w:t>
      </w:r>
    </w:p>
    <w:p>
      <w:pPr>
        <w:pStyle w:val="Heading2"/>
      </w:pPr>
      <w:r>
        <w:t>Required controls</w:t>
      </w:r>
    </w:p>
    <w:p>
      <w:pPr>
        <w:pStyle w:val="ListBullet"/>
        <w:spacing w:after="40"/>
      </w:pPr>
      <w:r>
        <w:t>Kill switch and mission pause</w:t>
      </w:r>
    </w:p>
    <w:p>
      <w:pPr>
        <w:pStyle w:val="ListBullet"/>
        <w:spacing w:after="40"/>
      </w:pPr>
      <w:r>
        <w:t>Agent quarantine</w:t>
      </w:r>
    </w:p>
    <w:p>
      <w:pPr>
        <w:pStyle w:val="ListBullet"/>
        <w:spacing w:after="40"/>
      </w:pPr>
      <w:r>
        <w:t>Tool and MCP isolation</w:t>
      </w:r>
    </w:p>
    <w:p>
      <w:pPr>
        <w:pStyle w:val="ListBullet"/>
        <w:spacing w:after="40"/>
      </w:pPr>
      <w:r>
        <w:t>Circuit breakers</w:t>
      </w:r>
    </w:p>
    <w:p>
      <w:pPr>
        <w:pStyle w:val="ListBullet"/>
        <w:spacing w:after="40"/>
      </w:pPr>
      <w:r>
        <w:t>Rate limits</w:t>
      </w:r>
    </w:p>
    <w:p>
      <w:pPr>
        <w:pStyle w:val="ListBullet"/>
        <w:spacing w:after="40"/>
      </w:pPr>
      <w:r>
        <w:t>Loop and runaway detection</w:t>
      </w:r>
    </w:p>
    <w:p>
      <w:pPr>
        <w:pStyle w:val="ListBullet"/>
        <w:spacing w:after="40"/>
      </w:pPr>
      <w:r>
        <w:t>Credential revocation</w:t>
      </w:r>
    </w:p>
    <w:p>
      <w:pPr>
        <w:pStyle w:val="ListBullet"/>
        <w:spacing w:after="40"/>
      </w:pPr>
      <w:r>
        <w:t>Model/provider fallback</w:t>
      </w:r>
    </w:p>
    <w:p>
      <w:pPr>
        <w:pStyle w:val="ListBullet"/>
        <w:spacing w:after="40"/>
      </w:pPr>
      <w:r>
        <w:t>Retry and timeout controls</w:t>
      </w:r>
    </w:p>
    <w:p>
      <w:pPr>
        <w:pStyle w:val="ListBullet"/>
        <w:spacing w:after="40"/>
      </w:pPr>
      <w:r>
        <w:t>Dead-letter processing</w:t>
      </w:r>
    </w:p>
    <w:p>
      <w:pPr>
        <w:pStyle w:val="ListBullet"/>
        <w:spacing w:after="40"/>
      </w:pPr>
      <w:r>
        <w:t>Rollback and compensating transactions</w:t>
      </w:r>
    </w:p>
    <w:p>
      <w:pPr>
        <w:pStyle w:val="Heading2"/>
      </w:pPr>
      <w:r>
        <w:t>Blast-radius controls</w:t>
      </w:r>
    </w:p>
    <w:p>
      <w:pPr>
        <w:pStyle w:val="ListBullet"/>
        <w:spacing w:after="40"/>
      </w:pPr>
      <w:r>
        <w:t>Maximum data scope</w:t>
      </w:r>
    </w:p>
    <w:p>
      <w:pPr>
        <w:pStyle w:val="ListBullet"/>
        <w:spacing w:after="40"/>
      </w:pPr>
      <w:r>
        <w:t>Maximum transaction value</w:t>
      </w:r>
    </w:p>
    <w:p>
      <w:pPr>
        <w:pStyle w:val="ListBullet"/>
        <w:spacing w:after="40"/>
      </w:pPr>
      <w:r>
        <w:t>Maximum external communications</w:t>
      </w:r>
    </w:p>
    <w:p>
      <w:pPr>
        <w:pStyle w:val="ListBullet"/>
        <w:spacing w:after="40"/>
      </w:pPr>
      <w:r>
        <w:t>Maximum financial impact</w:t>
      </w:r>
    </w:p>
    <w:p>
      <w:pPr>
        <w:pStyle w:val="ListBullet"/>
        <w:spacing w:after="40"/>
      </w:pPr>
      <w:r>
        <w:t>Maximum API operations</w:t>
      </w:r>
    </w:p>
    <w:p>
      <w:pPr>
        <w:pStyle w:val="ListBullet"/>
        <w:spacing w:after="40"/>
      </w:pPr>
      <w:r>
        <w:t>Maximum runtime</w:t>
      </w:r>
    </w:p>
    <w:p>
      <w:pPr>
        <w:pStyle w:val="ListBullet"/>
        <w:spacing w:after="40"/>
      </w:pPr>
      <w:r>
        <w:t>Maximum spend</w:t>
      </w:r>
    </w:p>
    <w:p>
      <w:pPr>
        <w:pStyle w:val="Heading2"/>
      </w:pPr>
      <w:r>
        <w:t>Outcome</w:t>
      </w:r>
    </w:p>
    <w:p>
      <w:pPr>
        <w:pStyle w:val="BodyText"/>
      </w:pPr>
      <w:r>
        <w:t>When autonomous behaviour is wrong, Tectonic can contain impact quickly and prove the containment response.</w:t>
      </w:r>
    </w:p>
    <w:p>
      <w:pPr>
        <w:pStyle w:val="Heading1"/>
        <w:keepNext/>
      </w:pPr>
      <w:r>
        <w:t>Stage 14: Mission Control and Regulatory Evidence Pack</w:t>
      </w:r>
    </w:p>
    <w:p>
      <w:pPr>
        <w:pStyle w:val="Lead"/>
      </w:pPr>
      <w:r>
        <w:t>Turn the final stage into the operational command centre and evidence surface for autonomous missions.</w:t>
      </w:r>
    </w:p>
    <w:p>
      <w:pPr>
        <w:pStyle w:val="Heading2"/>
      </w:pPr>
      <w:r>
        <w:t>Mission Control should show</w:t>
      </w:r>
    </w:p>
    <w:p>
      <w:pPr>
        <w:pStyle w:val="ListBullet"/>
        <w:spacing w:after="40"/>
      </w:pPr>
      <w:r>
        <w:t>Status, risk and autonomy level</w:t>
      </w:r>
    </w:p>
    <w:p>
      <w:pPr>
        <w:pStyle w:val="ListBullet"/>
        <w:spacing w:after="40"/>
      </w:pPr>
      <w:r>
        <w:t>Accountable owner</w:t>
      </w:r>
    </w:p>
    <w:p>
      <w:pPr>
        <w:pStyle w:val="ListBullet"/>
        <w:spacing w:after="40"/>
      </w:pPr>
      <w:r>
        <w:t>Agents created, active and terminated</w:t>
      </w:r>
    </w:p>
    <w:p>
      <w:pPr>
        <w:pStyle w:val="ListBullet"/>
        <w:spacing w:after="40"/>
      </w:pPr>
      <w:r>
        <w:t>Plan version and changes</w:t>
      </w:r>
    </w:p>
    <w:p>
      <w:pPr>
        <w:pStyle w:val="ListBullet"/>
        <w:spacing w:after="40"/>
      </w:pPr>
      <w:r>
        <w:t>Policy decisions and outcomes</w:t>
      </w:r>
    </w:p>
    <w:p>
      <w:pPr>
        <w:pStyle w:val="ListBullet"/>
        <w:spacing w:after="40"/>
      </w:pPr>
      <w:r>
        <w:t>Human approvals</w:t>
      </w:r>
    </w:p>
    <w:p>
      <w:pPr>
        <w:pStyle w:val="ListBullet"/>
        <w:spacing w:after="40"/>
      </w:pPr>
      <w:r>
        <w:t>Cost and budget</w:t>
      </w:r>
    </w:p>
    <w:p>
      <w:pPr>
        <w:pStyle w:val="ListBullet"/>
        <w:spacing w:after="40"/>
      </w:pPr>
      <w:r>
        <w:t>Evidence completeness</w:t>
      </w:r>
    </w:p>
    <w:p>
      <w:pPr>
        <w:pStyle w:val="ListBullet"/>
        <w:spacing w:after="40"/>
      </w:pPr>
      <w:r>
        <w:t>Evaluation results</w:t>
      </w:r>
    </w:p>
    <w:p>
      <w:pPr>
        <w:pStyle w:val="ListBullet"/>
        <w:spacing w:after="40"/>
      </w:pPr>
      <w:r>
        <w:t>Current incidents or elevated risk</w:t>
      </w:r>
    </w:p>
    <w:p>
      <w:pPr>
        <w:pStyle w:val="Heading2"/>
      </w:pPr>
      <w:r>
        <w:t>One-click Evidence Pack</w:t>
      </w:r>
    </w:p>
    <w:p>
      <w:pPr>
        <w:pStyle w:val="ListBullet"/>
        <w:spacing w:after="40"/>
      </w:pPr>
      <w:r>
        <w:t>Mission definition and ownership</w:t>
      </w:r>
    </w:p>
    <w:p>
      <w:pPr>
        <w:pStyle w:val="ListBullet"/>
        <w:spacing w:after="40"/>
      </w:pPr>
      <w:r>
        <w:t>Risk classification</w:t>
      </w:r>
    </w:p>
    <w:p>
      <w:pPr>
        <w:pStyle w:val="ListBullet"/>
        <w:spacing w:after="40"/>
      </w:pPr>
      <w:r>
        <w:t>Plan history</w:t>
      </w:r>
    </w:p>
    <w:p>
      <w:pPr>
        <w:pStyle w:val="ListBullet"/>
        <w:spacing w:after="40"/>
      </w:pPr>
      <w:r>
        <w:t>Agent BOMs</w:t>
      </w:r>
    </w:p>
    <w:p>
      <w:pPr>
        <w:pStyle w:val="ListBullet"/>
        <w:spacing w:after="40"/>
      </w:pPr>
      <w:r>
        <w:t>Models, prompts/instructions and versions</w:t>
      </w:r>
    </w:p>
    <w:p>
      <w:pPr>
        <w:pStyle w:val="ListBullet"/>
        <w:spacing w:after="40"/>
      </w:pPr>
      <w:r>
        <w:t>Tools, MCP servers and knowledge sources</w:t>
      </w:r>
    </w:p>
    <w:p>
      <w:pPr>
        <w:pStyle w:val="ListBullet"/>
        <w:spacing w:after="40"/>
      </w:pPr>
      <w:r>
        <w:t>Data lineage</w:t>
      </w:r>
    </w:p>
    <w:p>
      <w:pPr>
        <w:pStyle w:val="ListBullet"/>
        <w:spacing w:after="40"/>
      </w:pPr>
      <w:r>
        <w:t>Policy decisions</w:t>
      </w:r>
    </w:p>
    <w:p>
      <w:pPr>
        <w:pStyle w:val="ListBullet"/>
        <w:spacing w:after="40"/>
      </w:pPr>
      <w:r>
        <w:t>Permissions and approvals</w:t>
      </w:r>
    </w:p>
    <w:p>
      <w:pPr>
        <w:pStyle w:val="ListBullet"/>
        <w:spacing w:after="40"/>
      </w:pPr>
      <w:r>
        <w:t>Actions and outputs</w:t>
      </w:r>
    </w:p>
    <w:p>
      <w:pPr>
        <w:pStyle w:val="ListBullet"/>
        <w:spacing w:after="40"/>
      </w:pPr>
      <w:r>
        <w:t>Evidence and evaluations</w:t>
      </w:r>
    </w:p>
    <w:p>
      <w:pPr>
        <w:pStyle w:val="ListBullet"/>
        <w:spacing w:after="40"/>
      </w:pPr>
      <w:r>
        <w:t>Exceptions and incidents</w:t>
      </w:r>
    </w:p>
    <w:p>
      <w:pPr>
        <w:pStyle w:val="ListBullet"/>
        <w:spacing w:after="40"/>
      </w:pPr>
      <w:r>
        <w:t>Costs and final outcome</w:t>
      </w:r>
    </w:p>
    <w:p>
      <w:pPr>
        <w:pStyle w:val="Heading2"/>
      </w:pPr>
      <w:r>
        <w:t>Target consumers</w:t>
      </w:r>
    </w:p>
    <w:p>
      <w:pPr>
        <w:pStyle w:val="ListBullet"/>
        <w:spacing w:after="40"/>
      </w:pPr>
      <w:r>
        <w:t>Internal Audit</w:t>
      </w:r>
    </w:p>
    <w:p>
      <w:pPr>
        <w:pStyle w:val="ListBullet"/>
        <w:spacing w:after="40"/>
      </w:pPr>
      <w:r>
        <w:t>Model Risk</w:t>
      </w:r>
    </w:p>
    <w:p>
      <w:pPr>
        <w:pStyle w:val="ListBullet"/>
        <w:spacing w:after="40"/>
      </w:pPr>
      <w:r>
        <w:t>Operational Risk</w:t>
      </w:r>
    </w:p>
    <w:p>
      <w:pPr>
        <w:pStyle w:val="ListBullet"/>
        <w:spacing w:after="40"/>
      </w:pPr>
      <w:r>
        <w:t>Compliance</w:t>
      </w:r>
    </w:p>
    <w:p>
      <w:pPr>
        <w:pStyle w:val="ListBullet"/>
        <w:spacing w:after="40"/>
      </w:pPr>
      <w:r>
        <w:t>Cyber</w:t>
      </w:r>
    </w:p>
    <w:p>
      <w:pPr>
        <w:pStyle w:val="ListBullet"/>
        <w:spacing w:after="40"/>
      </w:pPr>
      <w:r>
        <w:t>Legal</w:t>
      </w:r>
    </w:p>
    <w:p>
      <w:pPr>
        <w:pStyle w:val="ListBullet"/>
        <w:spacing w:after="40"/>
      </w:pPr>
      <w:r>
        <w:t>Senior Management</w:t>
      </w:r>
    </w:p>
    <w:p>
      <w:pPr>
        <w:pStyle w:val="ListBullet"/>
        <w:spacing w:after="40"/>
      </w:pPr>
      <w:r>
        <w:t>Regulators</w:t>
      </w:r>
    </w:p>
    <w:p>
      <w:pPr>
        <w:pStyle w:val="Heading2"/>
      </w:pPr>
      <w:r>
        <w:t>Outcome</w:t>
      </w:r>
    </w:p>
    <w:p>
      <w:pPr>
        <w:pStyle w:val="BodyText"/>
      </w:pPr>
      <w:r>
        <w:t>Tectonic can move from operational execution to audit and supervisory evidence without reconstructing the run manually.</w:t>
      </w:r>
    </w:p>
    <w:p>
      <w:pPr>
        <w:pStyle w:val="Heading1"/>
      </w:pPr>
      <w:r>
        <w:t>Signature Tectonic Differentiators</w:t>
      </w:r>
    </w:p>
    <w:p>
      <w:pPr>
        <w:pStyle w:val="Lead"/>
      </w:pPr>
      <w:r>
        <w:t>The 14 stages create the platform. The following capabilities should be treated as signature product IP because they turn generic orchestration into governed enterprise autonomy.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rFonts w:ascii="Aptos" w:hAnsi="Aptos"/>
                <w:b/>
                <w:color w:val="142B43"/>
                <w:sz w:val="17"/>
              </w:rPr>
              <w:t>Capability</w:t>
            </w:r>
          </w:p>
        </w:tc>
        <w:tc>
          <w:tcPr>
            <w:tcW w:type="dxa" w:w="5083"/>
            <w:shd w:fill="DCE6F1"/>
          </w:tcPr>
          <w:p>
            <w:r>
              <w:rPr>
                <w:rFonts w:ascii="Aptos" w:hAnsi="Aptos"/>
                <w:b/>
                <w:color w:val="142B43"/>
                <w:sz w:val="17"/>
              </w:rPr>
              <w:t>Why it differentiates Tectonic</w:t>
            </w:r>
          </w:p>
        </w:tc>
      </w:tr>
      <w:tr>
        <w:tc>
          <w:tcPr>
            <w:tcW w:type="dxa" w:w="5083"/>
            <w:tcMar>
              <w:top w:w="80" w:type="dxa"/>
              <w:start w:w="100" w:type="dxa"/>
              <w:bottom w:w="80" w:type="dxa"/>
              <w:end w:w="100" w:type="dxa"/>
            </w:tcMar>
            <w:vAlign w:val="top"/>
          </w:tcPr>
          <w:p>
            <w:r>
              <w:rPr>
                <w:rFonts w:ascii="Aptos" w:hAnsi="Aptos"/>
                <w:sz w:val="17"/>
              </w:rPr>
              <w:t>Agent Bill of Materials (A-BOM)</w:t>
            </w:r>
          </w:p>
        </w:tc>
        <w:tc>
          <w:tcPr>
            <w:tcW w:type="dxa" w:w="5083"/>
            <w:tcMar>
              <w:top w:w="80" w:type="dxa"/>
              <w:start w:w="100" w:type="dxa"/>
              <w:bottom w:w="80" w:type="dxa"/>
              <w:end w:w="100" w:type="dxa"/>
            </w:tcMar>
            <w:vAlign w:val="top"/>
          </w:tcPr>
          <w:p>
            <w:r>
              <w:rPr>
                <w:rFonts w:ascii="Aptos" w:hAnsi="Aptos"/>
                <w:sz w:val="17"/>
              </w:rPr>
              <w:t>Complete forensic composition of every dynamically generated agent, including model, instructions, skills, tools, data, authority and lifecycle.</w:t>
            </w:r>
          </w:p>
        </w:tc>
      </w:tr>
      <w:tr>
        <w:tc>
          <w:tcPr>
            <w:tcW w:type="dxa" w:w="5083"/>
            <w:tcMar>
              <w:top w:w="80" w:type="dxa"/>
              <w:start w:w="100" w:type="dxa"/>
              <w:bottom w:w="80" w:type="dxa"/>
              <w:end w:w="100" w:type="dxa"/>
            </w:tcMar>
            <w:vAlign w:val="top"/>
          </w:tcPr>
          <w:p>
            <w:r>
              <w:rPr>
                <w:rFonts w:ascii="Aptos" w:hAnsi="Aptos"/>
                <w:sz w:val="17"/>
              </w:rPr>
              <w:t>Decision Provenance Graph</w:t>
            </w:r>
          </w:p>
        </w:tc>
        <w:tc>
          <w:tcPr>
            <w:tcW w:type="dxa" w:w="5083"/>
            <w:tcMar>
              <w:top w:w="80" w:type="dxa"/>
              <w:start w:w="100" w:type="dxa"/>
              <w:bottom w:w="80" w:type="dxa"/>
              <w:end w:w="100" w:type="dxa"/>
            </w:tcMar>
            <w:vAlign w:val="top"/>
          </w:tcPr>
          <w:p>
            <w:r>
              <w:rPr>
                <w:rFonts w:ascii="Aptos" w:hAnsi="Aptos"/>
                <w:sz w:val="17"/>
              </w:rPr>
              <w:t>Reconstructs mission intent → plan → task → agent → evidence → action → outcome as a navigable causal/evidence graph.</w:t>
            </w:r>
          </w:p>
        </w:tc>
      </w:tr>
      <w:tr>
        <w:tc>
          <w:tcPr>
            <w:tcW w:type="dxa" w:w="5083"/>
            <w:tcMar>
              <w:top w:w="80" w:type="dxa"/>
              <w:start w:w="100" w:type="dxa"/>
              <w:bottom w:w="80" w:type="dxa"/>
              <w:end w:w="100" w:type="dxa"/>
            </w:tcMar>
            <w:vAlign w:val="top"/>
          </w:tcPr>
          <w:p>
            <w:r>
              <w:rPr>
                <w:rFonts w:ascii="Aptos" w:hAnsi="Aptos"/>
                <w:sz w:val="17"/>
              </w:rPr>
              <w:t>Continuous Authorization</w:t>
            </w:r>
          </w:p>
        </w:tc>
        <w:tc>
          <w:tcPr>
            <w:tcW w:type="dxa" w:w="5083"/>
            <w:tcMar>
              <w:top w:w="80" w:type="dxa"/>
              <w:start w:w="100" w:type="dxa"/>
              <w:bottom w:w="80" w:type="dxa"/>
              <w:end w:w="100" w:type="dxa"/>
            </w:tcMar>
            <w:vAlign w:val="top"/>
          </w:tcPr>
          <w:p>
            <w:r>
              <w:rPr>
                <w:rFonts w:ascii="Aptos" w:hAnsi="Aptos"/>
                <w:sz w:val="17"/>
              </w:rPr>
              <w:t>Every consequential action is authorised at runtime using current mission, identity, risk and policy state.</w:t>
            </w:r>
          </w:p>
        </w:tc>
      </w:tr>
      <w:tr>
        <w:tc>
          <w:tcPr>
            <w:tcW w:type="dxa" w:w="5083"/>
            <w:tcMar>
              <w:top w:w="80" w:type="dxa"/>
              <w:start w:w="100" w:type="dxa"/>
              <w:bottom w:w="80" w:type="dxa"/>
              <w:end w:w="100" w:type="dxa"/>
            </w:tcMar>
            <w:vAlign w:val="top"/>
          </w:tcPr>
          <w:p>
            <w:r>
              <w:rPr>
                <w:rFonts w:ascii="Aptos" w:hAnsi="Aptos"/>
                <w:sz w:val="17"/>
              </w:rPr>
              <w:t>Mission Digital Twin</w:t>
            </w:r>
          </w:p>
        </w:tc>
        <w:tc>
          <w:tcPr>
            <w:tcW w:type="dxa" w:w="5083"/>
            <w:tcMar>
              <w:top w:w="80" w:type="dxa"/>
              <w:start w:w="100" w:type="dxa"/>
              <w:bottom w:w="80" w:type="dxa"/>
              <w:end w:w="100" w:type="dxa"/>
            </w:tcMar>
            <w:vAlign w:val="top"/>
          </w:tcPr>
          <w:p>
            <w:r>
              <w:rPr>
                <w:rFonts w:ascii="Aptos" w:hAnsi="Aptos"/>
                <w:sz w:val="17"/>
              </w:rPr>
              <w:t>Runs a mission against simulated tools/data and policy before granting real-world authority.</w:t>
            </w:r>
          </w:p>
        </w:tc>
      </w:tr>
      <w:tr>
        <w:tc>
          <w:tcPr>
            <w:tcW w:type="dxa" w:w="5083"/>
            <w:tcMar>
              <w:top w:w="80" w:type="dxa"/>
              <w:start w:w="100" w:type="dxa"/>
              <w:bottom w:w="80" w:type="dxa"/>
              <w:end w:w="100" w:type="dxa"/>
            </w:tcMar>
            <w:vAlign w:val="top"/>
          </w:tcPr>
          <w:p>
            <w:r>
              <w:rPr>
                <w:rFonts w:ascii="Aptos" w:hAnsi="Aptos"/>
                <w:sz w:val="17"/>
              </w:rPr>
              <w:t>Regulatory Evidence Pack</w:t>
            </w:r>
          </w:p>
        </w:tc>
        <w:tc>
          <w:tcPr>
            <w:tcW w:type="dxa" w:w="5083"/>
            <w:tcMar>
              <w:top w:w="80" w:type="dxa"/>
              <w:start w:w="100" w:type="dxa"/>
              <w:bottom w:w="80" w:type="dxa"/>
              <w:end w:w="100" w:type="dxa"/>
            </w:tcMar>
            <w:vAlign w:val="top"/>
          </w:tcPr>
          <w:p>
            <w:r>
              <w:rPr>
                <w:rFonts w:ascii="Aptos" w:hAnsi="Aptos"/>
                <w:sz w:val="17"/>
              </w:rPr>
              <w:t>Packages the end-to-end evidence trail for assurance, audit, risk committees and supervisory review.</w:t>
            </w:r>
          </w:p>
        </w:tc>
      </w:tr>
      <w:tr>
        <w:tc>
          <w:tcPr>
            <w:tcW w:type="dxa" w:w="5083"/>
            <w:tcMar>
              <w:top w:w="80" w:type="dxa"/>
              <w:start w:w="100" w:type="dxa"/>
              <w:bottom w:w="80" w:type="dxa"/>
              <w:end w:w="100" w:type="dxa"/>
            </w:tcMar>
            <w:vAlign w:val="top"/>
          </w:tcPr>
          <w:p>
            <w:r>
              <w:rPr>
                <w:rFonts w:ascii="Aptos" w:hAnsi="Aptos"/>
                <w:sz w:val="17"/>
              </w:rPr>
              <w:t>Policy Counterfactual Simulator</w:t>
            </w:r>
          </w:p>
        </w:tc>
        <w:tc>
          <w:tcPr>
            <w:tcW w:type="dxa" w:w="5083"/>
            <w:tcMar>
              <w:top w:w="80" w:type="dxa"/>
              <w:start w:w="100" w:type="dxa"/>
              <w:bottom w:w="80" w:type="dxa"/>
              <w:end w:w="100" w:type="dxa"/>
            </w:tcMar>
            <w:vAlign w:val="top"/>
          </w:tcPr>
          <w:p>
            <w:r>
              <w:rPr>
                <w:rFonts w:ascii="Aptos" w:hAnsi="Aptos"/>
                <w:sz w:val="17"/>
              </w:rPr>
              <w:t>Tests a proposed policy against historical mission metadata to estimate blocks, approvals, latency, cost and exposure changes before rollout.</w:t>
            </w:r>
          </w:p>
        </w:tc>
      </w:tr>
    </w:tbl>
    <w:p>
      <w:pPr>
        <w:pStyle w:val="Heading1"/>
      </w:pPr>
      <w:r>
        <w:t>Observability, Explainability, Auditability and Governance</w:t>
      </w:r>
    </w:p>
    <w:p>
      <w:pPr>
        <w:pStyle w:val="Lead"/>
      </w:pPr>
      <w:r>
        <w:t>These concerns should remain separate in the product architecture even though they share the same Evidence Fabric.</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6F1"/>
          </w:tcPr>
          <w:p>
            <w:r>
              <w:rPr>
                <w:rFonts w:ascii="Aptos" w:hAnsi="Aptos"/>
                <w:b/>
                <w:sz w:val="17"/>
              </w:rPr>
              <w:t>Concern</w:t>
            </w:r>
          </w:p>
        </w:tc>
        <w:tc>
          <w:tcPr>
            <w:tcW w:type="dxa" w:w="2541"/>
            <w:shd w:fill="DCE6F1"/>
          </w:tcPr>
          <w:p>
            <w:r>
              <w:rPr>
                <w:rFonts w:ascii="Aptos" w:hAnsi="Aptos"/>
                <w:b/>
                <w:sz w:val="17"/>
              </w:rPr>
              <w:t>Core question</w:t>
            </w:r>
          </w:p>
        </w:tc>
        <w:tc>
          <w:tcPr>
            <w:tcW w:type="dxa" w:w="2541"/>
            <w:shd w:fill="DCE6F1"/>
          </w:tcPr>
          <w:p>
            <w:r>
              <w:rPr>
                <w:rFonts w:ascii="Aptos" w:hAnsi="Aptos"/>
                <w:b/>
                <w:sz w:val="17"/>
              </w:rPr>
              <w:t>Examples</w:t>
            </w:r>
          </w:p>
        </w:tc>
        <w:tc>
          <w:tcPr>
            <w:tcW w:type="dxa" w:w="2541"/>
            <w:shd w:fill="DCE6F1"/>
          </w:tcPr>
          <w:p>
            <w:r>
              <w:rPr>
                <w:rFonts w:ascii="Aptos" w:hAnsi="Aptos"/>
                <w:b/>
                <w:sz w:val="17"/>
              </w:rPr>
              <w:t>Primary consumer</w:t>
            </w:r>
          </w:p>
        </w:tc>
      </w:tr>
      <w:tr>
        <w:tc>
          <w:tcPr>
            <w:tcW w:type="dxa" w:w="2541"/>
            <w:tcMar>
              <w:top w:w="75" w:type="dxa"/>
              <w:start w:w="80" w:type="dxa"/>
              <w:bottom w:w="75" w:type="dxa"/>
              <w:end w:w="80" w:type="dxa"/>
            </w:tcMar>
          </w:tcPr>
          <w:p>
            <w:r>
              <w:rPr>
                <w:rFonts w:ascii="Aptos" w:hAnsi="Aptos"/>
                <w:sz w:val="17"/>
              </w:rPr>
              <w:t>Observability</w:t>
            </w:r>
          </w:p>
        </w:tc>
        <w:tc>
          <w:tcPr>
            <w:tcW w:type="dxa" w:w="2541"/>
            <w:tcMar>
              <w:top w:w="75" w:type="dxa"/>
              <w:start w:w="80" w:type="dxa"/>
              <w:bottom w:w="75" w:type="dxa"/>
              <w:end w:w="80" w:type="dxa"/>
            </w:tcMar>
          </w:tcPr>
          <w:p>
            <w:r>
              <w:rPr>
                <w:rFonts w:ascii="Aptos" w:hAnsi="Aptos"/>
                <w:sz w:val="17"/>
              </w:rPr>
              <w:t>What is happening?</w:t>
            </w:r>
          </w:p>
        </w:tc>
        <w:tc>
          <w:tcPr>
            <w:tcW w:type="dxa" w:w="2541"/>
            <w:tcMar>
              <w:top w:w="75" w:type="dxa"/>
              <w:start w:w="80" w:type="dxa"/>
              <w:bottom w:w="75" w:type="dxa"/>
              <w:end w:w="80" w:type="dxa"/>
            </w:tcMar>
          </w:tcPr>
          <w:p>
            <w:r>
              <w:rPr>
                <w:rFonts w:ascii="Aptos" w:hAnsi="Aptos"/>
                <w:sz w:val="17"/>
              </w:rPr>
              <w:t>State, latency, tokens, cost, tool calls, errors, dependencies, model performance</w:t>
            </w:r>
          </w:p>
        </w:tc>
        <w:tc>
          <w:tcPr>
            <w:tcW w:type="dxa" w:w="2541"/>
            <w:tcMar>
              <w:top w:w="75" w:type="dxa"/>
              <w:start w:w="80" w:type="dxa"/>
              <w:bottom w:w="75" w:type="dxa"/>
              <w:end w:w="80" w:type="dxa"/>
            </w:tcMar>
          </w:tcPr>
          <w:p>
            <w:r>
              <w:rPr>
                <w:rFonts w:ascii="Aptos" w:hAnsi="Aptos"/>
                <w:sz w:val="17"/>
              </w:rPr>
              <w:t>Operations, engineering, SRE</w:t>
            </w:r>
          </w:p>
        </w:tc>
      </w:tr>
      <w:tr>
        <w:tc>
          <w:tcPr>
            <w:tcW w:type="dxa" w:w="2541"/>
            <w:tcMar>
              <w:top w:w="75" w:type="dxa"/>
              <w:start w:w="80" w:type="dxa"/>
              <w:bottom w:w="75" w:type="dxa"/>
              <w:end w:w="80" w:type="dxa"/>
            </w:tcMar>
          </w:tcPr>
          <w:p>
            <w:r>
              <w:rPr>
                <w:rFonts w:ascii="Aptos" w:hAnsi="Aptos"/>
                <w:sz w:val="17"/>
              </w:rPr>
              <w:t>Explainability</w:t>
            </w:r>
          </w:p>
        </w:tc>
        <w:tc>
          <w:tcPr>
            <w:tcW w:type="dxa" w:w="2541"/>
            <w:tcMar>
              <w:top w:w="75" w:type="dxa"/>
              <w:start w:w="80" w:type="dxa"/>
              <w:bottom w:w="75" w:type="dxa"/>
              <w:end w:w="80" w:type="dxa"/>
            </w:tcMar>
          </w:tcPr>
          <w:p>
            <w:r>
              <w:rPr>
                <w:rFonts w:ascii="Aptos" w:hAnsi="Aptos"/>
                <w:sz w:val="17"/>
              </w:rPr>
              <w:t>Why did it happen?</w:t>
            </w:r>
          </w:p>
        </w:tc>
        <w:tc>
          <w:tcPr>
            <w:tcW w:type="dxa" w:w="2541"/>
            <w:tcMar>
              <w:top w:w="75" w:type="dxa"/>
              <w:start w:w="80" w:type="dxa"/>
              <w:bottom w:w="75" w:type="dxa"/>
              <w:end w:w="80" w:type="dxa"/>
            </w:tcMar>
          </w:tcPr>
          <w:p>
            <w:r>
              <w:rPr>
                <w:rFonts w:ascii="Aptos" w:hAnsi="Aptos"/>
                <w:sz w:val="17"/>
              </w:rPr>
              <w:t>Why this task, agent, model, tool, data, action, plan change or conclusion</w:t>
            </w:r>
          </w:p>
        </w:tc>
        <w:tc>
          <w:tcPr>
            <w:tcW w:type="dxa" w:w="2541"/>
            <w:tcMar>
              <w:top w:w="75" w:type="dxa"/>
              <w:start w:w="80" w:type="dxa"/>
              <w:bottom w:w="75" w:type="dxa"/>
              <w:end w:w="80" w:type="dxa"/>
            </w:tcMar>
          </w:tcPr>
          <w:p>
            <w:r>
              <w:rPr>
                <w:rFonts w:ascii="Aptos" w:hAnsi="Aptos"/>
                <w:sz w:val="17"/>
              </w:rPr>
              <w:t>Users, risk, compliance, reviewers</w:t>
            </w:r>
          </w:p>
        </w:tc>
      </w:tr>
      <w:tr>
        <w:tc>
          <w:tcPr>
            <w:tcW w:type="dxa" w:w="2541"/>
            <w:tcMar>
              <w:top w:w="75" w:type="dxa"/>
              <w:start w:w="80" w:type="dxa"/>
              <w:bottom w:w="75" w:type="dxa"/>
              <w:end w:w="80" w:type="dxa"/>
            </w:tcMar>
          </w:tcPr>
          <w:p>
            <w:r>
              <w:rPr>
                <w:rFonts w:ascii="Aptos" w:hAnsi="Aptos"/>
                <w:sz w:val="17"/>
              </w:rPr>
              <w:t>Auditability</w:t>
            </w:r>
          </w:p>
        </w:tc>
        <w:tc>
          <w:tcPr>
            <w:tcW w:type="dxa" w:w="2541"/>
            <w:tcMar>
              <w:top w:w="75" w:type="dxa"/>
              <w:start w:w="80" w:type="dxa"/>
              <w:bottom w:w="75" w:type="dxa"/>
              <w:end w:w="80" w:type="dxa"/>
            </w:tcMar>
          </w:tcPr>
          <w:p>
            <w:r>
              <w:rPr>
                <w:rFonts w:ascii="Aptos" w:hAnsi="Aptos"/>
                <w:sz w:val="17"/>
              </w:rPr>
              <w:t>Can we prove it later?</w:t>
            </w:r>
          </w:p>
        </w:tc>
        <w:tc>
          <w:tcPr>
            <w:tcW w:type="dxa" w:w="2541"/>
            <w:tcMar>
              <w:top w:w="75" w:type="dxa"/>
              <w:start w:w="80" w:type="dxa"/>
              <w:bottom w:w="75" w:type="dxa"/>
              <w:end w:w="80" w:type="dxa"/>
            </w:tcMar>
          </w:tcPr>
          <w:p>
            <w:r>
              <w:rPr>
                <w:rFonts w:ascii="Aptos" w:hAnsi="Aptos"/>
                <w:sz w:val="17"/>
              </w:rPr>
              <w:t>Immutable events, version, timestamp, identity, policy, approval, lineage, hash</w:t>
            </w:r>
          </w:p>
        </w:tc>
        <w:tc>
          <w:tcPr>
            <w:tcW w:type="dxa" w:w="2541"/>
            <w:tcMar>
              <w:top w:w="75" w:type="dxa"/>
              <w:start w:w="80" w:type="dxa"/>
              <w:bottom w:w="75" w:type="dxa"/>
              <w:end w:w="80" w:type="dxa"/>
            </w:tcMar>
          </w:tcPr>
          <w:p>
            <w:r>
              <w:rPr>
                <w:rFonts w:ascii="Aptos" w:hAnsi="Aptos"/>
                <w:sz w:val="17"/>
              </w:rPr>
              <w:t>Audit, regulators, legal</w:t>
            </w:r>
          </w:p>
        </w:tc>
      </w:tr>
      <w:tr>
        <w:tc>
          <w:tcPr>
            <w:tcW w:type="dxa" w:w="2541"/>
            <w:tcMar>
              <w:top w:w="75" w:type="dxa"/>
              <w:start w:w="80" w:type="dxa"/>
              <w:bottom w:w="75" w:type="dxa"/>
              <w:end w:w="80" w:type="dxa"/>
            </w:tcMar>
          </w:tcPr>
          <w:p>
            <w:r>
              <w:rPr>
                <w:rFonts w:ascii="Aptos" w:hAnsi="Aptos"/>
                <w:sz w:val="17"/>
              </w:rPr>
              <w:t>Governance</w:t>
            </w:r>
          </w:p>
        </w:tc>
        <w:tc>
          <w:tcPr>
            <w:tcW w:type="dxa" w:w="2541"/>
            <w:tcMar>
              <w:top w:w="75" w:type="dxa"/>
              <w:start w:w="80" w:type="dxa"/>
              <w:bottom w:w="75" w:type="dxa"/>
              <w:end w:w="80" w:type="dxa"/>
            </w:tcMar>
          </w:tcPr>
          <w:p>
            <w:r>
              <w:rPr>
                <w:rFonts w:ascii="Aptos" w:hAnsi="Aptos"/>
                <w:sz w:val="17"/>
              </w:rPr>
              <w:t>Should it have been allowed?</w:t>
            </w:r>
          </w:p>
        </w:tc>
        <w:tc>
          <w:tcPr>
            <w:tcW w:type="dxa" w:w="2541"/>
            <w:tcMar>
              <w:top w:w="75" w:type="dxa"/>
              <w:start w:w="80" w:type="dxa"/>
              <w:bottom w:w="75" w:type="dxa"/>
              <w:end w:w="80" w:type="dxa"/>
            </w:tcMar>
          </w:tcPr>
          <w:p>
            <w:r>
              <w:rPr>
                <w:rFonts w:ascii="Aptos" w:hAnsi="Aptos"/>
                <w:sz w:val="17"/>
              </w:rPr>
              <w:t>Policy, authority, approvals, risk appetite, limits, separation of duties</w:t>
            </w:r>
          </w:p>
        </w:tc>
        <w:tc>
          <w:tcPr>
            <w:tcW w:type="dxa" w:w="2541"/>
            <w:tcMar>
              <w:top w:w="75" w:type="dxa"/>
              <w:start w:w="80" w:type="dxa"/>
              <w:bottom w:w="75" w:type="dxa"/>
              <w:end w:w="80" w:type="dxa"/>
            </w:tcMar>
          </w:tcPr>
          <w:p>
            <w:r>
              <w:rPr>
                <w:rFonts w:ascii="Aptos" w:hAnsi="Aptos"/>
                <w:sz w:val="17"/>
              </w:rPr>
              <w:t>Risk, compliance, accountable executives</w:t>
            </w:r>
          </w:p>
        </w:tc>
      </w:tr>
    </w:tbl>
    <w:p>
      <w:pPr>
        <w:pStyle w:val="Heading1"/>
      </w:pPr>
      <w:r>
        <w:t>Beyond Agents: Governed Execution Units</w:t>
      </w:r>
    </w:p>
    <w:p>
      <w:pPr>
        <w:pStyle w:val="BodyText"/>
      </w:pPr>
      <w:r>
        <w:t>Internally, Tectonic should consider generalising the dynamically generated runtime object beyond the current agent abstraction. A Governed Execution Unit (GEU) allows the same policy, evidence and assurance model to apply to agents, humans, APIs, deterministic services, robots, batch jobs and legacy workflows.</w:t>
      </w:r>
    </w:p>
    <w:p>
      <w:pPr>
        <w:pStyle w:val="CodeBlock"/>
      </w:pPr>
      <w:r>
        <w:t>GEU =</w:t>
      </w:r>
      <w:r>
        <w:br/>
      </w:r>
      <w:r>
        <w:t>Purpose</w:t>
      </w:r>
      <w:r>
        <w:br/>
      </w:r>
      <w:r>
        <w:t>+ Identity</w:t>
      </w:r>
      <w:r>
        <w:br/>
      </w:r>
      <w:r>
        <w:t>+ Model or Runtime</w:t>
      </w:r>
      <w:r>
        <w:br/>
      </w:r>
      <w:r>
        <w:t>+ Instructions</w:t>
      </w:r>
      <w:r>
        <w:br/>
      </w:r>
      <w:r>
        <w:t>+ Context</w:t>
      </w:r>
      <w:r>
        <w:br/>
      </w:r>
      <w:r>
        <w:t>+ Capabilities</w:t>
      </w:r>
      <w:r>
        <w:br/>
      </w:r>
      <w:r>
        <w:t>+ Tools</w:t>
      </w:r>
      <w:r>
        <w:br/>
      </w:r>
      <w:r>
        <w:t>+ Knowledge</w:t>
      </w:r>
      <w:r>
        <w:br/>
      </w:r>
      <w:r>
        <w:t>+ Authority</w:t>
      </w:r>
      <w:r>
        <w:br/>
      </w:r>
      <w:r>
        <w:t>+ Policies</w:t>
      </w:r>
      <w:r>
        <w:br/>
      </w:r>
      <w:r>
        <w:t>+ Budget</w:t>
      </w:r>
      <w:r>
        <w:br/>
      </w:r>
      <w:r>
        <w:t>+ Risk</w:t>
      </w:r>
      <w:r>
        <w:br/>
      </w:r>
      <w:r>
        <w:t>+ Evaluation</w:t>
      </w:r>
      <w:r>
        <w:br/>
      </w:r>
      <w:r>
        <w:t>+ Lifecycle</w:t>
      </w:r>
    </w:p>
    <w:p>
      <w:pPr>
        <w:pStyle w:val="CodeBlock"/>
      </w:pPr>
      <w:r>
        <w:t>Possible Governed Execution Units</w:t>
      </w:r>
      <w:r>
        <w:br/>
      </w:r>
      <w:r/>
      <w:r>
        <w:br/>
      </w:r>
      <w:r>
        <w:t>Agent | Human | API | Robot | Batch Job | Deterministic Service | External SaaS | Legacy Workflow</w:t>
      </w:r>
    </w:p>
    <w:p>
      <w:pPr>
        <w:pStyle w:val="Heading1"/>
      </w:pPr>
      <w:r>
        <w:t>Recommended Implementation Sequence</w:t>
      </w:r>
    </w:p>
    <w:p>
      <w:pPr>
        <w:pStyle w:val="Lead"/>
      </w:pPr>
      <w:r>
        <w:t>The ordering below is intentional. Evidence, identity and control are moved ahead of advanced autonomy so that every later capability inherits the correct control model.</w:t>
      </w:r>
    </w:p>
    <w:p>
      <w:pPr>
        <w:pStyle w:val="ListNumber"/>
        <w:spacing w:after="60"/>
      </w:pPr>
      <w:r>
        <w:t>Mission Contract and Runtime Foundation</w:t>
      </w:r>
    </w:p>
    <w:p>
      <w:pPr>
        <w:pStyle w:val="ListNumber"/>
        <w:spacing w:after="60"/>
      </w:pPr>
      <w:r>
        <w:t>Evidence Fabric and Universal Telemetry</w:t>
      </w:r>
    </w:p>
    <w:p>
      <w:pPr>
        <w:pStyle w:val="ListNumber"/>
        <w:spacing w:after="60"/>
      </w:pPr>
      <w:r>
        <w:t>Governed Capability Trust Registry</w:t>
      </w:r>
    </w:p>
    <w:p>
      <w:pPr>
        <w:pStyle w:val="ListNumber"/>
        <w:spacing w:after="60"/>
      </w:pPr>
      <w:r>
        <w:t>Identity, Authority and Delegation</w:t>
      </w:r>
    </w:p>
    <w:p>
      <w:pPr>
        <w:pStyle w:val="ListNumber"/>
        <w:spacing w:after="60"/>
      </w:pPr>
      <w:r>
        <w:t>Dynamic Workforce Node and Autonomy Levels</w:t>
      </w:r>
    </w:p>
    <w:p>
      <w:pPr>
        <w:pStyle w:val="ListNumber"/>
        <w:spacing w:after="60"/>
      </w:pPr>
      <w:r>
        <w:t>Mission Planner and Explainable Planning</w:t>
      </w:r>
    </w:p>
    <w:p>
      <w:pPr>
        <w:pStyle w:val="ListNumber"/>
        <w:spacing w:after="60"/>
      </w:pPr>
      <w:r>
        <w:t>Agent Compiler and Agent Bill of Materials</w:t>
      </w:r>
    </w:p>
    <w:p>
      <w:pPr>
        <w:pStyle w:val="ListNumber"/>
        <w:spacing w:after="60"/>
      </w:pPr>
      <w:r>
        <w:t>Governed Just-in-Time Workforce Creation</w:t>
      </w:r>
    </w:p>
    <w:p>
      <w:pPr>
        <w:pStyle w:val="ListNumber"/>
        <w:spacing w:after="60"/>
      </w:pPr>
      <w:r>
        <w:t>Continuous Runtime Policy Enforcement</w:t>
      </w:r>
    </w:p>
    <w:p>
      <w:pPr>
        <w:pStyle w:val="ListNumber"/>
        <w:spacing w:after="60"/>
      </w:pPr>
      <w:r>
        <w:t>Dynamic Replanning and Runtime Risk Engine</w:t>
      </w:r>
    </w:p>
    <w:p>
      <w:pPr>
        <w:pStyle w:val="ListNumber"/>
        <w:spacing w:after="60"/>
      </w:pPr>
      <w:r>
        <w:t>Multi-Layer Explainability</w:t>
      </w:r>
    </w:p>
    <w:p>
      <w:pPr>
        <w:pStyle w:val="ListNumber"/>
        <w:spacing w:after="60"/>
      </w:pPr>
      <w:r>
        <w:t>Assurance Fabric and Independent Challenge</w:t>
      </w:r>
    </w:p>
    <w:p>
      <w:pPr>
        <w:pStyle w:val="ListNumber"/>
        <w:spacing w:after="60"/>
      </w:pPr>
      <w:r>
        <w:t>Resilience, Security and Autonomous Containment</w:t>
      </w:r>
    </w:p>
    <w:p>
      <w:pPr>
        <w:pStyle w:val="ListNumber"/>
        <w:spacing w:after="60"/>
      </w:pPr>
      <w:r>
        <w:t>Mission Control and Regulatory Evidence Pack</w:t>
      </w:r>
    </w:p>
    <w:p>
      <w:pPr>
        <w:pStyle w:val="Heading2"/>
      </w:pPr>
      <w:r>
        <w:t>Development principle</w:t>
      </w:r>
    </w:p>
    <w:p>
      <w:pPr>
        <w:pStyle w:val="BodyText"/>
      </w:pPr>
      <w:r>
        <w:t>Keep one showcase mission as a regression scenario from Stage 4 onward. Each stage should enrich the same end-to-end journey rather than create isolated demos. By Stage 14, the scenario should visibly demonstrate planning, agent compilation, JIT specialist creation, continuous authorization, policy escalation, independent evaluation, explainability, containment controls and one-click evidence generation.</w:t>
      </w:r>
    </w:p>
    <w:p>
      <w:pPr>
        <w:pStyle w:val="Heading1"/>
      </w:pPr>
      <w:r>
        <w:t>Reference Showcase Mission</w:t>
      </w:r>
    </w:p>
    <w:p>
      <w:pPr>
        <w:pStyle w:val="Lead"/>
      </w:pPr>
      <w:r>
        <w:t>Example mission: “Research the emerging Agentic AI payments market, identify important companies, analyse their architectures and business models, assess opportunities for a UK bank, challenge the findings and produce an executive recommendation.”</w:t>
      </w:r>
    </w:p>
    <w:p>
      <w:pPr>
        <w:pStyle w:val="CodeBlock"/>
      </w:pPr>
      <w:r>
        <w:t>Mission Contract</w:t>
      </w:r>
      <w:r>
        <w:br/>
      </w:r>
      <w:r>
        <w:t xml:space="preserve">      ↓</w:t>
      </w:r>
      <w:r>
        <w:br/>
      </w:r>
      <w:r>
        <w:t>Risk Classification + Authority</w:t>
      </w:r>
      <w:r>
        <w:br/>
      </w:r>
      <w:r>
        <w:t xml:space="preserve">      ↓</w:t>
      </w:r>
      <w:r>
        <w:br/>
      </w:r>
      <w:r>
        <w:t>Planner</w:t>
      </w:r>
      <w:r>
        <w:br/>
      </w:r>
      <w:r>
        <w:t xml:space="preserve">      ↓</w:t>
      </w:r>
      <w:r>
        <w:br/>
      </w:r>
      <w:r>
        <w:t>Market Research ─ Technology Analyst ─ Banking Analyst</w:t>
      </w:r>
      <w:r>
        <w:br/>
      </w:r>
      <w:r>
        <w:t xml:space="preserve">      ↓</w:t>
      </w:r>
      <w:r>
        <w:br/>
      </w:r>
      <w:r>
        <w:t>Regulatory requirement discovered</w:t>
      </w:r>
      <w:r>
        <w:br/>
      </w:r>
      <w:r>
        <w:t xml:space="preserve">      ↓</w:t>
      </w:r>
      <w:r>
        <w:br/>
      </w:r>
      <w:r>
        <w:t>Capability Gap Request</w:t>
      </w:r>
      <w:r>
        <w:br/>
      </w:r>
      <w:r>
        <w:t xml:space="preserve">      ↓</w:t>
      </w:r>
      <w:r>
        <w:br/>
      </w:r>
      <w:r>
        <w:t>Risk + Policy + Authority Decision</w:t>
      </w:r>
      <w:r>
        <w:br/>
      </w:r>
      <w:r>
        <w:t xml:space="preserve">      ↓</w:t>
      </w:r>
      <w:r>
        <w:br/>
      </w:r>
      <w:r>
        <w:t>Regulatory Specialist spawned JIT</w:t>
      </w:r>
      <w:r>
        <w:br/>
      </w:r>
      <w:r>
        <w:t xml:space="preserve">      ↓</w:t>
      </w:r>
      <w:r>
        <w:br/>
      </w:r>
      <w:r>
        <w:t>Independent Evaluator</w:t>
      </w:r>
      <w:r>
        <w:br/>
      </w:r>
      <w:r>
        <w:t xml:space="preserve">      ↓</w:t>
      </w:r>
      <w:r>
        <w:br/>
      </w:r>
      <w:r>
        <w:t>Synthesis</w:t>
      </w:r>
      <w:r>
        <w:br/>
      </w:r>
      <w:r>
        <w:t xml:space="preserve">      ↓</w:t>
      </w:r>
      <w:r>
        <w:br/>
      </w:r>
      <w:r>
        <w:t>Mission Evaluation</w:t>
      </w:r>
      <w:r>
        <w:br/>
      </w:r>
      <w:r>
        <w:t xml:space="preserve">      ↓</w:t>
      </w:r>
      <w:r>
        <w:br/>
      </w:r>
      <w:r>
        <w:t>Ephemeral agents terminated</w:t>
      </w:r>
      <w:r>
        <w:br/>
      </w:r>
      <w:r>
        <w:t xml:space="preserve">      ↓</w:t>
      </w:r>
      <w:r>
        <w:br/>
      </w:r>
      <w:r>
        <w:t>Evidence Pack generated</w:t>
      </w:r>
    </w:p>
    <w:p>
      <w:pPr>
        <w:pStyle w:val="Heading1"/>
      </w:pPr>
      <w:r>
        <w:t>Non-Negotiable Product Principles</w:t>
      </w:r>
    </w:p>
    <w:p>
      <w:pPr>
        <w:pStyle w:val="ListBullet"/>
        <w:spacing w:after="40"/>
      </w:pPr>
      <w:r>
        <w:t>Tectonic owns planning, capability discovery, agent compilation, governance, identity/authority, lifecycle, evidence, observability, assurance and evaluation.</w:t>
      </w:r>
    </w:p>
    <w:p>
      <w:pPr>
        <w:pStyle w:val="ListBullet"/>
        <w:spacing w:after="40"/>
      </w:pPr>
      <w:r>
        <w:t>The underlying runtime owns execution mechanics, model interaction, tool invocation and runtime handoffs.</w:t>
      </w:r>
    </w:p>
    <w:p>
      <w:pPr>
        <w:pStyle w:val="ListBullet"/>
        <w:spacing w:after="40"/>
      </w:pPr>
      <w:r>
        <w:t>Do not hard-code fixed crews as the primary product model.</w:t>
      </w:r>
    </w:p>
    <w:p>
      <w:pPr>
        <w:pStyle w:val="ListBullet"/>
        <w:spacing w:after="40"/>
      </w:pPr>
      <w:r>
        <w:t>Do not let agents directly create unrestricted child agents.</w:t>
      </w:r>
    </w:p>
    <w:p>
      <w:pPr>
        <w:pStyle w:val="ListBullet"/>
        <w:spacing w:after="40"/>
      </w:pPr>
      <w:r>
        <w:t>Do not rely on creation-time authorization for consequential actions.</w:t>
      </w:r>
    </w:p>
    <w:p>
      <w:pPr>
        <w:pStyle w:val="ListBullet"/>
        <w:spacing w:after="40"/>
      </w:pPr>
      <w:r>
        <w:t>Do not make private model chain-of-thought a product dependency. Explain decisions through structured rationale and evidence.</w:t>
      </w:r>
    </w:p>
    <w:p>
      <w:pPr>
        <w:pStyle w:val="ListBullet"/>
        <w:spacing w:after="40"/>
      </w:pPr>
      <w:r>
        <w:t>Do not persist unnecessary ephemeral state. Persist the evidence required to reconstruct and defend the execution.</w:t>
      </w:r>
    </w:p>
    <w:p>
      <w:pPr>
        <w:pStyle w:val="ListBullet"/>
        <w:spacing w:after="40"/>
      </w:pPr>
      <w:r>
        <w:t>Do not tightly couple the Workflow Engine to a specific agent framework or model provider.</w:t>
      </w:r>
    </w:p>
    <w:p>
      <w:pPr>
        <w:pStyle w:val="ListBullet"/>
        <w:spacing w:after="40"/>
      </w:pPr>
      <w:r>
        <w:t>Do not treat observability as a late-stage UI feature. It is a runtime contract.</w:t>
      </w:r>
    </w:p>
    <w:p>
      <w:pPr>
        <w:pStyle w:val="ListBullet"/>
        <w:spacing w:after="40"/>
      </w:pPr>
      <w:r>
        <w:t>Do not allow high-risk outputs to self-certify without independent evaluation or required human review.</w:t>
      </w:r>
    </w:p>
    <w:p>
      <w:pPr>
        <w:pStyle w:val="Heading1"/>
      </w:pPr>
      <w:r>
        <w:t>Best-in-Class Success Measures</w:t>
      </w:r>
    </w:p>
    <w:p>
      <w:pPr>
        <w:pStyle w:val="Lead"/>
      </w:pPr>
      <w:r>
        <w:t>Tectonic should be measured not only by whether a mission completes, but by whether autonomous execution remains bounded, explainable, economical and defensible.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rFonts w:ascii="Aptos" w:hAnsi="Aptos"/>
                <w:b/>
                <w:sz w:val="17"/>
              </w:rPr>
              <w:t>Dimension</w:t>
            </w:r>
          </w:p>
        </w:tc>
        <w:tc>
          <w:tcPr>
            <w:tcW w:type="dxa" w:w="3389"/>
            <w:shd w:fill="DCE6F1"/>
          </w:tcPr>
          <w:p>
            <w:r>
              <w:rPr>
                <w:rFonts w:ascii="Aptos" w:hAnsi="Aptos"/>
                <w:b/>
                <w:sz w:val="17"/>
              </w:rPr>
              <w:t>Example metric</w:t>
            </w:r>
          </w:p>
        </w:tc>
        <w:tc>
          <w:tcPr>
            <w:tcW w:type="dxa" w:w="3389"/>
            <w:shd w:fill="DCE6F1"/>
          </w:tcPr>
          <w:p>
            <w:r>
              <w:rPr>
                <w:rFonts w:ascii="Aptos" w:hAnsi="Aptos"/>
                <w:b/>
                <w:sz w:val="17"/>
              </w:rPr>
              <w:t>Target direction</w:t>
            </w:r>
          </w:p>
        </w:tc>
      </w:tr>
      <w:tr>
        <w:tc>
          <w:tcPr>
            <w:tcW w:type="dxa" w:w="3389"/>
            <w:tcMar>
              <w:top w:w="75" w:type="dxa"/>
              <w:start w:w="80" w:type="dxa"/>
              <w:bottom w:w="75" w:type="dxa"/>
              <w:end w:w="80" w:type="dxa"/>
            </w:tcMar>
          </w:tcPr>
          <w:p>
            <w:r>
              <w:rPr>
                <w:rFonts w:ascii="Aptos" w:hAnsi="Aptos"/>
                <w:sz w:val="17"/>
              </w:rPr>
              <w:t>Control coverage</w:t>
            </w:r>
          </w:p>
        </w:tc>
        <w:tc>
          <w:tcPr>
            <w:tcW w:type="dxa" w:w="3389"/>
            <w:tcMar>
              <w:top w:w="75" w:type="dxa"/>
              <w:start w:w="80" w:type="dxa"/>
              <w:bottom w:w="75" w:type="dxa"/>
              <w:end w:w="80" w:type="dxa"/>
            </w:tcMar>
          </w:tcPr>
          <w:p>
            <w:r>
              <w:rPr>
                <w:rFonts w:ascii="Aptos" w:hAnsi="Aptos"/>
                <w:sz w:val="17"/>
              </w:rPr>
              <w:t>% consequential actions evaluated by continuous authorization</w:t>
            </w:r>
          </w:p>
        </w:tc>
        <w:tc>
          <w:tcPr>
            <w:tcW w:type="dxa" w:w="3389"/>
            <w:tcMar>
              <w:top w:w="75" w:type="dxa"/>
              <w:start w:w="80" w:type="dxa"/>
              <w:bottom w:w="75" w:type="dxa"/>
              <w:end w:w="80" w:type="dxa"/>
            </w:tcMar>
          </w:tcPr>
          <w:p>
            <w:r>
              <w:rPr>
                <w:rFonts w:ascii="Aptos" w:hAnsi="Aptos"/>
                <w:sz w:val="17"/>
              </w:rPr>
              <w:t>100%</w:t>
            </w:r>
          </w:p>
        </w:tc>
      </w:tr>
      <w:tr>
        <w:tc>
          <w:tcPr>
            <w:tcW w:type="dxa" w:w="3389"/>
            <w:tcMar>
              <w:top w:w="75" w:type="dxa"/>
              <w:start w:w="80" w:type="dxa"/>
              <w:bottom w:w="75" w:type="dxa"/>
              <w:end w:w="80" w:type="dxa"/>
            </w:tcMar>
          </w:tcPr>
          <w:p>
            <w:r>
              <w:rPr>
                <w:rFonts w:ascii="Aptos" w:hAnsi="Aptos"/>
                <w:sz w:val="17"/>
              </w:rPr>
              <w:t>Evidence completeness</w:t>
            </w:r>
          </w:p>
        </w:tc>
        <w:tc>
          <w:tcPr>
            <w:tcW w:type="dxa" w:w="3389"/>
            <w:tcMar>
              <w:top w:w="75" w:type="dxa"/>
              <w:start w:w="80" w:type="dxa"/>
              <w:bottom w:w="75" w:type="dxa"/>
              <w:end w:w="80" w:type="dxa"/>
            </w:tcMar>
          </w:tcPr>
          <w:p>
            <w:r>
              <w:rPr>
                <w:rFonts w:ascii="Aptos" w:hAnsi="Aptos"/>
                <w:sz w:val="17"/>
              </w:rPr>
              <w:t>% mission events with lineage, policy and identity metadata</w:t>
            </w:r>
          </w:p>
        </w:tc>
        <w:tc>
          <w:tcPr>
            <w:tcW w:type="dxa" w:w="3389"/>
            <w:tcMar>
              <w:top w:w="75" w:type="dxa"/>
              <w:start w:w="80" w:type="dxa"/>
              <w:bottom w:w="75" w:type="dxa"/>
              <w:end w:w="80" w:type="dxa"/>
            </w:tcMar>
          </w:tcPr>
          <w:p>
            <w:r>
              <w:rPr>
                <w:rFonts w:ascii="Aptos" w:hAnsi="Aptos"/>
                <w:sz w:val="17"/>
              </w:rPr>
              <w:t>Approach 100%</w:t>
            </w:r>
          </w:p>
        </w:tc>
      </w:tr>
      <w:tr>
        <w:tc>
          <w:tcPr>
            <w:tcW w:type="dxa" w:w="3389"/>
            <w:tcMar>
              <w:top w:w="75" w:type="dxa"/>
              <w:start w:w="80" w:type="dxa"/>
              <w:bottom w:w="75" w:type="dxa"/>
              <w:end w:w="80" w:type="dxa"/>
            </w:tcMar>
          </w:tcPr>
          <w:p>
            <w:r>
              <w:rPr>
                <w:rFonts w:ascii="Aptos" w:hAnsi="Aptos"/>
                <w:sz w:val="17"/>
              </w:rPr>
              <w:t>Explainability</w:t>
            </w:r>
          </w:p>
        </w:tc>
        <w:tc>
          <w:tcPr>
            <w:tcW w:type="dxa" w:w="3389"/>
            <w:tcMar>
              <w:top w:w="75" w:type="dxa"/>
              <w:start w:w="80" w:type="dxa"/>
              <w:bottom w:w="75" w:type="dxa"/>
              <w:end w:w="80" w:type="dxa"/>
            </w:tcMar>
          </w:tcPr>
          <w:p>
            <w:r>
              <w:rPr>
                <w:rFonts w:ascii="Aptos" w:hAnsi="Aptos"/>
                <w:sz w:val="17"/>
              </w:rPr>
              <w:t>% material decisions with structured rationale and supporting evidence</w:t>
            </w:r>
          </w:p>
        </w:tc>
        <w:tc>
          <w:tcPr>
            <w:tcW w:type="dxa" w:w="3389"/>
            <w:tcMar>
              <w:top w:w="75" w:type="dxa"/>
              <w:start w:w="80" w:type="dxa"/>
              <w:bottom w:w="75" w:type="dxa"/>
              <w:end w:w="80" w:type="dxa"/>
            </w:tcMar>
          </w:tcPr>
          <w:p>
            <w:r>
              <w:rPr>
                <w:rFonts w:ascii="Aptos" w:hAnsi="Aptos"/>
                <w:sz w:val="17"/>
              </w:rPr>
              <w:t>Approach 100%</w:t>
            </w:r>
          </w:p>
        </w:tc>
      </w:tr>
      <w:tr>
        <w:tc>
          <w:tcPr>
            <w:tcW w:type="dxa" w:w="3389"/>
            <w:tcMar>
              <w:top w:w="75" w:type="dxa"/>
              <w:start w:w="80" w:type="dxa"/>
              <w:bottom w:w="75" w:type="dxa"/>
              <w:end w:w="80" w:type="dxa"/>
            </w:tcMar>
          </w:tcPr>
          <w:p>
            <w:r>
              <w:rPr>
                <w:rFonts w:ascii="Aptos" w:hAnsi="Aptos"/>
                <w:sz w:val="17"/>
              </w:rPr>
              <w:t>Containment</w:t>
            </w:r>
          </w:p>
        </w:tc>
        <w:tc>
          <w:tcPr>
            <w:tcW w:type="dxa" w:w="3389"/>
            <w:tcMar>
              <w:top w:w="75" w:type="dxa"/>
              <w:start w:w="80" w:type="dxa"/>
              <w:bottom w:w="75" w:type="dxa"/>
              <w:end w:w="80" w:type="dxa"/>
            </w:tcMar>
          </w:tcPr>
          <w:p>
            <w:r>
              <w:rPr>
                <w:rFonts w:ascii="Aptos" w:hAnsi="Aptos"/>
                <w:sz w:val="17"/>
              </w:rPr>
              <w:t>Time to pause/quarantine/credential revocation</w:t>
            </w:r>
          </w:p>
        </w:tc>
        <w:tc>
          <w:tcPr>
            <w:tcW w:type="dxa" w:w="3389"/>
            <w:tcMar>
              <w:top w:w="75" w:type="dxa"/>
              <w:start w:w="80" w:type="dxa"/>
              <w:bottom w:w="75" w:type="dxa"/>
              <w:end w:w="80" w:type="dxa"/>
            </w:tcMar>
          </w:tcPr>
          <w:p>
            <w:r>
              <w:rPr>
                <w:rFonts w:ascii="Aptos" w:hAnsi="Aptos"/>
                <w:sz w:val="17"/>
              </w:rPr>
              <w:t>Minimise</w:t>
            </w:r>
          </w:p>
        </w:tc>
      </w:tr>
      <w:tr>
        <w:tc>
          <w:tcPr>
            <w:tcW w:type="dxa" w:w="3389"/>
            <w:tcMar>
              <w:top w:w="75" w:type="dxa"/>
              <w:start w:w="80" w:type="dxa"/>
              <w:bottom w:w="75" w:type="dxa"/>
              <w:end w:w="80" w:type="dxa"/>
            </w:tcMar>
          </w:tcPr>
          <w:p>
            <w:r>
              <w:rPr>
                <w:rFonts w:ascii="Aptos" w:hAnsi="Aptos"/>
                <w:sz w:val="17"/>
              </w:rPr>
              <w:t>Autonomy efficiency</w:t>
            </w:r>
          </w:p>
        </w:tc>
        <w:tc>
          <w:tcPr>
            <w:tcW w:type="dxa" w:w="3389"/>
            <w:tcMar>
              <w:top w:w="75" w:type="dxa"/>
              <w:start w:w="80" w:type="dxa"/>
              <w:bottom w:w="75" w:type="dxa"/>
              <w:end w:w="80" w:type="dxa"/>
            </w:tcMar>
          </w:tcPr>
          <w:p>
            <w:r>
              <w:rPr>
                <w:rFonts w:ascii="Aptos" w:hAnsi="Aptos"/>
                <w:sz w:val="17"/>
              </w:rPr>
              <w:t>Useful work per agent created / duplicate-agent rate</w:t>
            </w:r>
          </w:p>
        </w:tc>
        <w:tc>
          <w:tcPr>
            <w:tcW w:type="dxa" w:w="3389"/>
            <w:tcMar>
              <w:top w:w="75" w:type="dxa"/>
              <w:start w:w="80" w:type="dxa"/>
              <w:bottom w:w="75" w:type="dxa"/>
              <w:end w:w="80" w:type="dxa"/>
            </w:tcMar>
          </w:tcPr>
          <w:p>
            <w:r>
              <w:rPr>
                <w:rFonts w:ascii="Aptos" w:hAnsi="Aptos"/>
                <w:sz w:val="17"/>
              </w:rPr>
              <w:t>Improve / minimise duplicates</w:t>
            </w:r>
          </w:p>
        </w:tc>
      </w:tr>
      <w:tr>
        <w:tc>
          <w:tcPr>
            <w:tcW w:type="dxa" w:w="3389"/>
            <w:tcMar>
              <w:top w:w="75" w:type="dxa"/>
              <w:start w:w="80" w:type="dxa"/>
              <w:bottom w:w="75" w:type="dxa"/>
              <w:end w:w="80" w:type="dxa"/>
            </w:tcMar>
          </w:tcPr>
          <w:p>
            <w:r>
              <w:rPr>
                <w:rFonts w:ascii="Aptos" w:hAnsi="Aptos"/>
                <w:sz w:val="17"/>
              </w:rPr>
              <w:t>Assurance</w:t>
            </w:r>
          </w:p>
        </w:tc>
        <w:tc>
          <w:tcPr>
            <w:tcW w:type="dxa" w:w="3389"/>
            <w:tcMar>
              <w:top w:w="75" w:type="dxa"/>
              <w:start w:w="80" w:type="dxa"/>
              <w:bottom w:w="75" w:type="dxa"/>
              <w:end w:w="80" w:type="dxa"/>
            </w:tcMar>
          </w:tcPr>
          <w:p>
            <w:r>
              <w:rPr>
                <w:rFonts w:ascii="Aptos" w:hAnsi="Aptos"/>
                <w:sz w:val="17"/>
              </w:rPr>
              <w:t>High-risk missions independently evaluated before release</w:t>
            </w:r>
          </w:p>
        </w:tc>
        <w:tc>
          <w:tcPr>
            <w:tcW w:type="dxa" w:w="3389"/>
            <w:tcMar>
              <w:top w:w="75" w:type="dxa"/>
              <w:start w:w="80" w:type="dxa"/>
              <w:bottom w:w="75" w:type="dxa"/>
              <w:end w:w="80" w:type="dxa"/>
            </w:tcMar>
          </w:tcPr>
          <w:p>
            <w:r>
              <w:rPr>
                <w:rFonts w:ascii="Aptos" w:hAnsi="Aptos"/>
                <w:sz w:val="17"/>
              </w:rPr>
              <w:t>100%</w:t>
            </w:r>
          </w:p>
        </w:tc>
      </w:tr>
      <w:tr>
        <w:tc>
          <w:tcPr>
            <w:tcW w:type="dxa" w:w="3389"/>
            <w:tcMar>
              <w:top w:w="75" w:type="dxa"/>
              <w:start w:w="80" w:type="dxa"/>
              <w:bottom w:w="75" w:type="dxa"/>
              <w:end w:w="80" w:type="dxa"/>
            </w:tcMar>
          </w:tcPr>
          <w:p>
            <w:r>
              <w:rPr>
                <w:rFonts w:ascii="Aptos" w:hAnsi="Aptos"/>
                <w:sz w:val="17"/>
              </w:rPr>
              <w:t>Cost governance</w:t>
            </w:r>
          </w:p>
        </w:tc>
        <w:tc>
          <w:tcPr>
            <w:tcW w:type="dxa" w:w="3389"/>
            <w:tcMar>
              <w:top w:w="75" w:type="dxa"/>
              <w:start w:w="80" w:type="dxa"/>
              <w:bottom w:w="75" w:type="dxa"/>
              <w:end w:w="80" w:type="dxa"/>
            </w:tcMar>
          </w:tcPr>
          <w:p>
            <w:r>
              <w:rPr>
                <w:rFonts w:ascii="Aptos" w:hAnsi="Aptos"/>
                <w:sz w:val="17"/>
              </w:rPr>
              <w:t>Runs exceeding approved budget envelope</w:t>
            </w:r>
          </w:p>
        </w:tc>
        <w:tc>
          <w:tcPr>
            <w:tcW w:type="dxa" w:w="3389"/>
            <w:tcMar>
              <w:top w:w="75" w:type="dxa"/>
              <w:start w:w="80" w:type="dxa"/>
              <w:bottom w:w="75" w:type="dxa"/>
              <w:end w:w="80" w:type="dxa"/>
            </w:tcMar>
          </w:tcPr>
          <w:p>
            <w:r>
              <w:rPr>
                <w:rFonts w:ascii="Aptos" w:hAnsi="Aptos"/>
                <w:sz w:val="17"/>
              </w:rPr>
              <w:t>Near zero</w:t>
            </w:r>
          </w:p>
        </w:tc>
      </w:tr>
      <w:tr>
        <w:tc>
          <w:tcPr>
            <w:tcW w:type="dxa" w:w="3389"/>
            <w:tcMar>
              <w:top w:w="75" w:type="dxa"/>
              <w:start w:w="80" w:type="dxa"/>
              <w:bottom w:w="75" w:type="dxa"/>
              <w:end w:w="80" w:type="dxa"/>
            </w:tcMar>
          </w:tcPr>
          <w:p>
            <w:r>
              <w:rPr>
                <w:rFonts w:ascii="Aptos" w:hAnsi="Aptos"/>
                <w:sz w:val="17"/>
              </w:rPr>
              <w:t>Policy quality</w:t>
            </w:r>
          </w:p>
        </w:tc>
        <w:tc>
          <w:tcPr>
            <w:tcW w:type="dxa" w:w="3389"/>
            <w:tcMar>
              <w:top w:w="75" w:type="dxa"/>
              <w:start w:w="80" w:type="dxa"/>
              <w:bottom w:w="75" w:type="dxa"/>
              <w:end w:w="80" w:type="dxa"/>
            </w:tcMar>
          </w:tcPr>
          <w:p>
            <w:r>
              <w:rPr>
                <w:rFonts w:ascii="Aptos" w:hAnsi="Aptos"/>
                <w:sz w:val="17"/>
              </w:rPr>
              <w:t>False blocks / missed policy violations</w:t>
            </w:r>
          </w:p>
        </w:tc>
        <w:tc>
          <w:tcPr>
            <w:tcW w:type="dxa" w:w="3389"/>
            <w:tcMar>
              <w:top w:w="75" w:type="dxa"/>
              <w:start w:w="80" w:type="dxa"/>
              <w:bottom w:w="75" w:type="dxa"/>
              <w:end w:w="80" w:type="dxa"/>
            </w:tcMar>
          </w:tcPr>
          <w:p>
            <w:r>
              <w:rPr>
                <w:rFonts w:ascii="Aptos" w:hAnsi="Aptos"/>
                <w:sz w:val="17"/>
              </w:rPr>
              <w:t>Continuously reduce</w:t>
            </w:r>
          </w:p>
        </w:tc>
      </w:tr>
      <w:tr>
        <w:tc>
          <w:tcPr>
            <w:tcW w:type="dxa" w:w="3389"/>
            <w:tcMar>
              <w:top w:w="75" w:type="dxa"/>
              <w:start w:w="80" w:type="dxa"/>
              <w:bottom w:w="75" w:type="dxa"/>
              <w:end w:w="80" w:type="dxa"/>
            </w:tcMar>
          </w:tcPr>
          <w:p>
            <w:r>
              <w:rPr>
                <w:rFonts w:ascii="Aptos" w:hAnsi="Aptos"/>
                <w:sz w:val="17"/>
              </w:rPr>
              <w:t>Audit readiness</w:t>
            </w:r>
          </w:p>
        </w:tc>
        <w:tc>
          <w:tcPr>
            <w:tcW w:type="dxa" w:w="3389"/>
            <w:tcMar>
              <w:top w:w="75" w:type="dxa"/>
              <w:start w:w="80" w:type="dxa"/>
              <w:bottom w:w="75" w:type="dxa"/>
              <w:end w:w="80" w:type="dxa"/>
            </w:tcMar>
          </w:tcPr>
          <w:p>
            <w:r>
              <w:rPr>
                <w:rFonts w:ascii="Aptos" w:hAnsi="Aptos"/>
                <w:sz w:val="17"/>
              </w:rPr>
              <w:t>Time to produce full evidence pack</w:t>
            </w:r>
          </w:p>
        </w:tc>
        <w:tc>
          <w:tcPr>
            <w:tcW w:type="dxa" w:w="3389"/>
            <w:tcMar>
              <w:top w:w="75" w:type="dxa"/>
              <w:start w:w="80" w:type="dxa"/>
              <w:bottom w:w="75" w:type="dxa"/>
              <w:end w:w="80" w:type="dxa"/>
            </w:tcMar>
          </w:tcPr>
          <w:p>
            <w:r>
              <w:rPr>
                <w:rFonts w:ascii="Aptos" w:hAnsi="Aptos"/>
                <w:sz w:val="17"/>
              </w:rPr>
              <w:t>Seconds, not days</w:t>
            </w:r>
          </w:p>
        </w:tc>
      </w:tr>
      <w:tr>
        <w:tc>
          <w:tcPr>
            <w:tcW w:type="dxa" w:w="3389"/>
            <w:tcMar>
              <w:top w:w="75" w:type="dxa"/>
              <w:start w:w="80" w:type="dxa"/>
              <w:bottom w:w="75" w:type="dxa"/>
              <w:end w:w="80" w:type="dxa"/>
            </w:tcMar>
          </w:tcPr>
          <w:p>
            <w:r>
              <w:rPr>
                <w:rFonts w:ascii="Aptos" w:hAnsi="Aptos"/>
                <w:sz w:val="17"/>
              </w:rPr>
              <w:t>Portability</w:t>
            </w:r>
          </w:p>
        </w:tc>
        <w:tc>
          <w:tcPr>
            <w:tcW w:type="dxa" w:w="3389"/>
            <w:tcMar>
              <w:top w:w="75" w:type="dxa"/>
              <w:start w:w="80" w:type="dxa"/>
              <w:bottom w:w="75" w:type="dxa"/>
              <w:end w:w="80" w:type="dxa"/>
            </w:tcMar>
          </w:tcPr>
          <w:p>
            <w:r>
              <w:rPr>
                <w:rFonts w:ascii="Aptos" w:hAnsi="Aptos"/>
                <w:sz w:val="17"/>
              </w:rPr>
              <w:t>Workflow logic coupled to runtime-provider-specific types</w:t>
            </w:r>
          </w:p>
        </w:tc>
        <w:tc>
          <w:tcPr>
            <w:tcW w:type="dxa" w:w="3389"/>
            <w:tcMar>
              <w:top w:w="75" w:type="dxa"/>
              <w:start w:w="80" w:type="dxa"/>
              <w:bottom w:w="75" w:type="dxa"/>
              <w:end w:w="80" w:type="dxa"/>
            </w:tcMar>
          </w:tcPr>
          <w:p>
            <w:r>
              <w:rPr>
                <w:rFonts w:ascii="Aptos" w:hAnsi="Aptos"/>
                <w:sz w:val="17"/>
              </w:rPr>
              <w:t>Minimise</w:t>
            </w:r>
          </w:p>
        </w:tc>
      </w:tr>
    </w:tbl>
    <w:p>
      <w:pPr>
        <w:pStyle w:val="Heading1"/>
      </w:pPr>
      <w:r>
        <w:t>Strategic Conclusion</w:t>
      </w:r>
    </w:p>
    <w:p>
      <w:pPr>
        <w:pStyle w:val="Lead"/>
      </w:pPr>
      <w:r>
        <w:t>The opportunity is larger than dynamic agent generation. The category Tectonic can define is governed autonomous execution: a control plane that lets enterprises safely compose, authorise, observe, explain, evaluate and contain autonomous work across models, agents, tools, humans and enterprise systems.</w:t>
      </w:r>
    </w:p>
    <w:p>
      <w:pPr>
        <w:pStyle w:val="BodyText"/>
      </w:pPr>
      <w:r>
        <w:t>If Tectonic executes this architecture well, the durable value is not the ability to spawn agents. Agent creation will commoditise. The durable value is the ability to answer, with evidence: who authorised the work, why the plan existed, what capabilities were composed, what data and models influenced the outcome, what actions were permitted, what controls intervened, whether the outcome was independently validated, what the blast radius was, and whether the complete execution can be defended later.</w:t>
      </w:r>
    </w:p>
    <w:p>
      <w:pPr>
        <w:pStyle w:val="Heading1"/>
      </w:pPr>
      <w:r>
        <w:t>Selected Regulatory References</w:t>
      </w:r>
    </w:p>
    <w:p>
      <w:pPr>
        <w:pStyle w:val="BodyText"/>
      </w:pPr>
      <w:r>
        <w:t xml:space="preserve">Bank of England / PRA, SS1/23 - Model risk management principles for banks (current version published 23 April 2026). </w:t>
      </w:r>
      <w:hyperlink r:id="rId11">
        <w:r>
          <w:rPr>
            <w:color w:val="0563C1"/>
            <w:u w:val="single"/>
          </w:rPr>
          <w:t>Source</w:t>
        </w:r>
      </w:hyperlink>
    </w:p>
    <w:p>
      <w:pPr>
        <w:pStyle w:val="BodyText"/>
      </w:pPr>
      <w:r>
        <w:t xml:space="preserve">FCA, AI in financial services: shaping our approach through industry engagement, 8 June 2026. </w:t>
      </w:r>
      <w:hyperlink r:id="rId12">
        <w:r>
          <w:rPr>
            <w:color w:val="0563C1"/>
            <w:u w:val="single"/>
          </w:rPr>
          <w:t>Source</w:t>
        </w:r>
      </w:hyperlink>
    </w:p>
    <w:p>
      <w:pPr>
        <w:pStyle w:val="BodyText"/>
      </w:pPr>
      <w:r>
        <w:t xml:space="preserve">FCA, Bank of England and HM Treasury, Joint statement on frontier AI models and cyber resilience, 15 May 2026. </w:t>
      </w:r>
      <w:hyperlink r:id="rId13">
        <w:r>
          <w:rPr>
            <w:color w:val="0563C1"/>
            <w:u w:val="single"/>
          </w:rPr>
          <w:t>Source</w:t>
        </w:r>
      </w:hyperlink>
    </w:p>
    <w:p>
      <w:pPr>
        <w:pStyle w:val="BodyText"/>
      </w:pPr>
      <w:r>
        <w:t xml:space="preserve">FCA, AI and the FCA: our approach, updated 13 February 2026. </w:t>
      </w:r>
      <w:hyperlink r:id="rId14">
        <w:r>
          <w:rPr>
            <w:color w:val="0563C1"/>
            <w:u w:val="single"/>
          </w:rPr>
          <w:t>Source</w:t>
        </w:r>
      </w:hyperlink>
    </w:p>
    <w:p>
      <w:pPr>
        <w:pStyle w:val="BodyText"/>
        <w:spacing w:before="240"/>
      </w:pPr>
      <w:r>
        <w:rPr>
          <w:b/>
        </w:rPr>
        <w:t xml:space="preserve">Note: </w:t>
      </w:r>
      <w:r>
        <w:t>This document is a product and technical architecture brief, not legal or regulatory advice. Requirements should be mapped to the specific regulated entity, jurisdiction, use case and risk classification with the relevant compliance, legal, model-risk, operational-risk and cyber teams.</w:t>
      </w:r>
    </w:p>
    <w:sectPr w:rsidR="00FC693F" w:rsidRPr="0006063C" w:rsidSect="00034616">
      <w:headerReference w:type="default" r:id="rId9"/>
      <w:footerReference w:type="default" r:id="rId10"/>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Confidential design brief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97784"/>
        <w:sz w:val="15"/>
      </w:rPr>
      <w:t>TECTONIC  |  GOVERNED AUTONOMOUS EXECUTION CONTROL PLANE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2B43"/>
      <w:sz w:val="3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94C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B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40"/>
    </w:pPr>
    <w:rPr>
      <w:rFonts w:ascii="Aptos" w:hAnsi="Aptos"/>
      <w:i/>
      <w:color w:val="4B5C6A"/>
      <w:sz w:val="22"/>
    </w:rPr>
  </w:style>
  <w:style w:type="paragraph" w:customStyle="1" w:styleId="CodeBlock">
    <w:name w:val="CodeBlock"/>
    <w:pPr>
      <w:spacing w:before="60" w:after="120"/>
      <w:ind w:left="259" w:right="259"/>
    </w:pPr>
    <w:rPr>
      <w:rFonts w:ascii="Aptos Mono" w:hAnsi="Aptos Mono"/>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ankofengland.co.uk/prudential-regulation/publication/2023/may/model-risk-management-principles-for-banks-ss" TargetMode="External"/><Relationship Id="rId12" Type="http://schemas.openxmlformats.org/officeDocument/2006/relationships/hyperlink" Target="https://www.fca.org.uk/news/blogs/ai-financial-services-approach" TargetMode="External"/><Relationship Id="rId13" Type="http://schemas.openxmlformats.org/officeDocument/2006/relationships/hyperlink" Target="https://www.fca.org.uk/news/statements/fca-boe-treasury-joint-statement-frontier-ai-models-cyber-resilience" TargetMode="External"/><Relationship Id="rId14" Type="http://schemas.openxmlformats.org/officeDocument/2006/relationships/hyperlink" Target="https://www.fca.org.uk/firms/innovation/ai-appro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Tectonic - Governed Autonomous Execution Control Plane</dc:title>
  <dc:subject>Architecture and implementation stages for regulated autonomous AI workflows</dc:subject>
  <dc:creator/>
  <cp:keywords>Tectonic, Agentic AI, Dynamic Workforce, Governance, Observability, Explainability, Model Risk, Autonomous AI</cp:keywords>
  <dc:description>generated by python-docx</dc:description>
  <cp:lastModifiedBy/>
  <cp:revision>1</cp:revision>
  <dcterms:created xsi:type="dcterms:W3CDTF">2013-12-23T23:15:00Z</dcterms:created>
  <dcterms:modified xsi:type="dcterms:W3CDTF">2013-12-23T23:15:00Z</dcterms:modified>
  <cp:category/>
</cp:coreProperties>
</file>