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Summary Report: Predictive Insights for Collections Strategy</w:t>
      </w:r>
    </w:p>
    <w:p>
      <w:pPr>
        <w:pStyle w:val="Heading2"/>
      </w:pPr>
      <w:r>
        <w:t>1. Summary of Predictive Insights</w:t>
      </w:r>
    </w:p>
    <w:p>
      <w:r>
        <w:t>Based on our predictive modeling from Task 2 and EDA from Task 1, the following patterns were observed:</w:t>
      </w:r>
    </w:p>
    <w:p>
      <w:pPr>
        <w:pStyle w:val="ListBullet"/>
      </w:pPr>
      <w:r>
        <w:t>Top 3 Risk Factors:</w:t>
      </w:r>
    </w:p>
    <w:p>
      <w:pPr>
        <w:pStyle w:val="ListNumber"/>
      </w:pPr>
      <w:r>
        <w:t>High Credit Utilization Ratio</w:t>
      </w:r>
    </w:p>
    <w:p>
      <w:pPr>
        <w:pStyle w:val="ListNumber"/>
      </w:pPr>
      <w:r>
        <w:t>Low Credit Score</w:t>
      </w:r>
    </w:p>
    <w:p>
      <w:pPr>
        <w:pStyle w:val="ListNumber"/>
      </w:pPr>
      <w:r>
        <w:t>Increased Number of Missed Payments</w:t>
      </w:r>
    </w:p>
    <w:p>
      <w:pPr>
        <w:pStyle w:val="ListBullet"/>
      </w:pPr>
      <w:r>
        <w:t>High-Risk Customer Segments:</w:t>
      </w:r>
    </w:p>
    <w:p>
      <w:pPr>
        <w:pStyle w:val="ListBullet"/>
      </w:pPr>
      <w:r>
        <w:t>Customers with low income and high debt-to-income (DTI) ratios.</w:t>
      </w:r>
    </w:p>
    <w:p>
      <w:pPr>
        <w:pStyle w:val="ListBullet"/>
      </w:pPr>
      <w:r>
        <w:t>Customers holding student or subprime card types with credit utilization &gt; 70%.</w:t>
      </w:r>
    </w:p>
    <w:p>
      <w:pPr>
        <w:pStyle w:val="ListBullet"/>
      </w:pPr>
      <w:r>
        <w:t>Customers with a past record of two or more missed payments.</w:t>
      </w:r>
    </w:p>
    <w:p>
      <w:pPr>
        <w:pStyle w:val="ListBullet"/>
      </w:pPr>
      <w:r>
        <w:t>Key Predictors Identified by the Model:</w:t>
      </w:r>
    </w:p>
    <w:p>
      <w:r>
        <w:t>Credit_Score, Income, Credit_Utilization_Ratio, Missed_Payment_Count, and Debt_to_Income_Ratio were consistently the most important features across Decision Tree, XGBoost, and Neural Network models.</w:t>
      </w:r>
    </w:p>
    <w:p>
      <w:pPr>
        <w:pStyle w:val="Heading2"/>
      </w:pPr>
      <w:r>
        <w:t>2. Recommendation Framework</w:t>
      </w:r>
    </w:p>
    <w:p>
      <w:r>
        <w:t>Restated Insight:</w:t>
      </w:r>
    </w:p>
    <w:p>
      <w:r>
        <w:t>Customers with high credit utilization (&gt;70%) and missed payments are more likely to default.</w:t>
      </w:r>
    </w:p>
    <w:p>
      <w:r>
        <w:t>Proposed Recommendation:</w:t>
      </w:r>
    </w:p>
    <w:p>
      <w:pPr>
        <w:pStyle w:val="ListBullet"/>
      </w:pPr>
      <w:r>
        <w:t>Specific:</w:t>
      </w:r>
    </w:p>
    <w:p>
      <w:pPr>
        <w:pStyle w:val="ListBullet"/>
      </w:pPr>
      <w:r>
        <w:t>Initiate a targeted communication and financial counseling program for customers with credit utilization above 70% and at least one missed payment.</w:t>
      </w:r>
    </w:p>
    <w:p>
      <w:pPr>
        <w:pStyle w:val="ListBullet"/>
      </w:pPr>
      <w:r>
        <w:t>Measurable:</w:t>
      </w:r>
    </w:p>
    <w:p>
      <w:pPr>
        <w:pStyle w:val="ListBullet"/>
      </w:pPr>
      <w:r>
        <w:t>Aim to reduce delinquency rate in this segment by 15% over the next quarter.</w:t>
      </w:r>
    </w:p>
    <w:p>
      <w:pPr>
        <w:pStyle w:val="ListBullet"/>
      </w:pPr>
      <w:r>
        <w:t>Actionable:</w:t>
      </w:r>
    </w:p>
    <w:p>
      <w:pPr>
        <w:pStyle w:val="ListBullet"/>
      </w:pPr>
      <w:r>
        <w:t>Use model predictions to generate a monthly list of high-risk customers and initiate early intervention (e.g., reminders, EMI restructuring, or financial planning assistance).</w:t>
      </w:r>
    </w:p>
    <w:p>
      <w:pPr>
        <w:pStyle w:val="ListBullet"/>
      </w:pPr>
      <w:r>
        <w:t>Relevant:</w:t>
      </w:r>
    </w:p>
    <w:p>
      <w:pPr>
        <w:pStyle w:val="ListBullet"/>
      </w:pPr>
      <w:r>
        <w:t>Delinquency directly impacts Geldium's revenue and customer trust; early support improves outcomes.</w:t>
      </w:r>
    </w:p>
    <w:p>
      <w:pPr>
        <w:pStyle w:val="ListBullet"/>
      </w:pPr>
      <w:r>
        <w:t>Time-bound:</w:t>
      </w:r>
    </w:p>
    <w:p>
      <w:pPr>
        <w:pStyle w:val="ListBullet"/>
      </w:pPr>
      <w:r>
        <w:t>Launch pilot intervention program within 30 days and evaluate effectiveness after 3 months.</w:t>
      </w:r>
    </w:p>
    <w:p>
      <w:r>
        <w:t>Justification and Business Rationale:</w:t>
      </w:r>
    </w:p>
    <w:p>
      <w:r>
        <w:t>Focusing on early, data-driven intervention for high-risk segments allows Geldium to proactively manage delinquency while enhancing customer experience. Targeted communication increases the likelihood of repayment and reduces collection costs.</w:t>
      </w:r>
    </w:p>
    <w:p>
      <w:pPr>
        <w:pStyle w:val="Heading2"/>
      </w:pPr>
      <w:r>
        <w:t>3. Ethical and Responsible AI Considerations</w:t>
      </w:r>
    </w:p>
    <w:p>
      <w:pPr>
        <w:pStyle w:val="ListBullet"/>
      </w:pPr>
      <w:r>
        <w:t>Fairness Risks:</w:t>
      </w:r>
    </w:p>
    <w:p>
      <w:pPr>
        <w:pStyle w:val="ListBullet"/>
      </w:pPr>
      <w:r>
        <w:t>Risk of bias against younger customers or those with lower socioeconomic status if models over-rely on income or card type.</w:t>
      </w:r>
    </w:p>
    <w:p>
      <w:pPr>
        <w:pStyle w:val="ListBullet"/>
      </w:pPr>
      <w:r>
        <w:t>Mitigation: Regular fairness audits and applying techniques like reweighting or threshold adjustments.</w:t>
      </w:r>
    </w:p>
    <w:p>
      <w:pPr>
        <w:pStyle w:val="ListBullet"/>
      </w:pPr>
      <w:r>
        <w:t>Explainability:</w:t>
      </w:r>
    </w:p>
    <w:p>
      <w:pPr>
        <w:pStyle w:val="ListBullet"/>
      </w:pPr>
      <w:r>
        <w:t>Tree-based models like Decision Trees and XGBoost allow for better explainability than Neural Networks. Use SHAP (SHapley Additive exPlanations) to explain feature impact in stakeholder-friendly terms.</w:t>
      </w:r>
    </w:p>
    <w:p>
      <w:pPr>
        <w:pStyle w:val="ListBullet"/>
      </w:pPr>
      <w:r>
        <w:t>Responsible AI Use:</w:t>
      </w:r>
    </w:p>
    <w:p>
      <w:pPr>
        <w:pStyle w:val="ListBullet"/>
      </w:pPr>
      <w:r>
        <w:t>Ensure model outputs are used to assist and not penalize customers. Provide human-in-the-loop oversight, especially for high-stakes decisions such as credit denial or aggressive collections.</w:t>
      </w:r>
    </w:p>
    <w:p>
      <w:pPr>
        <w:pStyle w:val="ListBullet"/>
      </w:pPr>
      <w:r>
        <w:t>Data Privacy:</w:t>
      </w:r>
    </w:p>
    <w:p>
      <w:pPr>
        <w:pStyle w:val="ListBullet"/>
      </w:pPr>
      <w:r>
        <w:t>Adhere strictly to data protection norms (e.g., anonymize records, limit access). Use data only for intended predictive purposes and ensure transparency in communication with customers.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