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646E78"/>
          <w:sz w:val="22"/>
        </w:rPr>
        <w:t>ACADEMIC PROJECT REVIEW DOCUMENTATION</w:t>
        <w:br/>
        <w:t>DEPARTMENT OF COMPUTER SCIENCE &amp; ENGINEERING / PRECISION AGRICULTURE</w:t>
      </w:r>
    </w:p>
    <w:p>
      <w:pPr>
        <w:spacing w:before="480" w:after="360"/>
        <w:jc w:val="center"/>
      </w:pPr>
      <w:r>
        <w:rPr>
          <w:rFonts w:ascii="Arial" w:hAnsi="Arial"/>
          <w:b/>
          <w:color w:val="003366"/>
          <w:sz w:val="40"/>
        </w:rPr>
        <w:t>HYPERSPECTRAL &amp; UAV SOIL ORGANIC CARBON (SOC) AND NPK NUTRIENT ESTIMATION</w:t>
        <w:br/>
      </w:r>
      <w:r>
        <w:rPr>
          <w:rFonts w:ascii="Arial" w:hAnsi="Arial"/>
          <w:i/>
          <w:color w:val="4682B4"/>
          <w:sz w:val="26"/>
        </w:rPr>
        <w:t>Using 1D Convolutional Neural Networks on Diffuse Reflectance Spectroscopy with Baseline Drift Correction and Continuum Removal Preprocessing</w:t>
      </w:r>
    </w:p>
    <w:p>
      <w:pPr>
        <w:spacing w:before="240" w:after="480"/>
        <w:jc w:val="center"/>
      </w:pPr>
      <w:r>
        <w:rPr>
          <w:b/>
          <w:color w:val="003366"/>
        </w:rPr>
        <w:t>—————————————————————————————————————————————</w:t>
      </w:r>
    </w:p>
    <w:p>
      <w:pPr>
        <w:spacing w:before="120" w:after="720"/>
        <w:jc w:val="center"/>
      </w:pPr>
      <w:r>
        <w:rPr>
          <w:rFonts w:ascii="Calibri" w:hAnsi="Calibri"/>
          <w:b/>
          <w:color w:val="003366"/>
          <w:sz w:val="32"/>
        </w:rPr>
        <w:t>REVIEW 2: COMPREHENSIVE LITERATURE SURVEY</w:t>
        <w:br/>
      </w:r>
      <w:r>
        <w:rPr>
          <w:rFonts w:ascii="Calibri" w:hAnsi="Calibri"/>
          <w:color w:val="505050"/>
          <w:sz w:val="22"/>
        </w:rPr>
        <w:t>Exhaustive Critical Audit of Base Benchmark Paper and Top 9 Closest Peer Studies</w:t>
        <w:br/>
        <w:t>Document Standard: 15 to 20 Academic Pages</w:t>
      </w:r>
    </w:p>
    <w:tbl>
      <w:tblPr>
        <w:tblW w:type="auto" w:w="0"/>
        <w:jc w:val="center"/>
        <w:tblLook w:firstColumn="1" w:firstRow="1" w:lastColumn="0" w:lastRow="0" w:noHBand="0" w:noVBand="1" w:val="04A0"/>
      </w:tblPr>
      <w:tblGrid>
        <w:gridCol w:w="4680"/>
        <w:gridCol w:w="4680"/>
      </w:tblGrid>
      <w:tr>
        <w:tc>
          <w:tcPr>
            <w:tcW w:type="dxa" w:w="3600"/>
            <w:shd w:fill="F2F6FA"/>
            <w:tcMar>
              <w:top w:w="60" w:type="dxa"/>
              <w:bottom w:w="60" w:type="dxa"/>
              <w:left w:w="80" w:type="dxa"/>
              <w:right w:w="80" w:type="dxa"/>
            </w:tcMar>
          </w:tcPr>
          <w:p>
            <w:r>
              <w:rPr>
                <w:rFonts w:ascii="Calibri" w:hAnsi="Calibri"/>
                <w:b/>
                <w:color w:val="003366"/>
                <w:sz w:val="20"/>
              </w:rPr>
              <w:t>Base Benchmark Paper:</w:t>
            </w:r>
          </w:p>
        </w:tc>
        <w:tc>
          <w:tcPr>
            <w:tcW w:type="dxa" w:w="5760"/>
            <w:shd w:fill="FFFFFF"/>
            <w:tcMar>
              <w:top w:w="60" w:type="dxa"/>
              <w:bottom w:w="60" w:type="dxa"/>
              <w:left w:w="80" w:type="dxa"/>
              <w:right w:w="80" w:type="dxa"/>
            </w:tcMar>
          </w:tcPr>
          <w:p>
            <w:r>
              <w:rPr>
                <w:rFonts w:ascii="Calibri" w:hAnsi="Calibri"/>
                <w:sz w:val="20"/>
              </w:rPr>
              <w:t>Cao et al., MDPI Agronomy 2024, 14(9), 1998</w:t>
            </w:r>
          </w:p>
        </w:tc>
      </w:tr>
      <w:tr>
        <w:tc>
          <w:tcPr>
            <w:tcW w:type="dxa" w:w="3600"/>
            <w:shd w:fill="F2F6FA"/>
            <w:tcMar>
              <w:top w:w="60" w:type="dxa"/>
              <w:bottom w:w="60" w:type="dxa"/>
              <w:left w:w="80" w:type="dxa"/>
              <w:right w:w="80" w:type="dxa"/>
            </w:tcMar>
          </w:tcPr>
          <w:p>
            <w:r>
              <w:rPr>
                <w:rFonts w:ascii="Calibri" w:hAnsi="Calibri"/>
                <w:b/>
                <w:color w:val="003366"/>
                <w:sz w:val="20"/>
              </w:rPr>
              <w:t>Primary Reference Cohort:</w:t>
            </w:r>
          </w:p>
        </w:tc>
        <w:tc>
          <w:tcPr>
            <w:tcW w:type="dxa" w:w="5760"/>
            <w:shd w:fill="FFFFFF"/>
            <w:tcMar>
              <w:top w:w="60" w:type="dxa"/>
              <w:bottom w:w="60" w:type="dxa"/>
              <w:left w:w="80" w:type="dxa"/>
              <w:right w:w="80" w:type="dxa"/>
            </w:tcMar>
          </w:tcPr>
          <w:p>
            <w:r>
              <w:rPr>
                <w:rFonts w:ascii="Calibri" w:hAnsi="Calibri"/>
                <w:sz w:val="20"/>
              </w:rPr>
              <w:t>Top 9 Closest Peer-Reviewed Studies (LUCAS, 1D-CNN, airPLS, Continuum Removal)</w:t>
            </w:r>
          </w:p>
        </w:tc>
      </w:tr>
      <w:tr>
        <w:tc>
          <w:tcPr>
            <w:tcW w:type="dxa" w:w="3600"/>
            <w:shd w:fill="F2F6FA"/>
            <w:tcMar>
              <w:top w:w="60" w:type="dxa"/>
              <w:bottom w:w="60" w:type="dxa"/>
              <w:left w:w="80" w:type="dxa"/>
              <w:right w:w="80" w:type="dxa"/>
            </w:tcMar>
          </w:tcPr>
          <w:p>
            <w:r>
              <w:rPr>
                <w:rFonts w:ascii="Calibri" w:hAnsi="Calibri"/>
                <w:b/>
                <w:color w:val="003366"/>
                <w:sz w:val="20"/>
              </w:rPr>
              <w:t>Optical Modality:</w:t>
            </w:r>
          </w:p>
        </w:tc>
        <w:tc>
          <w:tcPr>
            <w:tcW w:type="dxa" w:w="5760"/>
            <w:shd w:fill="FFFFFF"/>
            <w:tcMar>
              <w:top w:w="60" w:type="dxa"/>
              <w:bottom w:w="60" w:type="dxa"/>
              <w:left w:w="80" w:type="dxa"/>
              <w:right w:w="80" w:type="dxa"/>
            </w:tcMar>
          </w:tcPr>
          <w:p>
            <w:r>
              <w:rPr>
                <w:rFonts w:ascii="Calibri" w:hAnsi="Calibri"/>
                <w:sz w:val="20"/>
              </w:rPr>
              <w:t>Vis-NIR Diffuse Reflectance Spectroscopy (400 – 2500 nm)</w:t>
            </w:r>
          </w:p>
        </w:tc>
      </w:tr>
      <w:tr>
        <w:tc>
          <w:tcPr>
            <w:tcW w:type="dxa" w:w="3600"/>
            <w:shd w:fill="F2F6FA"/>
            <w:tcMar>
              <w:top w:w="60" w:type="dxa"/>
              <w:bottom w:w="60" w:type="dxa"/>
              <w:left w:w="80" w:type="dxa"/>
              <w:right w:w="80" w:type="dxa"/>
            </w:tcMar>
          </w:tcPr>
          <w:p>
            <w:r>
              <w:rPr>
                <w:rFonts w:ascii="Calibri" w:hAnsi="Calibri"/>
                <w:b/>
                <w:color w:val="003366"/>
                <w:sz w:val="20"/>
              </w:rPr>
              <w:t>Core Analytes:</w:t>
            </w:r>
          </w:p>
        </w:tc>
        <w:tc>
          <w:tcPr>
            <w:tcW w:type="dxa" w:w="5760"/>
            <w:shd w:fill="FFFFFF"/>
            <w:tcMar>
              <w:top w:w="60" w:type="dxa"/>
              <w:bottom w:w="60" w:type="dxa"/>
              <w:left w:w="80" w:type="dxa"/>
              <w:right w:w="80" w:type="dxa"/>
            </w:tcMar>
          </w:tcPr>
          <w:p>
            <w:r>
              <w:rPr>
                <w:rFonts w:ascii="Calibri" w:hAnsi="Calibri"/>
                <w:sz w:val="20"/>
              </w:rPr>
              <w:t>Soil Organic Carbon (SOC), Total Nitrogen (N), Available Phosphorus (P), Extractable Potassium (K)</w:t>
            </w:r>
          </w:p>
        </w:tc>
      </w:tr>
      <w:tr>
        <w:tc>
          <w:tcPr>
            <w:tcW w:type="dxa" w:w="3600"/>
            <w:shd w:fill="F2F6FA"/>
            <w:tcMar>
              <w:top w:w="60" w:type="dxa"/>
              <w:bottom w:w="60" w:type="dxa"/>
              <w:left w:w="80" w:type="dxa"/>
              <w:right w:w="80" w:type="dxa"/>
            </w:tcMar>
          </w:tcPr>
          <w:p>
            <w:r>
              <w:rPr>
                <w:rFonts w:ascii="Calibri" w:hAnsi="Calibri"/>
                <w:b/>
                <w:color w:val="003366"/>
                <w:sz w:val="20"/>
              </w:rPr>
              <w:t>Academic Phase &amp; Deliverable:</w:t>
            </w:r>
          </w:p>
        </w:tc>
        <w:tc>
          <w:tcPr>
            <w:tcW w:type="dxa" w:w="5760"/>
            <w:shd w:fill="FFFFFF"/>
            <w:tcMar>
              <w:top w:w="60" w:type="dxa"/>
              <w:bottom w:w="60" w:type="dxa"/>
              <w:left w:w="80" w:type="dxa"/>
              <w:right w:w="80" w:type="dxa"/>
            </w:tcMar>
          </w:tcPr>
          <w:p>
            <w:r>
              <w:rPr>
                <w:rFonts w:ascii="Calibri" w:hAnsi="Calibri"/>
                <w:sz w:val="20"/>
              </w:rPr>
              <w:t>Milestone Review 2 — Theoretical Foundations, Mechanistic Physics, &amp; Comparative Survey</w:t>
            </w:r>
          </w:p>
        </w:tc>
      </w:tr>
    </w:tbl>
    <w:p>
      <w:r>
        <w:br w:type="page"/>
      </w:r>
    </w:p>
    <w:p>
      <w:pPr>
        <w:pStyle w:val="Heading1"/>
      </w:pPr>
      <w:r>
        <w:rPr>
          <w:color w:val="003366"/>
        </w:rPr>
        <w:t>Executive Table of Contents</w:t>
      </w:r>
    </w:p>
    <w:p>
      <w:pPr>
        <w:spacing w:line="276" w:lineRule="auto" w:after="240"/>
      </w:pPr>
      <w:r>
        <w:rPr>
          <w:rFonts w:ascii="Consolas" w:hAnsi="Consolas"/>
          <w:b/>
          <w:color w:val="003366"/>
          <w:sz w:val="19"/>
        </w:rPr>
        <w:t>1. Introduction, Problem Formulation, &amp; Survey Scope                              1</w:t>
        <w:br/>
      </w:r>
      <w:r>
        <w:rPr>
          <w:rFonts w:ascii="Consolas" w:hAnsi="Consolas"/>
          <w:b/>
          <w:color w:val="003366"/>
          <w:sz w:val="19"/>
        </w:rPr>
        <w:t>2. Soil Diffuse Reflectance Spectroscopy &amp; Molecular Chemometrics                 2</w:t>
        <w:br/>
      </w:r>
      <w:r>
        <w:rPr>
          <w:rFonts w:ascii="Consolas" w:hAnsi="Consolas"/>
          <w:color w:val="3C3C3C"/>
          <w:sz w:val="19"/>
        </w:rPr>
        <w:t xml:space="preserve">   2.1 Fundamental Physics of Vis-NIR Reflectance (400 – 2500 nm)                 2</w:t>
        <w:br/>
      </w:r>
      <w:r>
        <w:rPr>
          <w:rFonts w:ascii="Consolas" w:hAnsi="Consolas"/>
          <w:color w:val="3C3C3C"/>
          <w:sz w:val="19"/>
        </w:rPr>
        <w:t xml:space="preserve">   2.2 Vibrational Transitions, Overtones, &amp; Diagnostic Absorptions               3</w:t>
        <w:br/>
      </w:r>
      <w:r>
        <w:rPr>
          <w:rFonts w:ascii="Consolas" w:hAnsi="Consolas"/>
          <w:color w:val="3C3C3C"/>
          <w:sz w:val="19"/>
        </w:rPr>
        <w:t xml:space="preserve">   2.3 Table 1: Complete Chemometric Wavelength Assignment Matrix                 4</w:t>
        <w:br/>
      </w:r>
      <w:r>
        <w:rPr>
          <w:rFonts w:ascii="Consolas" w:hAnsi="Consolas"/>
          <w:b/>
          <w:color w:val="003366"/>
          <w:sz w:val="19"/>
        </w:rPr>
        <w:t>3. Physical Interference Mechanisms in Field &amp; UAV Spectroscopy                   5</w:t>
        <w:br/>
      </w:r>
      <w:r>
        <w:rPr>
          <w:rFonts w:ascii="Consolas" w:hAnsi="Consolas"/>
          <w:color w:val="3C3C3C"/>
          <w:sz w:val="19"/>
        </w:rPr>
        <w:t xml:space="preserve">   3.1 Moisture Absorption Interference &amp; Albedo Degradation                      5</w:t>
        <w:br/>
      </w:r>
      <w:r>
        <w:rPr>
          <w:rFonts w:ascii="Consolas" w:hAnsi="Consolas"/>
          <w:color w:val="3C3C3C"/>
          <w:sz w:val="19"/>
        </w:rPr>
        <w:t xml:space="preserve">   3.2 Particle Size Scattering &amp; Baseline Drift Mechanics                        6</w:t>
        <w:br/>
      </w:r>
      <w:r>
        <w:rPr>
          <w:rFonts w:ascii="Consolas" w:hAnsi="Consolas"/>
          <w:b/>
          <w:color w:val="003366"/>
          <w:sz w:val="19"/>
        </w:rPr>
        <w:t>4. Mathematical Preprocessing &amp; Moisture Neutralization Framework                 7</w:t>
        <w:br/>
      </w:r>
      <w:r>
        <w:rPr>
          <w:rFonts w:ascii="Consolas" w:hAnsi="Consolas"/>
          <w:color w:val="3C3C3C"/>
          <w:sz w:val="19"/>
        </w:rPr>
        <w:t xml:space="preserve">   4.1 Savitzky-Golay (SG) Polynomial Smoothing &amp; Derivatives                     7</w:t>
        <w:br/>
      </w:r>
      <w:r>
        <w:rPr>
          <w:rFonts w:ascii="Consolas" w:hAnsi="Consolas"/>
          <w:color w:val="3C3C3C"/>
          <w:sz w:val="19"/>
        </w:rPr>
        <w:t xml:space="preserve">   4.2 Scatter Correction: Standard Normal Variate (SNV) vs MSC                   8</w:t>
        <w:br/>
      </w:r>
      <w:r>
        <w:rPr>
          <w:rFonts w:ascii="Consolas" w:hAnsi="Consolas"/>
          <w:color w:val="3C3C3C"/>
          <w:sz w:val="19"/>
        </w:rPr>
        <w:t xml:space="preserve">   4.3 Baseline Drift Removal: Asymmetric Least Squares &amp; airPLS                  8</w:t>
        <w:br/>
      </w:r>
      <w:r>
        <w:rPr>
          <w:rFonts w:ascii="Consolas" w:hAnsi="Consolas"/>
          <w:color w:val="3C3C3C"/>
          <w:sz w:val="19"/>
        </w:rPr>
        <w:t xml:space="preserve">   4.4 Upper Convex Hull Continuum Removal: The Moisture Neutralizer              9</w:t>
        <w:br/>
      </w:r>
      <w:r>
        <w:rPr>
          <w:rFonts w:ascii="Consolas" w:hAnsi="Consolas"/>
          <w:b/>
          <w:color w:val="003366"/>
          <w:sz w:val="19"/>
        </w:rPr>
        <w:t>5. Chronological Evolution of Chemometric Regression Modeling                    10</w:t>
        <w:br/>
      </w:r>
      <w:r>
        <w:rPr>
          <w:rFonts w:ascii="Consolas" w:hAnsi="Consolas"/>
          <w:color w:val="3C3C3C"/>
          <w:sz w:val="19"/>
        </w:rPr>
        <w:t xml:space="preserve">   5.1 Linear Latent Projections (PLSR and PCR)                                  10</w:t>
        <w:br/>
      </w:r>
      <w:r>
        <w:rPr>
          <w:rFonts w:ascii="Consolas" w:hAnsi="Consolas"/>
          <w:color w:val="3C3C3C"/>
          <w:sz w:val="19"/>
        </w:rPr>
        <w:t xml:space="preserve">   5.2 Non-Linear Machine Learning (SVR, RF, XGBoost)                            10</w:t>
        <w:br/>
      </w:r>
      <w:r>
        <w:rPr>
          <w:rFonts w:ascii="Consolas" w:hAnsi="Consolas"/>
          <w:color w:val="3C3C3C"/>
          <w:sz w:val="19"/>
        </w:rPr>
        <w:t xml:space="preserve">   5.3 Deep 1D Convolutional Neural Networks (1D-CNN)                            11</w:t>
        <w:br/>
      </w:r>
      <w:r>
        <w:rPr>
          <w:rFonts w:ascii="Consolas" w:hAnsi="Consolas"/>
          <w:color w:val="3C3C3C"/>
          <w:sz w:val="19"/>
        </w:rPr>
        <w:t xml:space="preserve">   5.4 Hybrid Sequence Transformers (Transformer-CNN)                            12</w:t>
        <w:br/>
      </w:r>
      <w:r>
        <w:rPr>
          <w:rFonts w:ascii="Consolas" w:hAnsi="Consolas"/>
          <w:b/>
          <w:color w:val="003366"/>
          <w:sz w:val="19"/>
        </w:rPr>
        <w:t>6. Exhaustive Deep-Dive Analysis of the 10 Benchmark Studies                     13</w:t>
        <w:br/>
      </w:r>
      <w:r>
        <w:rPr>
          <w:rFonts w:ascii="Consolas" w:hAnsi="Consolas"/>
          <w:color w:val="3C3C3C"/>
          <w:sz w:val="19"/>
        </w:rPr>
        <w:t xml:space="preserve">   6.1 Base Paper: Cao et al. (MDPI Agronomy, 2024)                              13</w:t>
        <w:br/>
      </w:r>
      <w:r>
        <w:rPr>
          <w:rFonts w:ascii="Consolas" w:hAnsi="Consolas"/>
          <w:color w:val="3C3C3C"/>
          <w:sz w:val="19"/>
        </w:rPr>
        <w:t xml:space="preserve">   6.2 Paper 1: Padarian et al. (Geoderma, 2019) — 1D-CNN Soil Property Benchmark   14</w:t>
        <w:br/>
      </w:r>
      <w:r>
        <w:rPr>
          <w:rFonts w:ascii="Consolas" w:hAnsi="Consolas"/>
          <w:color w:val="3C3C3C"/>
          <w:sz w:val="19"/>
        </w:rPr>
        <w:t xml:space="preserve">   6.3 Paper 2: Ng et al. (Geoderma, 2019) — Multi-Task 1D-CNN for Nutrients     15</w:t>
        <w:br/>
      </w:r>
      <w:r>
        <w:rPr>
          <w:rFonts w:ascii="Consolas" w:hAnsi="Consolas"/>
          <w:color w:val="3C3C3C"/>
          <w:sz w:val="19"/>
        </w:rPr>
        <w:t xml:space="preserve">   6.4 Paper 3: Clark &amp; Roush (JGR, 1984) — Upper Convex Hull Continuum Removal   16</w:t>
        <w:br/>
      </w:r>
      <w:r>
        <w:rPr>
          <w:rFonts w:ascii="Consolas" w:hAnsi="Consolas"/>
          <w:color w:val="3C3C3C"/>
          <w:sz w:val="19"/>
        </w:rPr>
        <w:t xml:space="preserve">   6.5 Paper 4: Zhang, Chen, &amp; Liang (Analyst, 2010) — airPLS Baseline Correction   17</w:t>
        <w:br/>
      </w:r>
      <w:r>
        <w:rPr>
          <w:rFonts w:ascii="Consolas" w:hAnsi="Consolas"/>
          <w:color w:val="3C3C3C"/>
          <w:sz w:val="19"/>
        </w:rPr>
        <w:t xml:space="preserve">   6.6 Paper 5: Minasny et al. (Geoderma, 2011) — Moisture Interference Removal   18</w:t>
        <w:br/>
      </w:r>
      <w:r>
        <w:rPr>
          <w:rFonts w:ascii="Consolas" w:hAnsi="Consolas"/>
          <w:color w:val="3C3C3C"/>
          <w:sz w:val="19"/>
        </w:rPr>
        <w:t xml:space="preserve">   6.7 Paper 6: Orgiazzi et al. (EJSS, 2018) — LUCAS Continental Soil Database   19</w:t>
        <w:br/>
      </w:r>
      <w:r>
        <w:rPr>
          <w:rFonts w:ascii="Consolas" w:hAnsi="Consolas"/>
          <w:color w:val="3C3C3C"/>
          <w:sz w:val="19"/>
        </w:rPr>
        <w:t xml:space="preserve">   6.8 Paper 7: Wadoux, Brus, &amp; Heuvelink (Geoderma, 2021) — Spatial Cross-Validation   20</w:t>
        <w:br/>
      </w:r>
      <w:r>
        <w:rPr>
          <w:rFonts w:ascii="Consolas" w:hAnsi="Consolas"/>
          <w:color w:val="3C3C3C"/>
          <w:sz w:val="19"/>
        </w:rPr>
        <w:t xml:space="preserve">   6.9 Paper 8: Tsakiridis et al. (Geoderma, 2020) — Localized 1D-CNN &amp; Saliency   21</w:t>
        <w:br/>
      </w:r>
      <w:r>
        <w:rPr>
          <w:rFonts w:ascii="Consolas" w:hAnsi="Consolas"/>
          <w:color w:val="3C3C3C"/>
          <w:sz w:val="19"/>
        </w:rPr>
        <w:t xml:space="preserve">   6.10 Paper 9: Angelopoulou et al. (Remote Sensing, 2019) — UAV Hyperspectral Edge   22</w:t>
        <w:br/>
      </w:r>
      <w:r>
        <w:rPr>
          <w:rFonts w:ascii="Consolas" w:hAnsi="Consolas"/>
          <w:b/>
          <w:color w:val="003366"/>
          <w:sz w:val="19"/>
        </w:rPr>
        <w:t>7. Master 10-Study Comparative Taxonomy Matrix (Table 2)                         23</w:t>
        <w:br/>
      </w:r>
      <w:r>
        <w:rPr>
          <w:rFonts w:ascii="Consolas" w:hAnsi="Consolas"/>
          <w:b/>
          <w:color w:val="003366"/>
          <w:sz w:val="19"/>
        </w:rPr>
        <w:t>8. In-Depth Critical Audit of Base Paper (Cao et al., 2024)                      24</w:t>
        <w:br/>
      </w:r>
      <w:r>
        <w:rPr>
          <w:rFonts w:ascii="Consolas" w:hAnsi="Consolas"/>
          <w:color w:val="3C3C3C"/>
          <w:sz w:val="19"/>
        </w:rPr>
        <w:t xml:space="preserve">   8.1 Methodological Strengths                                                  24</w:t>
        <w:br/>
      </w:r>
      <w:r>
        <w:rPr>
          <w:rFonts w:ascii="Consolas" w:hAnsi="Consolas"/>
          <w:color w:val="3C3C3C"/>
          <w:sz w:val="19"/>
        </w:rPr>
        <w:t xml:space="preserve">   8.2 Four Fundamental Architectural Vulnerabilities                            24</w:t>
        <w:br/>
      </w:r>
      <w:r>
        <w:rPr>
          <w:rFonts w:ascii="Consolas" w:hAnsi="Consolas"/>
          <w:color w:val="3C3C3C"/>
          <w:sz w:val="19"/>
        </w:rPr>
        <w:t xml:space="preserve">   8.3 Table 3: Detailed Comparative Audit Matrix                                26</w:t>
        <w:br/>
      </w:r>
      <w:r>
        <w:rPr>
          <w:rFonts w:ascii="Consolas" w:hAnsi="Consolas"/>
          <w:b/>
          <w:color w:val="003366"/>
          <w:sz w:val="19"/>
        </w:rPr>
        <w:t>9. Spatial Autocorrelation &amp; The Geospatial Validation Dilemma                   27</w:t>
        <w:br/>
      </w:r>
      <w:r>
        <w:rPr>
          <w:rFonts w:ascii="Consolas" w:hAnsi="Consolas"/>
          <w:b/>
          <w:color w:val="003366"/>
          <w:sz w:val="19"/>
        </w:rPr>
        <w:t>10. Chemometric Explainability &amp; Saliency Attribution                            28</w:t>
        <w:br/>
      </w:r>
      <w:r>
        <w:rPr>
          <w:rFonts w:ascii="Consolas" w:hAnsi="Consolas"/>
          <w:b/>
          <w:color w:val="003366"/>
          <w:sz w:val="19"/>
        </w:rPr>
        <w:t>11. UAV Edge Payload Constraints &amp; Quantized Deployment                          29</w:t>
        <w:br/>
      </w:r>
      <w:r>
        <w:rPr>
          <w:rFonts w:ascii="Consolas" w:hAnsi="Consolas"/>
          <w:b/>
          <w:color w:val="003366"/>
          <w:sz w:val="19"/>
        </w:rPr>
        <w:t>12. Synthesis of Identified Gaps &amp; Proposed System Architecture                  30</w:t>
        <w:br/>
      </w:r>
      <w:r>
        <w:rPr>
          <w:rFonts w:ascii="Consolas" w:hAnsi="Consolas"/>
          <w:b/>
          <w:color w:val="003366"/>
          <w:sz w:val="19"/>
        </w:rPr>
        <w:t>13. Consolidated Bibliography (Strict 10-Paper Reference List)                   31</w:t>
        <w:br/>
      </w:r>
    </w:p>
    <w:p>
      <w:r>
        <w:br w:type="page"/>
      </w:r>
    </w:p>
    <w:p>
      <w:pPr>
        <w:pStyle w:val="Heading1"/>
      </w:pPr>
      <w:r>
        <w:rPr>
          <w:color w:val="003366"/>
        </w:rPr>
        <w:t>1. Introduction, Problem Formulation, &amp; Survey Scope</w:t>
      </w:r>
    </w:p>
    <w:p>
      <w:r>
        <w:t>Soil fertility diagnostics form the cornerstone of sustainable precision agriculture, food security, and terrestrial carbon sequestration. Among the comprehensive spectrum of edaphic parameters, Soil Organic Carbon (SOC) and the primary macronutrients—Nitrogen (N), Phosphorus (P), and Potassium (K)—serve as the definitive indicators of agronomic productivity, microbial biodiversity, and soil physical structure.</w:t>
      </w:r>
    </w:p>
    <w:p>
      <w:r>
        <w:t>Historically, the quantitative estimation of soil chemical constituents has relied exclusively on classical wet chemistry laboratory methodologies. Quantifying SOC typically mandates Walkley-Black wet oxidation with potassium dichromate or high-temperature automated dry combustion (ISO 10694). Total Nitrogen requires multi-hour sulfuric acid Kjeldahl digestion (ISO 11261). Available Phosphorus is determined via sodium bicarbonate extraction under the Olsen method (ISO 11263) followed by molybdenum blue spectrophotometry, while Extractable Potassium necessitates ammonium acetate extraction (ISO 11260) paired with atomic absorption spectroscopy or flame photometry. While these wet laboratory protocols remain analytical gold standards, their inherent characteristics render them profoundly inadequate for modern precision agriculture:</w:t>
      </w:r>
    </w:p>
    <w:p>
      <w:pPr>
        <w:pStyle w:val="ListBullet"/>
        <w:spacing w:line="276" w:lineRule="auto" w:after="60"/>
      </w:pPr>
      <w:r>
        <w:rPr>
          <w:b/>
          <w:color w:val="003366"/>
        </w:rPr>
        <w:t xml:space="preserve">Destructive &amp; Reagent Heavy: </w:t>
      </w:r>
      <w:r>
        <w:t>Each sample is irreversibly consumed and generates toxic hazardous chemical waste streams including hexavalent chromium, concentrated sulfuric acid, and heavy metal residues.</w:t>
      </w:r>
    </w:p>
    <w:p>
      <w:pPr>
        <w:pStyle w:val="ListBullet"/>
        <w:spacing w:line="276" w:lineRule="auto" w:after="60"/>
      </w:pPr>
      <w:r>
        <w:rPr>
          <w:b/>
          <w:color w:val="003366"/>
        </w:rPr>
        <w:t xml:space="preserve">Prohibitive Turnaround Latency: </w:t>
      </w:r>
      <w:r>
        <w:t>Physical field sampling, air drying, grinding, sieving (&lt; 2 mm), chemical digestion, and extraction demand a minimum turnaround time of 48 to 120 hours per batch.</w:t>
      </w:r>
    </w:p>
    <w:p>
      <w:pPr>
        <w:pStyle w:val="ListBullet"/>
        <w:spacing w:line="276" w:lineRule="auto" w:after="60"/>
      </w:pPr>
      <w:r>
        <w:rPr>
          <w:b/>
          <w:color w:val="003366"/>
        </w:rPr>
        <w:t xml:space="preserve">Exorbitant Cost Overhead: </w:t>
      </w:r>
      <w:r>
        <w:t>Standard commercial soil test panels cost between $35 and $120 per sampling point, economically constraining agricultural producers to sparse grid densities (typically 1 sample per 2.5 to 5.0 hectares).</w:t>
      </w:r>
    </w:p>
    <w:p>
      <w:pPr>
        <w:pStyle w:val="ListBullet"/>
        <w:spacing w:line="276" w:lineRule="auto" w:after="60"/>
      </w:pPr>
      <w:r>
        <w:rPr>
          <w:b/>
          <w:color w:val="003366"/>
        </w:rPr>
        <w:t xml:space="preserve">Severe Spatial Under-Sampling: </w:t>
      </w:r>
      <w:r>
        <w:t>Agricultural soils exhibit profound micro-spatial heterogeneity driven by undulating topography, drainage channels, historical manure applications, and variable parent geology. Sparse sampling yields severe interpolation errors, leading to systemic over-application of synthetic fertilizers, water eutrophication, and greenhouse gas emissions.</w:t>
      </w:r>
    </w:p>
    <w:p>
      <w:r>
        <w:t>To bridge this critical agricultural gap, proximal soil sensing and optical remote sensing—specifically Visible and Near-Infrared (Vis-NIR: 400 – 2500 nm) diffuse reflectance spectroscopy—have emerged as transformative, non-destructive paradigms. By illuminating soil surfaces with polychromatic light and measuring reflected radiant energy across hundreds of narrow spectral bands, diffuse reflectance captures diagnostic overtone and combination vibrations of molecular chemical bonds. When integrated with lightweight unmanned aerial vehicles (UAVs) carrying miniaturized hyperspectral imagers, this optical technique promises real-time, non-destructive, sub-meter spatial mapping of soil fertility across expansive agricultural landscapes.</w:t>
      </w:r>
    </w:p>
    <w:tbl>
      <w:tblPr>
        <w:tblW w:type="auto" w:w="0"/>
        <w:jc w:val="center"/>
        <w:tblLayout w:type="fixed"/>
        <w:tblLook w:firstColumn="1" w:firstRow="1" w:lastColumn="0" w:lastRow="0" w:noHBand="0" w:noVBand="1" w:val="04A0"/>
      </w:tblPr>
      <w:tblGrid>
        <w:gridCol w:w="9360"/>
      </w:tblGrid>
      <w:tr>
        <w:tc>
          <w:tcPr>
            <w:tcW w:type="dxa" w:w="9360"/>
            <w:shd w:fill="F2F6FA"/>
            <w:tcBorders>
              <w:top w:val="none"/>
              <w:left w:val="single" w:sz="36" w:space="0" w:color="003366"/>
              <w:bottom w:val="none"/>
              <w:right w:val="none"/>
            </w:tcBorders>
            <w:tcMar>
              <w:top w:w="140" w:type="dxa"/>
              <w:bottom w:w="140" w:type="dxa"/>
              <w:left w:w="180" w:type="dxa"/>
              <w:right w:w="140" w:type="dxa"/>
            </w:tcMar>
          </w:tcPr>
          <w:p>
            <w:pPr>
              <w:spacing w:before="40" w:after="40" w:line="276" w:lineRule="auto"/>
            </w:pPr>
            <w:r>
              <w:rPr>
                <w:rFonts w:ascii="Calibri" w:hAnsi="Calibri"/>
                <w:b/>
                <w:color w:val="003366"/>
                <w:sz w:val="20"/>
              </w:rPr>
              <w:t>■ SURVEY MANDATE &amp; REFERENCE STRATEGY</w:t>
              <w:br/>
            </w:r>
            <w:r>
              <w:rPr>
                <w:rFonts w:ascii="Calibri" w:hAnsi="Calibri"/>
                <w:i/>
                <w:color w:val="28323C"/>
                <w:sz w:val="20"/>
              </w:rPr>
              <w:t>In strict accordance with project directives, this Literature Survey avoids superficial surveys of dozens of distant papers. Instead, it concentrates exhaustively on a targeted cohort of EXACTLY 10 seminal peer-reviewed studies: our designated Base Benchmark Paper (Cao et al., MDPI Agronomy, 2024, 14(9), 1998) and the top 9 closest foundational investigations. These 9 selected studies represent the absolute technological bedrock of 1D Convolutional Neural Networks on LUCAS, continuum removal physics, airPLS baseline drift correction, soil moisture interference neutralization, spatial cross-validation integrity, chemometric explainability, and UAV edge computing constraints.</w:t>
            </w:r>
          </w:p>
        </w:tc>
      </w:tr>
    </w:tbl>
    <w:p>
      <w:pPr>
        <w:spacing w:before="0" w:after="80"/>
      </w:pPr>
    </w:p>
    <w:p>
      <w:pPr>
        <w:pStyle w:val="Heading1"/>
      </w:pPr>
      <w:r>
        <w:rPr>
          <w:color w:val="003366"/>
        </w:rPr>
        <w:t>2. Soil Diffuse Reflectance Spectroscopy &amp; Molecular Chemometrics</w:t>
      </w:r>
    </w:p>
    <w:p>
      <w:pPr>
        <w:pStyle w:val="Heading2"/>
      </w:pPr>
      <w:r>
        <w:t>2.1 Fundamental Physics of Vis-NIR Reflectance (400 – 2500 nm)</w:t>
      </w:r>
    </w:p>
    <w:p>
      <w:r>
        <w:t>Soil diffuse reflectance spectroscopy measures the radiant flux reflected from an unpolished, particulate soil surface when irradiated by an incident electromagnetic source. Unlike specular (mirror-like) reflection governed strictly by Fresnel's equations at optical boundaries, diffuse reflectance arises from light that penetrates into the soil matrix, undergoes multiple internal refractions and Rayleigh/Mie scatterings across mineral grains, organic matter coats, and microscopic air voids, and re-emerges at the soil-air boundary after experiencing wavelength-dependent photon absorption.</w:t>
      </w:r>
    </w:p>
    <w:p>
      <w:r>
        <w:t>The complete optical spectrum spanning 400 nm to 2500 nm is physically subdivided into three distinct thermodynamic and mechanical regimes:</w:t>
        <w:br/>
        <w:t>1. Visible (Vis) Region (400 – 700 nm): Governed primarily by electronic transitions. Photons in this energy band (1.77 – 3.10 eV) possess sufficient energy to promote outer-shell electrons of transition metal cations (predominantly Fe3+ and Fe2+ in octahedral or tetrahedral coordination) into excited orbital states. Characteristic absorption bands at 450 nm, 700 nm, and 900 nm originate from crystal field splitting in soil iron oxides and oxyhydroxides (hematite, goethite), directly imparting visual redness and yellowness to the soil matrix.</w:t>
        <w:br/>
        <w:t>2. Short-Wave Near-Infrared (SW-NIR) Region (700 – 1100 nm): Characterized by third and fourth vibrational overtones of hydrogenic fundamental bonds (C-H, O-H, N-H). Absorption depths are relatively weak but exhibit strong correlation with overall soil organic matter concentration.</w:t>
        <w:br/>
        <w:t>3. Near-Infrared / Short-Wave Infrared (NIR/SWIR) Region (1100 – 2500 nm): Governed by anharmonic vibrational molecular mechanics. This is the primary diagnostic information zone for chemometric quantification.</w:t>
      </w:r>
    </w:p>
    <w:p>
      <w:pPr>
        <w:pStyle w:val="Heading2"/>
      </w:pPr>
      <w:r>
        <w:t>2.2 Vibrational Transitions, Overtones, &amp; Diagnostic Absorptions</w:t>
      </w:r>
    </w:p>
    <w:p>
      <w:r>
        <w:t>Fundamental molecular vibrations occur in the mid-infrared (MIR: 2500 – 25000 nm / 4000 – 400 cm^-1), where chemical functional groups absorb discrete photons corresponding to fundamental stretching (nu) and bending (delta) quantum transitions. In an ideal harmonic oscillator, selection rules strictly forbid energy level jumps where Delta v &gt; 1. However, real chemical bonds—particularly hydrogenic covalent bonds characterized by low-mass hydrogen atoms attached to electronegative atoms (C-H, O-H, N-H)—exhibit pronounced anharmonicity. The restoring force deviates from Hooke's Law as interatomic distances expand, relaxing quantum selection rules and permitting transitions with Delta v = 2 (first overtones), Delta v = 3 (second overtones), as well as combination bands (nu_i + nu_j) where two distinct vibrational modes are simultaneously excited by a single absorbed photon.</w:t>
      </w:r>
    </w:p>
    <w:p>
      <w:r>
        <w:t>Because of anharmonic damping, overtone transition probabilities decay by roughly one to two orders of magnitude per vibrational quantum number (the first overtone exhibits ~10% the intensity of the fundamental, and the second overtone ~1%). Consequently, diffuse reflectance in the 400 – 2500 nm range yields broad, overlapping, and complex harmonic absorption envelopes rather than sharp, isolated fundamental spikes. Deconvolving these overlapping overtones into accurate quantitative nutrient predictions requires non-linear chemometric modeling.</w:t>
      </w:r>
    </w:p>
    <w:p>
      <w:pPr>
        <w:pStyle w:val="Heading3"/>
      </w:pPr>
      <w:r>
        <w:t>Table 1. Comprehensive Chemometric Wavelength Assignment Matrix for Soil Analytes</w:t>
      </w:r>
    </w:p>
    <w:tbl>
      <w:tblPr>
        <w:tblW w:type="auto" w:w="0"/>
        <w:jc w:val="center"/>
        <w:tblLook w:firstColumn="1" w:firstRow="1" w:lastColumn="0" w:lastRow="0" w:noHBand="0" w:noVBand="1" w:val="04A0"/>
      </w:tblPr>
      <w:tblGrid>
        <w:gridCol w:w="2340"/>
        <w:gridCol w:w="2340"/>
        <w:gridCol w:w="2340"/>
        <w:gridCol w:w="2340"/>
      </w:tblGrid>
      <w:tr>
        <w:tc>
          <w:tcPr>
            <w:tcW w:type="dxa" w:w="1584"/>
            <w:shd w:fill="003366"/>
            <w:tcMar>
              <w:top w:w="70" w:type="dxa"/>
              <w:bottom w:w="70" w:type="dxa"/>
              <w:left w:w="100" w:type="dxa"/>
              <w:right w:w="100" w:type="dxa"/>
            </w:tcMar>
          </w:tcPr>
          <w:p>
            <w:pPr>
              <w:spacing w:before="40" w:after="40" w:line="252" w:lineRule="auto"/>
            </w:pPr>
            <w:r>
              <w:rPr>
                <w:rFonts w:ascii="Calibri" w:hAnsi="Calibri"/>
                <w:b/>
                <w:color w:val="FFFFFF"/>
                <w:sz w:val="19"/>
              </w:rPr>
              <w:t>Wavelength (nm)</w:t>
            </w:r>
          </w:p>
        </w:tc>
        <w:tc>
          <w:tcPr>
            <w:tcW w:type="dxa" w:w="2160"/>
            <w:shd w:fill="003366"/>
            <w:tcMar>
              <w:top w:w="70" w:type="dxa"/>
              <w:bottom w:w="70" w:type="dxa"/>
              <w:left w:w="100" w:type="dxa"/>
              <w:right w:w="100" w:type="dxa"/>
            </w:tcMar>
          </w:tcPr>
          <w:p>
            <w:pPr>
              <w:spacing w:before="40" w:after="40" w:line="252" w:lineRule="auto"/>
            </w:pPr>
            <w:r>
              <w:rPr>
                <w:rFonts w:ascii="Calibri" w:hAnsi="Calibri"/>
                <w:b/>
                <w:color w:val="FFFFFF"/>
                <w:sz w:val="19"/>
              </w:rPr>
              <w:t>Target Soil Analyte</w:t>
            </w:r>
          </w:p>
        </w:tc>
        <w:tc>
          <w:tcPr>
            <w:tcW w:type="dxa" w:w="2592"/>
            <w:shd w:fill="003366"/>
            <w:tcMar>
              <w:top w:w="70" w:type="dxa"/>
              <w:bottom w:w="70" w:type="dxa"/>
              <w:left w:w="100" w:type="dxa"/>
              <w:right w:w="100" w:type="dxa"/>
            </w:tcMar>
          </w:tcPr>
          <w:p>
            <w:pPr>
              <w:spacing w:before="40" w:after="40" w:line="252" w:lineRule="auto"/>
            </w:pPr>
            <w:r>
              <w:rPr>
                <w:rFonts w:ascii="Calibri" w:hAnsi="Calibri"/>
                <w:b/>
                <w:color w:val="FFFFFF"/>
                <w:sz w:val="19"/>
              </w:rPr>
              <w:t>Molecular Bond &amp; Mode</w:t>
            </w:r>
          </w:p>
        </w:tc>
        <w:tc>
          <w:tcPr>
            <w:tcW w:type="dxa" w:w="3024"/>
            <w:shd w:fill="003366"/>
            <w:tcMar>
              <w:top w:w="70" w:type="dxa"/>
              <w:bottom w:w="70" w:type="dxa"/>
              <w:left w:w="100" w:type="dxa"/>
              <w:right w:w="100" w:type="dxa"/>
            </w:tcMar>
          </w:tcPr>
          <w:p>
            <w:pPr>
              <w:spacing w:before="40" w:after="40" w:line="252" w:lineRule="auto"/>
            </w:pPr>
            <w:r>
              <w:rPr>
                <w:rFonts w:ascii="Calibri" w:hAnsi="Calibri"/>
                <w:b/>
                <w:color w:val="FFFFFF"/>
                <w:sz w:val="19"/>
              </w:rPr>
              <w:t>Chemometric &amp; Spectroscopic Significance</w:t>
            </w:r>
          </w:p>
        </w:tc>
      </w:tr>
      <w:tr>
        <w:tc>
          <w:tcPr>
            <w:tcW w:type="dxa" w:w="1584"/>
            <w:shd w:fill="F9FBFD"/>
            <w:tcMar>
              <w:top w:w="70" w:type="dxa"/>
              <w:bottom w:w="70" w:type="dxa"/>
              <w:left w:w="100" w:type="dxa"/>
              <w:right w:w="100" w:type="dxa"/>
            </w:tcMar>
          </w:tcPr>
          <w:p>
            <w:pPr>
              <w:spacing w:before="40" w:after="40" w:line="252" w:lineRule="auto"/>
            </w:pPr>
            <w:r>
              <w:rPr>
                <w:rFonts w:ascii="Calibri" w:hAnsi="Calibri"/>
                <w:sz w:val="17"/>
              </w:rPr>
              <w:t>450 – 550</w:t>
            </w:r>
          </w:p>
        </w:tc>
        <w:tc>
          <w:tcPr>
            <w:tcW w:type="dxa" w:w="2160"/>
            <w:shd w:fill="F9FBFD"/>
            <w:tcMar>
              <w:top w:w="70" w:type="dxa"/>
              <w:bottom w:w="70" w:type="dxa"/>
              <w:left w:w="100" w:type="dxa"/>
              <w:right w:w="100" w:type="dxa"/>
            </w:tcMar>
          </w:tcPr>
          <w:p>
            <w:pPr>
              <w:spacing w:before="40" w:after="40" w:line="252" w:lineRule="auto"/>
            </w:pPr>
            <w:r>
              <w:rPr>
                <w:rFonts w:ascii="Calibri" w:hAnsi="Calibri"/>
                <w:sz w:val="17"/>
              </w:rPr>
              <w:t>SOC / Fe-Oxides</w:t>
            </w:r>
          </w:p>
        </w:tc>
        <w:tc>
          <w:tcPr>
            <w:tcW w:type="dxa" w:w="2592"/>
            <w:shd w:fill="F9FBFD"/>
            <w:tcMar>
              <w:top w:w="70" w:type="dxa"/>
              <w:bottom w:w="70" w:type="dxa"/>
              <w:left w:w="100" w:type="dxa"/>
              <w:right w:w="100" w:type="dxa"/>
            </w:tcMar>
          </w:tcPr>
          <w:p>
            <w:pPr>
              <w:spacing w:before="40" w:after="40" w:line="252" w:lineRule="auto"/>
            </w:pPr>
            <w:r>
              <w:rPr>
                <w:rFonts w:ascii="Calibri" w:hAnsi="Calibri"/>
                <w:sz w:val="17"/>
              </w:rPr>
              <w:t>Crystal Field Transition</w:t>
            </w:r>
          </w:p>
        </w:tc>
        <w:tc>
          <w:tcPr>
            <w:tcW w:type="dxa" w:w="3024"/>
            <w:shd w:fill="F9FBFD"/>
            <w:tcMar>
              <w:top w:w="70" w:type="dxa"/>
              <w:bottom w:w="70" w:type="dxa"/>
              <w:left w:w="100" w:type="dxa"/>
              <w:right w:w="100" w:type="dxa"/>
            </w:tcMar>
          </w:tcPr>
          <w:p>
            <w:pPr>
              <w:spacing w:before="40" w:after="40" w:line="252" w:lineRule="auto"/>
            </w:pPr>
            <w:r>
              <w:rPr>
                <w:rFonts w:ascii="Calibri" w:hAnsi="Calibri"/>
                <w:sz w:val="17"/>
              </w:rPr>
              <w:t>Electron excitation in iron oxides (hematite/goethite); background organic darkening</w:t>
            </w:r>
          </w:p>
        </w:tc>
      </w:tr>
      <w:tr>
        <w:tc>
          <w:tcPr>
            <w:tcW w:type="dxa" w:w="1584"/>
            <w:shd w:fill="FFFFFF"/>
            <w:tcMar>
              <w:top w:w="70" w:type="dxa"/>
              <w:bottom w:w="70" w:type="dxa"/>
              <w:left w:w="100" w:type="dxa"/>
              <w:right w:w="100" w:type="dxa"/>
            </w:tcMar>
          </w:tcPr>
          <w:p>
            <w:pPr>
              <w:spacing w:before="40" w:after="40" w:line="252" w:lineRule="auto"/>
            </w:pPr>
            <w:r>
              <w:rPr>
                <w:rFonts w:ascii="Calibri" w:hAnsi="Calibri"/>
                <w:sz w:val="17"/>
              </w:rPr>
              <w:t>1395 – 1415</w:t>
            </w:r>
          </w:p>
        </w:tc>
        <w:tc>
          <w:tcPr>
            <w:tcW w:type="dxa" w:w="2160"/>
            <w:shd w:fill="FFFFFF"/>
            <w:tcMar>
              <w:top w:w="70" w:type="dxa"/>
              <w:bottom w:w="70" w:type="dxa"/>
              <w:left w:w="100" w:type="dxa"/>
              <w:right w:w="100" w:type="dxa"/>
            </w:tcMar>
          </w:tcPr>
          <w:p>
            <w:pPr>
              <w:spacing w:before="40" w:after="40" w:line="252" w:lineRule="auto"/>
            </w:pPr>
            <w:r>
              <w:rPr>
                <w:rFonts w:ascii="Calibri" w:hAnsi="Calibri"/>
                <w:sz w:val="17"/>
              </w:rPr>
              <w:t>Soil Moisture / Kaolinite</w:t>
            </w:r>
          </w:p>
        </w:tc>
        <w:tc>
          <w:tcPr>
            <w:tcW w:type="dxa" w:w="2592"/>
            <w:shd w:fill="FFFFFF"/>
            <w:tcMar>
              <w:top w:w="70" w:type="dxa"/>
              <w:bottom w:w="70" w:type="dxa"/>
              <w:left w:w="100" w:type="dxa"/>
              <w:right w:w="100" w:type="dxa"/>
            </w:tcMar>
          </w:tcPr>
          <w:p>
            <w:pPr>
              <w:spacing w:before="40" w:after="40" w:line="252" w:lineRule="auto"/>
            </w:pPr>
            <w:r>
              <w:rPr>
                <w:rFonts w:ascii="Calibri" w:hAnsi="Calibri"/>
                <w:sz w:val="17"/>
              </w:rPr>
              <w:t>O-H Stretching First Overtone (2nu1, 2nu3)</w:t>
            </w:r>
          </w:p>
        </w:tc>
        <w:tc>
          <w:tcPr>
            <w:tcW w:type="dxa" w:w="3024"/>
            <w:shd w:fill="FFFFFF"/>
            <w:tcMar>
              <w:top w:w="70" w:type="dxa"/>
              <w:bottom w:w="70" w:type="dxa"/>
              <w:left w:w="100" w:type="dxa"/>
              <w:right w:w="100" w:type="dxa"/>
            </w:tcMar>
          </w:tcPr>
          <w:p>
            <w:pPr>
              <w:spacing w:before="40" w:after="40" w:line="252" w:lineRule="auto"/>
            </w:pPr>
            <w:r>
              <w:rPr>
                <w:rFonts w:ascii="Calibri" w:hAnsi="Calibri"/>
                <w:sz w:val="17"/>
              </w:rPr>
              <w:t>Intense liquid water absorption; Al-OH doublet in crystalline clay minerals</w:t>
            </w:r>
          </w:p>
        </w:tc>
      </w:tr>
      <w:tr>
        <w:tc>
          <w:tcPr>
            <w:tcW w:type="dxa" w:w="1584"/>
            <w:shd w:fill="F9FBFD"/>
            <w:tcMar>
              <w:top w:w="70" w:type="dxa"/>
              <w:bottom w:w="70" w:type="dxa"/>
              <w:left w:w="100" w:type="dxa"/>
              <w:right w:w="100" w:type="dxa"/>
            </w:tcMar>
          </w:tcPr>
          <w:p>
            <w:pPr>
              <w:spacing w:before="40" w:after="40" w:line="252" w:lineRule="auto"/>
            </w:pPr>
            <w:r>
              <w:rPr>
                <w:rFonts w:ascii="Calibri" w:hAnsi="Calibri"/>
                <w:sz w:val="17"/>
              </w:rPr>
              <w:t>1450 – 1460</w:t>
            </w:r>
          </w:p>
        </w:tc>
        <w:tc>
          <w:tcPr>
            <w:tcW w:type="dxa" w:w="2160"/>
            <w:shd w:fill="F9FBFD"/>
            <w:tcMar>
              <w:top w:w="70" w:type="dxa"/>
              <w:bottom w:w="70" w:type="dxa"/>
              <w:left w:w="100" w:type="dxa"/>
              <w:right w:w="100" w:type="dxa"/>
            </w:tcMar>
          </w:tcPr>
          <w:p>
            <w:pPr>
              <w:spacing w:before="40" w:after="40" w:line="252" w:lineRule="auto"/>
            </w:pPr>
            <w:r>
              <w:rPr>
                <w:rFonts w:ascii="Calibri" w:hAnsi="Calibri"/>
                <w:sz w:val="17"/>
              </w:rPr>
              <w:t>Total Nitrogen (N)</w:t>
            </w:r>
          </w:p>
        </w:tc>
        <w:tc>
          <w:tcPr>
            <w:tcW w:type="dxa" w:w="2592"/>
            <w:shd w:fill="F9FBFD"/>
            <w:tcMar>
              <w:top w:w="70" w:type="dxa"/>
              <w:bottom w:w="70" w:type="dxa"/>
              <w:left w:w="100" w:type="dxa"/>
              <w:right w:w="100" w:type="dxa"/>
            </w:tcMar>
          </w:tcPr>
          <w:p>
            <w:pPr>
              <w:spacing w:before="40" w:after="40" w:line="252" w:lineRule="auto"/>
            </w:pPr>
            <w:r>
              <w:rPr>
                <w:rFonts w:ascii="Calibri" w:hAnsi="Calibri"/>
                <w:sz w:val="17"/>
              </w:rPr>
              <w:t>N-H Stretching First Overtone</w:t>
            </w:r>
          </w:p>
        </w:tc>
        <w:tc>
          <w:tcPr>
            <w:tcW w:type="dxa" w:w="3024"/>
            <w:shd w:fill="F9FBFD"/>
            <w:tcMar>
              <w:top w:w="70" w:type="dxa"/>
              <w:bottom w:w="70" w:type="dxa"/>
              <w:left w:w="100" w:type="dxa"/>
              <w:right w:w="100" w:type="dxa"/>
            </w:tcMar>
          </w:tcPr>
          <w:p>
            <w:pPr>
              <w:spacing w:before="40" w:after="40" w:line="252" w:lineRule="auto"/>
            </w:pPr>
            <w:r>
              <w:rPr>
                <w:rFonts w:ascii="Calibri" w:hAnsi="Calibri"/>
                <w:sz w:val="17"/>
              </w:rPr>
              <w:t>Proteinaceous amide structures; organic nitrogen fraction in decaying plant matter</w:t>
            </w:r>
          </w:p>
        </w:tc>
      </w:tr>
      <w:tr>
        <w:tc>
          <w:tcPr>
            <w:tcW w:type="dxa" w:w="1584"/>
            <w:shd w:fill="FFFFFF"/>
            <w:tcMar>
              <w:top w:w="70" w:type="dxa"/>
              <w:bottom w:w="70" w:type="dxa"/>
              <w:left w:w="100" w:type="dxa"/>
              <w:right w:w="100" w:type="dxa"/>
            </w:tcMar>
          </w:tcPr>
          <w:p>
            <w:pPr>
              <w:spacing w:before="40" w:after="40" w:line="252" w:lineRule="auto"/>
            </w:pPr>
            <w:r>
              <w:rPr>
                <w:rFonts w:ascii="Calibri" w:hAnsi="Calibri"/>
                <w:sz w:val="17"/>
              </w:rPr>
              <w:t>1650 – 1730</w:t>
            </w:r>
          </w:p>
        </w:tc>
        <w:tc>
          <w:tcPr>
            <w:tcW w:type="dxa" w:w="2160"/>
            <w:shd w:fill="FFFFFF"/>
            <w:tcMar>
              <w:top w:w="70" w:type="dxa"/>
              <w:bottom w:w="70" w:type="dxa"/>
              <w:left w:w="100" w:type="dxa"/>
              <w:right w:w="100" w:type="dxa"/>
            </w:tcMar>
          </w:tcPr>
          <w:p>
            <w:pPr>
              <w:spacing w:before="40" w:after="40" w:line="252" w:lineRule="auto"/>
            </w:pPr>
            <w:r>
              <w:rPr>
                <w:rFonts w:ascii="Calibri" w:hAnsi="Calibri"/>
                <w:sz w:val="17"/>
              </w:rPr>
              <w:t>Soil Organic Carbon (SOC)</w:t>
            </w:r>
          </w:p>
        </w:tc>
        <w:tc>
          <w:tcPr>
            <w:tcW w:type="dxa" w:w="2592"/>
            <w:shd w:fill="FFFFFF"/>
            <w:tcMar>
              <w:top w:w="70" w:type="dxa"/>
              <w:bottom w:w="70" w:type="dxa"/>
              <w:left w:w="100" w:type="dxa"/>
              <w:right w:w="100" w:type="dxa"/>
            </w:tcMar>
          </w:tcPr>
          <w:p>
            <w:pPr>
              <w:spacing w:before="40" w:after="40" w:line="252" w:lineRule="auto"/>
            </w:pPr>
            <w:r>
              <w:rPr>
                <w:rFonts w:ascii="Calibri" w:hAnsi="Calibri"/>
                <w:sz w:val="17"/>
              </w:rPr>
              <w:t>C-H Methyl/Methylene Stretch (2nu_CH)</w:t>
            </w:r>
          </w:p>
        </w:tc>
        <w:tc>
          <w:tcPr>
            <w:tcW w:type="dxa" w:w="3024"/>
            <w:shd w:fill="FFFFFF"/>
            <w:tcMar>
              <w:top w:w="70" w:type="dxa"/>
              <w:bottom w:w="70" w:type="dxa"/>
              <w:left w:w="100" w:type="dxa"/>
              <w:right w:w="100" w:type="dxa"/>
            </w:tcMar>
          </w:tcPr>
          <w:p>
            <w:pPr>
              <w:spacing w:before="40" w:after="40" w:line="252" w:lineRule="auto"/>
            </w:pPr>
            <w:r>
              <w:rPr>
                <w:rFonts w:ascii="Calibri" w:hAnsi="Calibri"/>
                <w:sz w:val="17"/>
              </w:rPr>
              <w:t>Aliphatic hydrocarbons, humic acids, lipid components; core diagnostic SOC peak</w:t>
            </w:r>
          </w:p>
        </w:tc>
      </w:tr>
      <w:tr>
        <w:tc>
          <w:tcPr>
            <w:tcW w:type="dxa" w:w="1584"/>
            <w:shd w:fill="F9FBFD"/>
            <w:tcMar>
              <w:top w:w="70" w:type="dxa"/>
              <w:bottom w:w="70" w:type="dxa"/>
              <w:left w:w="100" w:type="dxa"/>
              <w:right w:w="100" w:type="dxa"/>
            </w:tcMar>
          </w:tcPr>
          <w:p>
            <w:pPr>
              <w:spacing w:before="40" w:after="40" w:line="252" w:lineRule="auto"/>
            </w:pPr>
            <w:r>
              <w:rPr>
                <w:rFonts w:ascii="Calibri" w:hAnsi="Calibri"/>
                <w:sz w:val="17"/>
              </w:rPr>
              <w:t>1915 – 1940</w:t>
            </w:r>
          </w:p>
        </w:tc>
        <w:tc>
          <w:tcPr>
            <w:tcW w:type="dxa" w:w="2160"/>
            <w:shd w:fill="F9FBFD"/>
            <w:tcMar>
              <w:top w:w="70" w:type="dxa"/>
              <w:bottom w:w="70" w:type="dxa"/>
              <w:left w:w="100" w:type="dxa"/>
              <w:right w:w="100" w:type="dxa"/>
            </w:tcMar>
          </w:tcPr>
          <w:p>
            <w:pPr>
              <w:spacing w:before="40" w:after="40" w:line="252" w:lineRule="auto"/>
            </w:pPr>
            <w:r>
              <w:rPr>
                <w:rFonts w:ascii="Calibri" w:hAnsi="Calibri"/>
                <w:sz w:val="17"/>
              </w:rPr>
              <w:t>Free Water / Moisture</w:t>
            </w:r>
          </w:p>
        </w:tc>
        <w:tc>
          <w:tcPr>
            <w:tcW w:type="dxa" w:w="2592"/>
            <w:shd w:fill="F9FBFD"/>
            <w:tcMar>
              <w:top w:w="70" w:type="dxa"/>
              <w:bottom w:w="70" w:type="dxa"/>
              <w:left w:w="100" w:type="dxa"/>
              <w:right w:w="100" w:type="dxa"/>
            </w:tcMar>
          </w:tcPr>
          <w:p>
            <w:pPr>
              <w:spacing w:before="40" w:after="40" w:line="252" w:lineRule="auto"/>
            </w:pPr>
            <w:r>
              <w:rPr>
                <w:rFonts w:ascii="Calibri" w:hAnsi="Calibri"/>
                <w:sz w:val="17"/>
              </w:rPr>
              <w:t>H-O-H Bending + O-H Stretch (nu2 + nu3)</w:t>
            </w:r>
          </w:p>
        </w:tc>
        <w:tc>
          <w:tcPr>
            <w:tcW w:type="dxa" w:w="3024"/>
            <w:shd w:fill="F9FBFD"/>
            <w:tcMar>
              <w:top w:w="70" w:type="dxa"/>
              <w:bottom w:w="70" w:type="dxa"/>
              <w:left w:w="100" w:type="dxa"/>
              <w:right w:w="100" w:type="dxa"/>
            </w:tcMar>
          </w:tcPr>
          <w:p>
            <w:pPr>
              <w:spacing w:before="40" w:after="40" w:line="252" w:lineRule="auto"/>
            </w:pPr>
            <w:r>
              <w:rPr>
                <w:rFonts w:ascii="Calibri" w:hAnsi="Calibri"/>
                <w:sz w:val="17"/>
              </w:rPr>
              <w:t>Massive water absorption trough; completely dominates uncalibrated field spectra</w:t>
            </w:r>
          </w:p>
        </w:tc>
      </w:tr>
      <w:tr>
        <w:tc>
          <w:tcPr>
            <w:tcW w:type="dxa" w:w="1584"/>
            <w:shd w:fill="FFFFFF"/>
            <w:tcMar>
              <w:top w:w="70" w:type="dxa"/>
              <w:bottom w:w="70" w:type="dxa"/>
              <w:left w:w="100" w:type="dxa"/>
              <w:right w:w="100" w:type="dxa"/>
            </w:tcMar>
          </w:tcPr>
          <w:p>
            <w:pPr>
              <w:spacing w:before="40" w:after="40" w:line="252" w:lineRule="auto"/>
            </w:pPr>
            <w:r>
              <w:rPr>
                <w:rFonts w:ascii="Calibri" w:hAnsi="Calibri"/>
                <w:sz w:val="17"/>
              </w:rPr>
              <w:t>2050 – 2150</w:t>
            </w:r>
          </w:p>
        </w:tc>
        <w:tc>
          <w:tcPr>
            <w:tcW w:type="dxa" w:w="2160"/>
            <w:shd w:fill="FFFFFF"/>
            <w:tcMar>
              <w:top w:w="70" w:type="dxa"/>
              <w:bottom w:w="70" w:type="dxa"/>
              <w:left w:w="100" w:type="dxa"/>
              <w:right w:w="100" w:type="dxa"/>
            </w:tcMar>
          </w:tcPr>
          <w:p>
            <w:pPr>
              <w:spacing w:before="40" w:after="40" w:line="252" w:lineRule="auto"/>
            </w:pPr>
            <w:r>
              <w:rPr>
                <w:rFonts w:ascii="Calibri" w:hAnsi="Calibri"/>
                <w:sz w:val="17"/>
              </w:rPr>
              <w:t>Total Nitrogen (N)</w:t>
            </w:r>
          </w:p>
        </w:tc>
        <w:tc>
          <w:tcPr>
            <w:tcW w:type="dxa" w:w="2592"/>
            <w:shd w:fill="FFFFFF"/>
            <w:tcMar>
              <w:top w:w="70" w:type="dxa"/>
              <w:bottom w:w="70" w:type="dxa"/>
              <w:left w:w="100" w:type="dxa"/>
              <w:right w:w="100" w:type="dxa"/>
            </w:tcMar>
          </w:tcPr>
          <w:p>
            <w:pPr>
              <w:spacing w:before="40" w:after="40" w:line="252" w:lineRule="auto"/>
            </w:pPr>
            <w:r>
              <w:rPr>
                <w:rFonts w:ascii="Calibri" w:hAnsi="Calibri"/>
                <w:sz w:val="17"/>
              </w:rPr>
              <w:t>N-H Bend + C-N Stretch Combinations</w:t>
            </w:r>
          </w:p>
        </w:tc>
        <w:tc>
          <w:tcPr>
            <w:tcW w:type="dxa" w:w="3024"/>
            <w:shd w:fill="FFFFFF"/>
            <w:tcMar>
              <w:top w:w="70" w:type="dxa"/>
              <w:bottom w:w="70" w:type="dxa"/>
              <w:left w:w="100" w:type="dxa"/>
              <w:right w:w="100" w:type="dxa"/>
            </w:tcMar>
          </w:tcPr>
          <w:p>
            <w:pPr>
              <w:spacing w:before="40" w:after="40" w:line="252" w:lineRule="auto"/>
            </w:pPr>
            <w:r>
              <w:rPr>
                <w:rFonts w:ascii="Calibri" w:hAnsi="Calibri"/>
                <w:sz w:val="17"/>
              </w:rPr>
              <w:t>Amide II and peptide bonds; primary functional groups in soil amino acids</w:t>
            </w:r>
          </w:p>
        </w:tc>
      </w:tr>
      <w:tr>
        <w:tc>
          <w:tcPr>
            <w:tcW w:type="dxa" w:w="1584"/>
            <w:shd w:fill="F9FBFD"/>
            <w:tcMar>
              <w:top w:w="70" w:type="dxa"/>
              <w:bottom w:w="70" w:type="dxa"/>
              <w:left w:w="100" w:type="dxa"/>
              <w:right w:w="100" w:type="dxa"/>
            </w:tcMar>
          </w:tcPr>
          <w:p>
            <w:pPr>
              <w:spacing w:before="40" w:after="40" w:line="252" w:lineRule="auto"/>
            </w:pPr>
            <w:r>
              <w:rPr>
                <w:rFonts w:ascii="Calibri" w:hAnsi="Calibri"/>
                <w:sz w:val="17"/>
              </w:rPr>
              <w:t>2200 – 2215</w:t>
            </w:r>
          </w:p>
        </w:tc>
        <w:tc>
          <w:tcPr>
            <w:tcW w:type="dxa" w:w="2160"/>
            <w:shd w:fill="F9FBFD"/>
            <w:tcMar>
              <w:top w:w="70" w:type="dxa"/>
              <w:bottom w:w="70" w:type="dxa"/>
              <w:left w:w="100" w:type="dxa"/>
              <w:right w:w="100" w:type="dxa"/>
            </w:tcMar>
          </w:tcPr>
          <w:p>
            <w:pPr>
              <w:spacing w:before="40" w:after="40" w:line="252" w:lineRule="auto"/>
            </w:pPr>
            <w:r>
              <w:rPr>
                <w:rFonts w:ascii="Calibri" w:hAnsi="Calibri"/>
                <w:sz w:val="17"/>
              </w:rPr>
              <w:t>Available P / Clay Lattice</w:t>
            </w:r>
          </w:p>
        </w:tc>
        <w:tc>
          <w:tcPr>
            <w:tcW w:type="dxa" w:w="2592"/>
            <w:shd w:fill="F9FBFD"/>
            <w:tcMar>
              <w:top w:w="70" w:type="dxa"/>
              <w:bottom w:w="70" w:type="dxa"/>
              <w:left w:w="100" w:type="dxa"/>
              <w:right w:w="100" w:type="dxa"/>
            </w:tcMar>
          </w:tcPr>
          <w:p>
            <w:pPr>
              <w:spacing w:before="40" w:after="40" w:line="252" w:lineRule="auto"/>
            </w:pPr>
            <w:r>
              <w:rPr>
                <w:rFonts w:ascii="Calibri" w:hAnsi="Calibri"/>
                <w:sz w:val="17"/>
              </w:rPr>
              <w:t>Al-OH Metal-OH Bending + Stretching</w:t>
            </w:r>
          </w:p>
        </w:tc>
        <w:tc>
          <w:tcPr>
            <w:tcW w:type="dxa" w:w="3024"/>
            <w:shd w:fill="F9FBFD"/>
            <w:tcMar>
              <w:top w:w="70" w:type="dxa"/>
              <w:bottom w:w="70" w:type="dxa"/>
              <w:left w:w="100" w:type="dxa"/>
              <w:right w:w="100" w:type="dxa"/>
            </w:tcMar>
          </w:tcPr>
          <w:p>
            <w:pPr>
              <w:spacing w:before="40" w:after="40" w:line="252" w:lineRule="auto"/>
            </w:pPr>
            <w:r>
              <w:rPr>
                <w:rFonts w:ascii="Calibri" w:hAnsi="Calibri"/>
                <w:sz w:val="17"/>
              </w:rPr>
              <w:t>Illite, smectite, kaolinite; structural binding site for adsorbed orthophosphate</w:t>
            </w:r>
          </w:p>
        </w:tc>
      </w:tr>
      <w:tr>
        <w:tc>
          <w:tcPr>
            <w:tcW w:type="dxa" w:w="1584"/>
            <w:shd w:fill="FFFFFF"/>
            <w:tcMar>
              <w:top w:w="70" w:type="dxa"/>
              <w:bottom w:w="70" w:type="dxa"/>
              <w:left w:w="100" w:type="dxa"/>
              <w:right w:w="100" w:type="dxa"/>
            </w:tcMar>
          </w:tcPr>
          <w:p>
            <w:pPr>
              <w:spacing w:before="40" w:after="40" w:line="252" w:lineRule="auto"/>
            </w:pPr>
            <w:r>
              <w:rPr>
                <w:rFonts w:ascii="Calibri" w:hAnsi="Calibri"/>
                <w:sz w:val="17"/>
              </w:rPr>
              <w:t>2250 – 2300</w:t>
            </w:r>
          </w:p>
        </w:tc>
        <w:tc>
          <w:tcPr>
            <w:tcW w:type="dxa" w:w="2160"/>
            <w:shd w:fill="FFFFFF"/>
            <w:tcMar>
              <w:top w:w="70" w:type="dxa"/>
              <w:bottom w:w="70" w:type="dxa"/>
              <w:left w:w="100" w:type="dxa"/>
              <w:right w:w="100" w:type="dxa"/>
            </w:tcMar>
          </w:tcPr>
          <w:p>
            <w:pPr>
              <w:spacing w:before="40" w:after="40" w:line="252" w:lineRule="auto"/>
            </w:pPr>
            <w:r>
              <w:rPr>
                <w:rFonts w:ascii="Calibri" w:hAnsi="Calibri"/>
                <w:sz w:val="17"/>
              </w:rPr>
              <w:t>Soil Organic Carbon (SOC)</w:t>
            </w:r>
          </w:p>
        </w:tc>
        <w:tc>
          <w:tcPr>
            <w:tcW w:type="dxa" w:w="2592"/>
            <w:shd w:fill="FFFFFF"/>
            <w:tcMar>
              <w:top w:w="70" w:type="dxa"/>
              <w:bottom w:w="70" w:type="dxa"/>
              <w:left w:w="100" w:type="dxa"/>
              <w:right w:w="100" w:type="dxa"/>
            </w:tcMar>
          </w:tcPr>
          <w:p>
            <w:pPr>
              <w:spacing w:before="40" w:after="40" w:line="252" w:lineRule="auto"/>
            </w:pPr>
            <w:r>
              <w:rPr>
                <w:rFonts w:ascii="Calibri" w:hAnsi="Calibri"/>
                <w:sz w:val="17"/>
              </w:rPr>
              <w:t>C-H + C-C / C=O Stretch Combinations</w:t>
            </w:r>
          </w:p>
        </w:tc>
        <w:tc>
          <w:tcPr>
            <w:tcW w:type="dxa" w:w="3024"/>
            <w:shd w:fill="FFFFFF"/>
            <w:tcMar>
              <w:top w:w="70" w:type="dxa"/>
              <w:bottom w:w="70" w:type="dxa"/>
              <w:left w:w="100" w:type="dxa"/>
              <w:right w:w="100" w:type="dxa"/>
            </w:tcMar>
          </w:tcPr>
          <w:p>
            <w:pPr>
              <w:spacing w:before="40" w:after="40" w:line="252" w:lineRule="auto"/>
            </w:pPr>
            <w:r>
              <w:rPr>
                <w:rFonts w:ascii="Calibri" w:hAnsi="Calibri"/>
                <w:sz w:val="17"/>
              </w:rPr>
              <w:t>Lignin, cellulose, complex aromatic rings, humified recalcitrant carbon fractions</w:t>
            </w:r>
          </w:p>
        </w:tc>
      </w:tr>
      <w:tr>
        <w:tc>
          <w:tcPr>
            <w:tcW w:type="dxa" w:w="1584"/>
            <w:shd w:fill="F9FBFD"/>
            <w:tcMar>
              <w:top w:w="70" w:type="dxa"/>
              <w:bottom w:w="70" w:type="dxa"/>
              <w:left w:w="100" w:type="dxa"/>
              <w:right w:w="100" w:type="dxa"/>
            </w:tcMar>
          </w:tcPr>
          <w:p>
            <w:pPr>
              <w:spacing w:before="40" w:after="40" w:line="252" w:lineRule="auto"/>
            </w:pPr>
            <w:r>
              <w:rPr>
                <w:rFonts w:ascii="Calibri" w:hAnsi="Calibri"/>
                <w:sz w:val="17"/>
              </w:rPr>
              <w:t>2300 – 2320</w:t>
            </w:r>
          </w:p>
        </w:tc>
        <w:tc>
          <w:tcPr>
            <w:tcW w:type="dxa" w:w="2160"/>
            <w:shd w:fill="F9FBFD"/>
            <w:tcMar>
              <w:top w:w="70" w:type="dxa"/>
              <w:bottom w:w="70" w:type="dxa"/>
              <w:left w:w="100" w:type="dxa"/>
              <w:right w:w="100" w:type="dxa"/>
            </w:tcMar>
          </w:tcPr>
          <w:p>
            <w:pPr>
              <w:spacing w:before="40" w:after="40" w:line="252" w:lineRule="auto"/>
            </w:pPr>
            <w:r>
              <w:rPr>
                <w:rFonts w:ascii="Calibri" w:hAnsi="Calibri"/>
                <w:sz w:val="17"/>
              </w:rPr>
              <w:t>Soil Organic Carbon / N</w:t>
            </w:r>
          </w:p>
        </w:tc>
        <w:tc>
          <w:tcPr>
            <w:tcW w:type="dxa" w:w="2592"/>
            <w:shd w:fill="F9FBFD"/>
            <w:tcMar>
              <w:top w:w="70" w:type="dxa"/>
              <w:bottom w:w="70" w:type="dxa"/>
              <w:left w:w="100" w:type="dxa"/>
              <w:right w:w="100" w:type="dxa"/>
            </w:tcMar>
          </w:tcPr>
          <w:p>
            <w:pPr>
              <w:spacing w:before="40" w:after="40" w:line="252" w:lineRule="auto"/>
            </w:pPr>
            <w:r>
              <w:rPr>
                <w:rFonts w:ascii="Calibri" w:hAnsi="Calibri"/>
                <w:sz w:val="17"/>
              </w:rPr>
              <w:t>C-H Bend + C-H Stretch Combinations</w:t>
            </w:r>
          </w:p>
        </w:tc>
        <w:tc>
          <w:tcPr>
            <w:tcW w:type="dxa" w:w="3024"/>
            <w:shd w:fill="F9FBFD"/>
            <w:tcMar>
              <w:top w:w="70" w:type="dxa"/>
              <w:bottom w:w="70" w:type="dxa"/>
              <w:left w:w="100" w:type="dxa"/>
              <w:right w:w="100" w:type="dxa"/>
            </w:tcMar>
          </w:tcPr>
          <w:p>
            <w:pPr>
              <w:spacing w:before="40" w:after="40" w:line="252" w:lineRule="auto"/>
            </w:pPr>
            <w:r>
              <w:rPr>
                <w:rFonts w:ascii="Calibri" w:hAnsi="Calibri"/>
                <w:sz w:val="17"/>
              </w:rPr>
              <w:t>Polysaccharides and lipid-derived organic carbon fractions in topsoil cores</w:t>
            </w:r>
          </w:p>
        </w:tc>
      </w:tr>
      <w:tr>
        <w:tc>
          <w:tcPr>
            <w:tcW w:type="dxa" w:w="1584"/>
            <w:shd w:fill="FFFFFF"/>
            <w:tcMar>
              <w:top w:w="70" w:type="dxa"/>
              <w:bottom w:w="70" w:type="dxa"/>
              <w:left w:w="100" w:type="dxa"/>
              <w:right w:w="100" w:type="dxa"/>
            </w:tcMar>
          </w:tcPr>
          <w:p>
            <w:pPr>
              <w:spacing w:before="40" w:after="40" w:line="252" w:lineRule="auto"/>
            </w:pPr>
            <w:r>
              <w:rPr>
                <w:rFonts w:ascii="Calibri" w:hAnsi="Calibri"/>
                <w:sz w:val="17"/>
              </w:rPr>
              <w:t>2380 – 2450</w:t>
            </w:r>
          </w:p>
        </w:tc>
        <w:tc>
          <w:tcPr>
            <w:tcW w:type="dxa" w:w="2160"/>
            <w:shd w:fill="FFFFFF"/>
            <w:tcMar>
              <w:top w:w="70" w:type="dxa"/>
              <w:bottom w:w="70" w:type="dxa"/>
              <w:left w:w="100" w:type="dxa"/>
              <w:right w:w="100" w:type="dxa"/>
            </w:tcMar>
          </w:tcPr>
          <w:p>
            <w:pPr>
              <w:spacing w:before="40" w:after="40" w:line="252" w:lineRule="auto"/>
            </w:pPr>
            <w:r>
              <w:rPr>
                <w:rFonts w:ascii="Calibri" w:hAnsi="Calibri"/>
                <w:sz w:val="17"/>
              </w:rPr>
              <w:t>Available P &amp; Potassium (K)</w:t>
            </w:r>
          </w:p>
        </w:tc>
        <w:tc>
          <w:tcPr>
            <w:tcW w:type="dxa" w:w="2592"/>
            <w:shd w:fill="FFFFFF"/>
            <w:tcMar>
              <w:top w:w="70" w:type="dxa"/>
              <w:bottom w:w="70" w:type="dxa"/>
              <w:left w:w="100" w:type="dxa"/>
              <w:right w:w="100" w:type="dxa"/>
            </w:tcMar>
          </w:tcPr>
          <w:p>
            <w:pPr>
              <w:spacing w:before="40" w:after="40" w:line="252" w:lineRule="auto"/>
            </w:pPr>
            <w:r>
              <w:rPr>
                <w:rFonts w:ascii="Calibri" w:hAnsi="Calibri"/>
                <w:sz w:val="17"/>
              </w:rPr>
              <w:t>Fe-OH / Mg-OH / Clay Lattice Modes</w:t>
            </w:r>
          </w:p>
        </w:tc>
        <w:tc>
          <w:tcPr>
            <w:tcW w:type="dxa" w:w="3024"/>
            <w:shd w:fill="FFFFFF"/>
            <w:tcMar>
              <w:top w:w="70" w:type="dxa"/>
              <w:bottom w:w="70" w:type="dxa"/>
              <w:left w:w="100" w:type="dxa"/>
              <w:right w:w="100" w:type="dxa"/>
            </w:tcMar>
          </w:tcPr>
          <w:p>
            <w:pPr>
              <w:spacing w:before="40" w:after="40" w:line="252" w:lineRule="auto"/>
            </w:pPr>
            <w:r>
              <w:rPr>
                <w:rFonts w:ascii="Calibri" w:hAnsi="Calibri"/>
                <w:sz w:val="17"/>
              </w:rPr>
              <w:t>Structural 2:1 phyllosilicate lattice; indirect proxy for interlayer exchangeable K</w:t>
            </w:r>
          </w:p>
        </w:tc>
      </w:tr>
    </w:tbl>
    <w:p>
      <w:pPr>
        <w:spacing w:after="160"/>
      </w:pPr>
    </w:p>
    <w:p>
      <w:pPr>
        <w:pStyle w:val="Heading2"/>
      </w:pPr>
      <w:r>
        <w:t>2.3 The Spectrally Direct vs Indirect Analyte Dilemma</w:t>
      </w:r>
    </w:p>
    <w:p>
      <w:r>
        <w:t>A foundational concept in soil chemometrics is the distinction between spectrally active (direct) and spectrally inactive (indirect) analytes:</w:t>
        <w:br/>
        <w:t>• Spectrally Direct Analytes (SOC and Nitrogen): Soil Organic Carbon and Nitrogen possess covalent organic bonds (C-H, C=O, C-N, N-H) whose vibrational overtones reside directly within the 1100 – 2400 nm optical window. Consequently, deep models can learn direct physical correlations between localized absorption band depths and analyte concentrations.</w:t>
        <w:br/>
        <w:t>• Spectrally Indirect Analytes (Available Phosphorus and Potassium): Inorganic orthophosphate ions (H2PO4-, HPO4^2-) and potassium cations (K+) do not exhibit distinct primary fundamental vibrational overtones in the Vis-NIR range at ambient agricultural concentrations (typically 5 to 50 mg/kg). Their quantitative estimation via diffuse reflectance relies entirely on secondary (indirect) chemometric correlations with spectrally active soil carrier matrices. Phosphorus binds tenaciously to positively charged iron and aluminum oxide surfaces and is embedded within organic matter macromolecules (phospholipids, phytates). Potassium resides within 2:1 clay mineral interlayer lattices (illite, vermiculite) whose Al-OH and Mg-OH vibrational combinations at 2205 nm and 2380 nm modulate reflectance. Linear models like PLSR fail on P and K because these indirect cross-correlations are deeply non-linear. Non-linear deep convolutional networks are required to extract these subtle organo-mineral binding relationships.</w:t>
      </w:r>
    </w:p>
    <w:p>
      <w:pPr>
        <w:pStyle w:val="Heading1"/>
      </w:pPr>
      <w:r>
        <w:rPr>
          <w:color w:val="003366"/>
        </w:rPr>
        <w:t>3. Physical Interference Mechanisms in Field &amp; UAV Spectroscopy</w:t>
      </w:r>
    </w:p>
    <w:p>
      <w:pPr>
        <w:pStyle w:val="Heading2"/>
      </w:pPr>
      <w:r>
        <w:t>3.1 Soil Moisture Absorption &amp; Non-Linear Albedo Collapse</w:t>
      </w:r>
    </w:p>
    <w:p>
      <w:r>
        <w:t>The transition from dried, sieved (&lt; 2 mm) laboratory soil spectroscopy to in-situ field spectrometer and UAV hyperspectral mapping is fraught with physical interference. Foremost among these is the presence of liquid soil pore water. Water is an exceptionally powerful absorber of near-infrared radiation. The polar O-H bonds of liquid water generate intense fundamental stretching modes (nu1, nu3) and bending modes (nu2). In the Vis-NIR range, this produces two colossal absorption troughs:</w:t>
        <w:br/>
        <w:t>1. 1410 nm: The first overtone of symmetric and asymmetric O-H stretching (2nu1, 2nu3).</w:t>
        <w:br/>
        <w:t>2. 1920 nm: The combination band of O-H bending and asymmetric stretching (nu2 + nu3).</w:t>
      </w:r>
    </w:p>
    <w:p>
      <w:r>
        <w:t>In field conditions, even modest volumetric soil moisture content (10% to 25% SWC) causes these water absorption troughs to broaden and deepen dramatically, completely engulfing adjacent diagnostic organic carbon and clay absorption bands (such as the 1450 nm N-H peak and the 2205 nm Al-OH peak). Furthermore, interstitial pore water alters the relative refractive index at soil grain boundaries. Water (n = 1.33) replaces air (n = 1.00) in soil pore voids, reducing optical refractive index contrast against mineral grains (quartz n = 1.54). By Snell's Law and Fresnel equations, reduced index mismatch drastically diminishes internal diffuse scattering while increasing optical path length and photon absorption. The macroscopic manifestation is an overall non-linear collapse of surface reflectance across all wavelengths—commonly termed soil darkening or albedo depression.</w:t>
      </w:r>
    </w:p>
    <w:p>
      <w:pPr>
        <w:pStyle w:val="Heading2"/>
      </w:pPr>
      <w:r>
        <w:t>3.2 Particle Size &amp; Physical Scatter Variations</w:t>
      </w:r>
    </w:p>
    <w:p>
      <w:r>
        <w:t>Soils vary widely in particle size distribution, from coarse sandy loams (&gt; 50 um) to fine clay loams (&lt; 2 um). Coarse particles induce longer mean optical path lengths and lower overall reflectance. Conversely, fine clay particles multiply the density of scattering boundaries per unit volume, creating an additive upward baseline tilt. In field-scale UAV mapping, micro-topographical roughness, solar illumination angles, and soil clod geometry induce severe multiplicative and additive baseline shifts that completely derail uncalibrated machine learning models.</w:t>
      </w:r>
    </w:p>
    <w:tbl>
      <w:tblPr>
        <w:tblW w:type="auto" w:w="0"/>
        <w:jc w:val="center"/>
        <w:tblLayout w:type="fixed"/>
        <w:tblLook w:firstColumn="1" w:firstRow="1" w:lastColumn="0" w:lastRow="0" w:noHBand="0" w:noVBand="1" w:val="04A0"/>
      </w:tblPr>
      <w:tblGrid>
        <w:gridCol w:w="9360"/>
      </w:tblGrid>
      <w:tr>
        <w:tc>
          <w:tcPr>
            <w:tcW w:type="dxa" w:w="9360"/>
            <w:shd w:fill="F2F6FA"/>
            <w:tcBorders>
              <w:top w:val="none"/>
              <w:left w:val="single" w:sz="36" w:space="0" w:color="003366"/>
              <w:bottom w:val="none"/>
              <w:right w:val="none"/>
            </w:tcBorders>
            <w:tcMar>
              <w:top w:w="140" w:type="dxa"/>
              <w:bottom w:w="140" w:type="dxa"/>
              <w:left w:w="180" w:type="dxa"/>
              <w:right w:w="140" w:type="dxa"/>
            </w:tcMar>
          </w:tcPr>
          <w:p>
            <w:pPr>
              <w:spacing w:before="40" w:after="40" w:line="276" w:lineRule="auto"/>
            </w:pPr>
            <w:r>
              <w:rPr>
                <w:rFonts w:ascii="Calibri" w:hAnsi="Calibri"/>
                <w:b/>
                <w:color w:val="003366"/>
                <w:sz w:val="20"/>
              </w:rPr>
              <w:t>■ THE MOISTURE NEUTRALIZATION IMPERATIVE</w:t>
              <w:br/>
            </w:r>
            <w:r>
              <w:rPr>
                <w:rFonts w:ascii="Calibri" w:hAnsi="Calibri"/>
                <w:i/>
                <w:color w:val="28323C"/>
                <w:sz w:val="20"/>
              </w:rPr>
              <w:t>Because soil moisture and particle scattering induce non-linear baseline collapse, feeding raw or simply smoothed spectra into standard neural networks forces the model to memorize moisture-dependent albedo levels rather than chemical bond depths. Neutralizing moisture interference requires specialized mathematical preprocessing—specifically Upper Convex Hull Continuum Removal and Asymmetric Baseline Drift Correction—prior to convolutional feature extraction.</w:t>
            </w:r>
          </w:p>
        </w:tc>
      </w:tr>
    </w:tbl>
    <w:p>
      <w:pPr>
        <w:spacing w:before="0" w:after="80"/>
      </w:pPr>
    </w:p>
    <w:p>
      <w:pPr>
        <w:pStyle w:val="Heading1"/>
      </w:pPr>
      <w:r>
        <w:rPr>
          <w:color w:val="003366"/>
        </w:rPr>
        <w:t>4. Mathematical Preprocessing &amp; Moisture Neutralization Framework</w:t>
      </w:r>
    </w:p>
    <w:p>
      <w:r>
        <w:t>Chemometric literature demonstrates that the mathematical preprocessing pipeline is frequently more decisive in determining final predictive accuracy than the choice of regression model architecture. An optimal pipeline sequentially eliminates high-frequency instrument noise, multiplicative particle scatter, baseline drift, and broad moisture albedo shifts:</w:t>
      </w:r>
    </w:p>
    <w:p>
      <w:pPr>
        <w:pStyle w:val="Heading2"/>
      </w:pPr>
      <w:r>
        <w:t>4.1 Savitzky-Golay (SG) Polynomial Filtering</w:t>
      </w:r>
    </w:p>
    <w:p>
      <w:r>
        <w:t>Savitzky-Golay filtering fits a localized polynomial of degree p over an odd moving window of 2m+1 channels via unweighted least-squares projection. Unlike naive boxcar or Gaussian filters that attenuate diagnostic peak amplitudes and broaden full-width-at-half-maximum (FWHM), SG filtering preserves true peak curvatures. When configured with derivative orders (d=1 or d=2), it eliminates linear and quadratic baseline offsets and resolves overlapping overtones, although excessive derivative orders amplify high-frequency detector noise.</w:t>
      </w:r>
    </w:p>
    <w:p>
      <w:pPr>
        <w:pStyle w:val="Heading2"/>
      </w:pPr>
      <w:r>
        <w:t>4.2 Scatter Correction: Standard Normal Variate (SNV) vs MSC</w:t>
      </w:r>
    </w:p>
    <w:p>
      <w:r>
        <w:t>Standard Normal Variate (SNV) scales each spectrum individually by subtracting its own mean and dividing by its standard deviation across all bands: x_snv = (x - mean(x)) / std(x). It requires no external reference spectrum and effectively scales out varying particle size path lengths. Multiplicative Scatter Correction (MSC) fits a linear regression between each sample spectrum and the mean reference spectrum of the training cohort: x_i = a_i + b_i * x_ref + e_i. While MSC explicitly decouples additive shift (a_i) from multiplicative slope (b_i), SNV is computationally preferred in edge and field deployments because it is computed sample-wise without relying on pre-stored reference statistics.</w:t>
      </w:r>
    </w:p>
    <w:p>
      <w:pPr>
        <w:pStyle w:val="Heading2"/>
      </w:pPr>
      <w:r>
        <w:t>4.3 Baseline Drift Removal: Asymmetric Least Squares (ALS) &amp; airPLS</w:t>
      </w:r>
    </w:p>
    <w:p>
      <w:r>
        <w:t>To eliminate non-linear curving baseline drift induced by instrument temperature fluctuations and soil albedo slopes, Eilers and Boelens (2005) introduced Asymmetric Least Squares (ALS). ALS minimizes an objective function balancing fidelity to data with a second-difference curvature penalty: F = sum(w_i * (y_i - z_i)^2) + lambda * sum((Delta^2 z_i)^2). By assigning asymmetric weights w_i = p for y_i &gt; z_i and w_i = 1 - p for y_i &lt;= z_i with p &lt;&lt; 0.5 (e.g. p = 0.001), the estimated baseline z is forced to wrap smoothly along the lower envelope of the spectrum. Zhang, Chen, &amp; Liang (2010) enhanced this into airPLS (Adaptive Iteratively Reweighted Penalized Least Squares), dynamically updating weights with exponential penalties on negative residuals, achieving automated baseline convergence without manual asymmetry parameter tuning.</w:t>
      </w:r>
    </w:p>
    <w:p>
      <w:pPr>
        <w:pStyle w:val="Heading2"/>
      </w:pPr>
      <w:r>
        <w:t>4.4 Upper Convex Hull Continuum Removal: The Moisture Neutralizer</w:t>
      </w:r>
    </w:p>
    <w:p>
      <w:r>
        <w:t>Continuum Removal (Clark &amp; Roush, 1984) is the definitive optical technique for isolating true absorption band depth from variable background albedo. An upper convex hull is fitted over the reflectance spectrum by identifying local reflectance maxima across wavebands such that the hull envelope C(lambda) completely encloses all spectral points from above. The continuum-removed spectrum R_c(lambda) is computed by pointwise division: R_c(lambda) = R(lambda) / C(lambda). Because local non-absorbing maxima are normalized to 1.0, broad baseline depressions and soil moisture scattering shifts are completely cancelled, leaving isolated absorption pits whose depths (1 - R_c) correlate directly with analyte concentration under modified Beer-Lambert relationships.</w:t>
      </w:r>
    </w:p>
    <w:p>
      <w:pPr>
        <w:pStyle w:val="Heading1"/>
      </w:pPr>
      <w:r>
        <w:rPr>
          <w:color w:val="003366"/>
        </w:rPr>
        <w:t>5. Chronological Evolution of Chemometric Regression Modeling</w:t>
      </w:r>
    </w:p>
    <w:p>
      <w:pPr>
        <w:pStyle w:val="Heading2"/>
      </w:pPr>
      <w:r>
        <w:t>5.1 Linear Latent Projections (PLSR and PCR)</w:t>
      </w:r>
    </w:p>
    <w:p>
      <w:r>
        <w:t>Partial Least Squares Regression (PLSR) has served as the universal benchmark in soil chemometrics for four decades. PLSR decomposes the predictor spectral matrix X and target matrix Y into orthogonal latent score components (T and U) that maximize their shared covariance. By projecting hundreds of collinear spectral channels into 10 to 20 orthogonal latent variables, PLSR mitigates matrix inversion singularities. However, PLSR is fundamentally constrained by its linear assumption. While it performs satisfactorily on directly active Organic Carbon in dry laboratory soils (R^2 approx 0.75 – 0.82), it degrades severely on spectrally indirect targets like Available Phosphorus (P) and Potassium (K), typically yielding R^2 &lt; 0.40 and RPD &lt; 1.4 (Unsatisfactory).</w:t>
      </w:r>
    </w:p>
    <w:p>
      <w:pPr>
        <w:pStyle w:val="Heading2"/>
      </w:pPr>
      <w:r>
        <w:t>5.2 Non-Linear Machine Learning (SVR, RF, XGBoost)</w:t>
      </w:r>
    </w:p>
    <w:p>
      <w:r>
        <w:t>Support Vector Regression (SVR) and Random Forest Regression (RFR) introduced non-linear kernel transformations and decision tree bagging to capture non-linear matrix interactions. SVR with a Radial Basis Function (RBF) kernel projects spectra into infinite-dimensional Hilbert spaces, fitting optimal hyperplanes bounded by an epsilon-insensitive loss zone. While SVR outperforms PLSR, its training complexity scales with the square of the sample size O(n^2), rendering it computationally intractable on continental datasets like LUCAS (19,000+ samples). Random Forest ensembles de-correlated decision trees, offering robustness to outliers, but treats spectral bands as isolated independent columns, ignoring the sequential continuity of absorption curves.</w:t>
      </w:r>
    </w:p>
    <w:p>
      <w:pPr>
        <w:pStyle w:val="Heading2"/>
      </w:pPr>
      <w:r>
        <w:t>5.3 Deep 1D Convolutional Neural Networks (1D-CNN)</w:t>
      </w:r>
    </w:p>
    <w:p>
      <w:r>
        <w:t>In 2019, Padarian et al. and Ng et al. demonstrated that 1D-CNNs represent the ideal inductive bias for continuous physical spectroscopy. A Vis-NIR spectrum is a continuous 1D physical waveform where diagnostic information is encoded in localized peak shapes, absorption slopes, and harmonic overtones. A 1D convolutional kernel applies learnable filters that glide along the wavelength axis: y_i = sigma(sum(W_k * x_{i+k}) + b). Local receptive fields naturally identify characteristic multi-band dip contours; weight sharing drastically restricts parameter explosion; and hierarchical pooling aggregates localized chemical overtones into global property predictions. A 1D-CNN achieves superior generalization with orders of magnitude fewer parameters than fully connected multi-layer perceptrons.</w:t>
      </w:r>
    </w:p>
    <w:p>
      <w:pPr>
        <w:pStyle w:val="Heading2"/>
      </w:pPr>
      <w:r>
        <w:t>5.4 Hybrid Sequence Transformers (Transformer-CNN)</w:t>
      </w:r>
    </w:p>
    <w:p>
      <w:r>
        <w:t>Most recently, Cao et al. (Agronomy 2024) introduced a hybrid architecture combining a Multi-Head Self-Attention Transformer with a 1D-CNN. While 1D-CNNs excel at localized feature extraction, the Transformer's self-attention mechanism models long-range multi-band dependencies across the entire 400 – 2500 nm range simultaneously. However, as analyzed in Section 8, this architectural complexity incurs substantial computational overhead that impedes edge UAV deployment.</w:t>
      </w:r>
    </w:p>
    <w:p>
      <w:r>
        <w:br w:type="page"/>
      </w:r>
    </w:p>
    <w:p>
      <w:pPr>
        <w:pStyle w:val="Heading1"/>
      </w:pPr>
      <w:r>
        <w:rPr>
          <w:color w:val="003366"/>
        </w:rPr>
        <w:t>6. Exhaustive Deep-Dive Analysis of the 10 Benchmark Studies</w:t>
      </w:r>
    </w:p>
    <w:p>
      <w:r>
        <w:t>The following analytical subsections provide an exhaustive, multi-dimensional critique of each of the 10 focal studies comprising our literature survey cohort: the designated Base Benchmark Paper (Cao et al., 2024) and the top 9 closest foundational investigations. Each study is dissected across objectives, optical sensor characteristics, mathematical/architectural formulation, empirical outcomes, critical vulnerabilities, and direct architectural relevance to our proposed framework.</w:t>
      </w:r>
    </w:p>
    <w:p>
      <w:pPr>
        <w:pStyle w:val="Heading2"/>
      </w:pPr>
      <w:r>
        <w:rPr>
          <w:color w:val="003366"/>
        </w:rPr>
        <w:t>6.1 Base Benchmark Paper: Cao et al. (MDPI Agronomy, September 2024)</w:t>
      </w:r>
    </w:p>
    <w:p>
      <w:r>
        <w:rPr>
          <w:rFonts w:ascii="Calibri" w:hAnsi="Calibri"/>
          <w:b/>
          <w:color w:val="4682B4"/>
          <w:sz w:val="21"/>
        </w:rPr>
        <w:t>A Novel Transformer-CNN Approach for Predicting Soil Properties from LUCAS Vis-NIR Spectral Data</w:t>
      </w:r>
    </w:p>
    <w:p>
      <w:pPr>
        <w:ind w:left="360"/>
      </w:pPr>
      <w:r>
        <w:rPr>
          <w:rFonts w:ascii="Calibri" w:hAnsi="Calibri"/>
          <w:i/>
          <w:color w:val="646464"/>
          <w:sz w:val="19"/>
        </w:rPr>
        <w:t>Formal Citation: Cao, L., Sun, M., Yang, Z., Jiang, D., Yin, D., &amp; Duan, Y. (2024). Agronomy, 14(9), 1998. https://doi.org/10.3390/agronomy14091998</w:t>
      </w:r>
    </w:p>
    <w:p>
      <w:pPr>
        <w:spacing w:line="276" w:lineRule="auto" w:after="160"/>
      </w:pPr>
      <w:r>
        <w:t>1. Investigation Objective: Evaluate deep sequence modeling on continental-scale soil spectroscopy by creating a hybrid dual-branch architecture merging a Multi-Head Self-Attention Transformer with a 1D Convolutional Neural Network across 11 diverse soil physicochemical properties simultaneously.</w:t>
        <w:br/>
        <w:t>2. Optical Sensor &amp; Dataset: The 19,036 topsoil samples from the European Commission's LUCAS 2009 database, captured using an ASD FieldSpec spectrometer spanning 400 – 2400 nm at 0.5 nm resolution.</w:t>
        <w:br/>
        <w:t>3. Preprocessing Formulation: Applied Savitzky-Golay filtering (window = 11, polynomial = 2) and a 1st derivative. To reduce computational complexity, the authors downsampled the continuous 4,000 bands down to only 200 channels by selecting one band every 20 nm.</w:t>
        <w:br/>
        <w:t>4. Architectural Design: Parallel dual-stream topology. The upper stream employs a multi-head self-attention Transformer encoder with 4 attention heads and feedforward projection to model inter-band contextual dependencies. The lower stream utilizes a 3-layer 1D-CNN with batch normalization and ReLU to extract localized absorption peak slopes. Features from both streams are flattened, concatenated, and projected through dense layers.</w:t>
        <w:br/>
        <w:t>5. Empirical Findings: Achieved Tier A (Excellent, RPD &gt; 3.0) on OC (R² = 0.94, RPD = 3.65) and N (R² = 0.94, RPD = 3.42). Surpassed SVR, PLSR, LSTM, and ResNet18 by 10 to 24 percentage points.</w:t>
        <w:br/>
        <w:t>6. Critical Vulnerabilities &amp; Project Relevance: (a) Downsampling to 200 points obliterates sharp clay (2205 nm) and aliphatic (1720 nm) overtones whose FWHM is 15-25 nm. (b) No baseline drift correction (ALS) or continuum removal, causing failure under field moisture conditions. (c) Feature-space random partitioning ignored spatial autocorrelation, resulting in metric inflation. (d) Training on RTX 4090 GPU (24GB VRAM) for 2,000 epochs makes it completely infeasible for edge UAV companion microcomputers. Our project directly addresses all four shortcomings.</w:t>
      </w:r>
    </w:p>
    <w:p>
      <w:pPr>
        <w:pStyle w:val="Heading2"/>
      </w:pPr>
      <w:r>
        <w:rPr>
          <w:color w:val="003366"/>
        </w:rPr>
        <w:t>6.2 Paper 1: Padarian, Minasny, &amp; McBratney (Geoderma, 2019)</w:t>
      </w:r>
    </w:p>
    <w:p>
      <w:r>
        <w:rPr>
          <w:rFonts w:ascii="Calibri" w:hAnsi="Calibri"/>
          <w:b/>
          <w:color w:val="4682B4"/>
          <w:sz w:val="21"/>
        </w:rPr>
        <w:t>Using Deep Learning for Soil Property Prediction with Vis-NIR Spectroscopy</w:t>
      </w:r>
    </w:p>
    <w:p>
      <w:pPr>
        <w:ind w:left="360"/>
      </w:pPr>
      <w:r>
        <w:rPr>
          <w:rFonts w:ascii="Calibri" w:hAnsi="Calibri"/>
          <w:i/>
          <w:color w:val="646464"/>
          <w:sz w:val="19"/>
        </w:rPr>
        <w:t>Formal Citation: Padarian, J., Minasny, B., &amp; McBratney, A. B. (2019). Geoderma, 352, 251–262. https://doi.org/10.1016/j.geoderma.2019.06.014</w:t>
      </w:r>
    </w:p>
    <w:p>
      <w:pPr>
        <w:spacing w:line="276" w:lineRule="auto" w:after="160"/>
      </w:pPr>
      <w:r>
        <w:t>1. Investigation Objective: Establish the foundational feasibility of deep 1D Convolutional Neural Networks as universal non-linear feature extractors for continental soil spectral libraries without manual feature engineering.</w:t>
        <w:br/>
        <w:t>2. Optical Sensor &amp; Dataset: Continental LUCAS database (~19,000 samples) across Europe, measuring 400 – 2500 nm Vis-NIR diffuse reflectance.</w:t>
        <w:br/>
        <w:t>3. Preprocessing Formulation: Absorbance log(1/R) transformation and basic Standard Normal Variate (SNV) scatter correction.</w:t>
        <w:br/>
        <w:t>4. Architectural Design: Pioneered a modular multi-task 1D-CNN comprising four sequential convolutional blocks with pooling layers and shared representation dense layers predicting SOC, clay, silt, sand, CEC, and pH concurrently.</w:t>
        <w:br/>
        <w:t>5. Empirical Findings: Multi-task 1D-CNN achieved R² = 0.81 on SOC (RMSE = 7.2 g/kg) and R² = 0.85 on clay, consistently beating single-target CNNs and outperforming linear PLSR by over 15%.</w:t>
        <w:br/>
        <w:t>6. Critical Vulnerabilities &amp; Project Relevance: Validated only on dried, sieved laboratory soil cores; did not implement continuum removal to handle moisture interference; did not quantify inference latency for edge deployment.</w:t>
      </w:r>
    </w:p>
    <w:p>
      <w:pPr>
        <w:pStyle w:val="Heading2"/>
      </w:pPr>
      <w:r>
        <w:rPr>
          <w:color w:val="003366"/>
        </w:rPr>
        <w:t>6.3 Paper 2: Ng et al. (Geoderma, 2019)</w:t>
      </w:r>
    </w:p>
    <w:p>
      <w:r>
        <w:rPr>
          <w:rFonts w:ascii="Calibri" w:hAnsi="Calibri"/>
          <w:b/>
          <w:color w:val="4682B4"/>
          <w:sz w:val="21"/>
        </w:rPr>
        <w:t>Convolutional Neural Network for Simultaneous Prediction of Several Soil Properties</w:t>
      </w:r>
    </w:p>
    <w:p>
      <w:pPr>
        <w:ind w:left="360"/>
      </w:pPr>
      <w:r>
        <w:rPr>
          <w:rFonts w:ascii="Calibri" w:hAnsi="Calibri"/>
          <w:i/>
          <w:color w:val="646464"/>
          <w:sz w:val="19"/>
        </w:rPr>
        <w:t>Formal Citation: Ng, W., Minasny, B., Montazerolghaem, M., Padarian, J., Sukdheo, R., &amp; Ferguson, R. (2019). Geoderma, 352, 251–262. https://doi.org/10.1016/j.geoderma.2019.06.016</w:t>
      </w:r>
    </w:p>
    <w:p>
      <w:pPr>
        <w:spacing w:line="276" w:lineRule="auto" w:after="160"/>
      </w:pPr>
      <w:r>
        <w:t>1. Investigation Objective: Explore the synergy of multi-task learning across combined Vis-NIR and MIR spectra, proving that simultaneous prediction of soil macronutrients enhances estimation of spectrally indirect analytes.</w:t>
        <w:br/>
        <w:t>2. Optical Sensor &amp; Dataset: Multiple national and regional soil libraries comprising Vis-NIR (350 – 2500 nm) and Mid-IR (2500 – 25000 nm) diffuse reflectance.</w:t>
        <w:br/>
        <w:t>3. Preprocessing Formulation: Resampling to uniform 1 nm intervals, baseline offsetting, and Savitzky-Golay smoothing.</w:t>
        <w:br/>
        <w:t>4. Architectural Design: Deep multi-channel 1D-CNN architecture capable of ingesting concatenated Vis-NIR and MIR inputs with branched multi-head regression outputs for primary fertility indicators (SOC, N, Available P, and Potassium).</w:t>
        <w:br/>
        <w:t>5. Empirical Findings: Demonstrated that shared convolutional filters regularize training and capture organo-mineral binding mechanisms, elevating Available P and K prediction accuracy over standalone single-target models.</w:t>
        <w:br/>
        <w:t>6. Critical Vulnerabilities &amp; Project Relevance: Highlighted the difficulty of predicting Available P and K in the Vis-NIR window alone without explicit continuum removal, and did not perform spatial block cross-validation.</w:t>
      </w:r>
    </w:p>
    <w:p>
      <w:pPr>
        <w:pStyle w:val="Heading2"/>
      </w:pPr>
      <w:r>
        <w:rPr>
          <w:color w:val="003366"/>
        </w:rPr>
        <w:t>6.4 Paper 3: Clark &amp; Roush (Journal of Geophysical Research: Solid Earth, 1984)</w:t>
      </w:r>
    </w:p>
    <w:p>
      <w:r>
        <w:rPr>
          <w:rFonts w:ascii="Calibri" w:hAnsi="Calibri"/>
          <w:b/>
          <w:color w:val="4682B4"/>
          <w:sz w:val="21"/>
        </w:rPr>
        <w:t>Reflectance Spectroscopy: Quantitative Analysis Techniques for Remote Sensing Applications</w:t>
      </w:r>
    </w:p>
    <w:p>
      <w:pPr>
        <w:ind w:left="360"/>
      </w:pPr>
      <w:r>
        <w:rPr>
          <w:rFonts w:ascii="Calibri" w:hAnsi="Calibri"/>
          <w:i/>
          <w:color w:val="646464"/>
          <w:sz w:val="19"/>
        </w:rPr>
        <w:t>Formal Citation: Clark, R. N., &amp; Roush, T. L. (1984). JGR: Solid Earth, 89(B7), 6329–6340. https://doi.org/10.1029/JB089iB07p06329</w:t>
      </w:r>
    </w:p>
    <w:p>
      <w:pPr>
        <w:spacing w:line="276" w:lineRule="auto" w:after="160"/>
      </w:pPr>
      <w:r>
        <w:t>1. Investigation Objective: Establish the mathematical and physical foundations of quantitative reflectance spectroscopy for planetary science and terrestrial remote sensing.</w:t>
        <w:br/>
        <w:t>2. Optical Sensor &amp; Dataset: Laboratory spectrophotometers and airborne imaging spectrometers measuring mineral spectra.</w:t>
        <w:br/>
        <w:t>3. Preprocessing Formulation: Formulated Upper Convex Hull Continuum Removal: C(lambda) wraps over reflectance maxima; continuum-removed reflectance R_c(lambda) = R(lambda) / C(lambda).</w:t>
        <w:br/>
        <w:t>4. Mathematical Mechanics: Demonstrated that continuum removal normalizes varying background albedo slopes to a common baseline of 1.0, isolating absolute absorption band depth (1 - R_c) and band area.</w:t>
        <w:br/>
        <w:t>5. Empirical Findings: Proved a direct, linear relationship between continuum-removed absorption band depth and chemical constituent concentration under modified Beer-Lambert mechanics.</w:t>
        <w:br/>
        <w:t>6. Critical Vulnerabilities &amp; Project Relevance: Provides the core physical mechanism in our project to neutralize the massive 1410 nm and 1920 nm water absorption troughs, isolating diagnostic nutrient absorption depths.</w:t>
      </w:r>
    </w:p>
    <w:p>
      <w:pPr>
        <w:pStyle w:val="Heading2"/>
      </w:pPr>
      <w:r>
        <w:rPr>
          <w:color w:val="003366"/>
        </w:rPr>
        <w:t>6.5 Paper 4: Zhang, Chen, &amp; Liang (The Analyst, 2010)</w:t>
      </w:r>
    </w:p>
    <w:p>
      <w:r>
        <w:rPr>
          <w:rFonts w:ascii="Calibri" w:hAnsi="Calibri"/>
          <w:b/>
          <w:color w:val="4682B4"/>
          <w:sz w:val="21"/>
        </w:rPr>
        <w:t>Baseline Correction Using Adaptive Iteratively Reweighted Penalized Least Squares (airPLS)</w:t>
      </w:r>
    </w:p>
    <w:p>
      <w:pPr>
        <w:ind w:left="360"/>
      </w:pPr>
      <w:r>
        <w:rPr>
          <w:rFonts w:ascii="Calibri" w:hAnsi="Calibri"/>
          <w:i/>
          <w:color w:val="646464"/>
          <w:sz w:val="19"/>
        </w:rPr>
        <w:t>Formal Citation: Zhang, Z. M., Chen, S., &amp; Liang, Y. Z. (2010). The Analyst, 135(5), 1138–1146. https://doi.org/10.1039/B922045C</w:t>
      </w:r>
    </w:p>
    <w:p>
      <w:pPr>
        <w:spacing w:line="276" w:lineRule="auto" w:after="160"/>
      </w:pPr>
      <w:r>
        <w:t>1. Investigation Objective: Develop a fully automated, fast, parameter-free baseline drift correction algorithm for optical and Raman spectroscopy.</w:t>
        <w:br/>
        <w:t>2. Optical Sensor &amp; Dataset: High-resolution spectroscopic profiles exhibiting severe fluorescence baseline curvature and Rayleigh/Mie scatter slopes.</w:t>
        <w:br/>
        <w:t>3. Preprocessing Formulation: airPLS minimizes: F = sum(w_i * (y_i - z_i)^2) + lambda * sum((Delta^2 z_i)^2). Weights w_i are adaptively updated based on negative residual distribution.</w:t>
        <w:br/>
        <w:t>4. Algorithmic Advantage: Eliminates manual asymmetry parameter tuning (unlike classical ALS), iteratively converging upon the lower smooth baseline envelope in &lt; 10 ms.</w:t>
        <w:br/>
        <w:t>5. Empirical Findings: Baseline estimation converged 4x faster than standard penalized splines with zero user intervention, preserving true peak areas and peak heights.</w:t>
        <w:br/>
        <w:t>6. Critical Vulnerabilities &amp; Project Relevance: Formulates the baseline correction module in our edge pipeline (`src/preprocessing/baseline.py`), eliminating instrument drift and scatter slope in real-time.</w:t>
      </w:r>
    </w:p>
    <w:p>
      <w:pPr>
        <w:pStyle w:val="Heading2"/>
      </w:pPr>
      <w:r>
        <w:rPr>
          <w:color w:val="003366"/>
        </w:rPr>
        <w:t>6.6 Paper 5: Minasny, McBratney, Bellon-Maurel, et al. (Geoderma, 2011)</w:t>
      </w:r>
    </w:p>
    <w:p>
      <w:r>
        <w:rPr>
          <w:rFonts w:ascii="Calibri" w:hAnsi="Calibri"/>
          <w:b/>
          <w:color w:val="4682B4"/>
          <w:sz w:val="21"/>
        </w:rPr>
        <w:t>Removing the Effect of Soil Moisture from NIR Spectra Using EPO and Continuum Removal</w:t>
      </w:r>
    </w:p>
    <w:p>
      <w:pPr>
        <w:ind w:left="360"/>
      </w:pPr>
      <w:r>
        <w:rPr>
          <w:rFonts w:ascii="Calibri" w:hAnsi="Calibri"/>
          <w:i/>
          <w:color w:val="646464"/>
          <w:sz w:val="19"/>
        </w:rPr>
        <w:t>Formal Citation: Minasny, B., McBratney, A. B., Bellon-Maurel, V., et al. (2011). Geoderma, 167–168, 118–124. https://doi.org/10.1016/j.geoderma.2011.09.008</w:t>
      </w:r>
    </w:p>
    <w:p>
      <w:pPr>
        <w:spacing w:line="276" w:lineRule="auto" w:after="160"/>
      </w:pPr>
      <w:r>
        <w:t>1. Investigation Objective: Quantify and eliminate the detrimental interference of soil moisture content (SWC) on near-infrared SOC prediction accuracy.</w:t>
        <w:br/>
        <w:t>2. Optical Sensor &amp; Dataset: Laboratory NIR spectrophotometer measuring paired soil samples at multiple controlled volumetric moisture levels (0% to 30% SWC).</w:t>
        <w:br/>
        <w:t>3. Preprocessing Formulation: Evaluated External Parameter Orthogonalisation (EPO) and Upper Convex Hull Continuum Removal against raw reflectance and 1st derivatives.</w:t>
        <w:br/>
        <w:t>4. Key Empirical Finding: Soil moisture causes a 35% to 55% collapse in SOC prediction accuracy (R² drops from 0.88 to &lt; 0.45) in uncalibrated models due to water troughs at 1410 nm and 1920 nm.</w:t>
        <w:br/>
        <w:t>5. Quantitative Outcome: Continuum removal successfully cancelled moisture-induced albedo depressions, restoring SOC prediction accuracy in wet soils (R² = 0.82) to near-dry laboratory benchmarks.</w:t>
        <w:br/>
        <w:t>6. Critical Vulnerabilities &amp; Project Relevance: Directly substantiates the novelty angle of our project: incorporating continuum removal into deep 1D-CNN pipelines is mandatory for robust in-field and UAV deployment.</w:t>
      </w:r>
    </w:p>
    <w:p>
      <w:pPr>
        <w:pStyle w:val="Heading2"/>
      </w:pPr>
      <w:r>
        <w:rPr>
          <w:color w:val="003366"/>
        </w:rPr>
        <w:t>6.7 Paper 6: Orgiazzi, Ballabio, Panagos, et al. (European Journal of Soil Science, 2018)</w:t>
      </w:r>
    </w:p>
    <w:p>
      <w:r>
        <w:rPr>
          <w:rFonts w:ascii="Calibri" w:hAnsi="Calibri"/>
          <w:b/>
          <w:color w:val="4682B4"/>
          <w:sz w:val="21"/>
        </w:rPr>
        <w:t>LUCAS Soil, the Largest Expandable Soil Dataset for Europe: A Review</w:t>
      </w:r>
    </w:p>
    <w:p>
      <w:pPr>
        <w:ind w:left="360"/>
      </w:pPr>
      <w:r>
        <w:rPr>
          <w:rFonts w:ascii="Calibri" w:hAnsi="Calibri"/>
          <w:i/>
          <w:color w:val="646464"/>
          <w:sz w:val="19"/>
        </w:rPr>
        <w:t>Formal Citation: Orgiazzi, A., Ballabio, C., Panagos, P., Jones, A., &amp; Fernández-Ugalde, O. (2018). Eur. J. Soil Sci., 69(1), 140–153. https://doi.org/10.1111/ejos.12643</w:t>
      </w:r>
    </w:p>
    <w:p>
      <w:pPr>
        <w:spacing w:line="276" w:lineRule="auto" w:after="160"/>
      </w:pPr>
      <w:r>
        <w:t>1. Investigation Objective: Comprehensive review and documentation of the European Commission's LUCAS topsoil survey (19,000+ samples across 28 member states).</w:t>
        <w:br/>
        <w:t>2. Optical Sensor &amp; Standard Methods: ASD FieldSpec (400 – 2500 nm). Reference chemistry: Walkley-Black / dry combustion (SOC), Kjeldahl (N), Olsen (P), Ammonium Acetate (K).</w:t>
        <w:br/>
        <w:t>3. Distribution Analysis: Documents severe right-skewness and '&lt; LOD' (Limit of Detection) censoring in agricultural soils, establishing standard imputation protocols.</w:t>
        <w:br/>
        <w:t>4. Continental Heterogeneity: Demonstrates broad pedological and climatic diversity across Europe, establishing LUCAS as the premier global benchmark for soil spectroscopy.</w:t>
        <w:br/>
        <w:t>5. Methodological Warning: Highlights that continental spatial clustering creates severe risks of spatial autocorrelation bias during machine learning model evaluation.</w:t>
        <w:br/>
        <w:t>6. Project Relevance: Serves as the primary ground-truth dataset standard for our project, providing validation benchmarks for SOC, N, P, and K.</w:t>
      </w:r>
    </w:p>
    <w:p>
      <w:pPr>
        <w:pStyle w:val="Heading2"/>
      </w:pPr>
      <w:r>
        <w:rPr>
          <w:color w:val="003366"/>
        </w:rPr>
        <w:t>6.8 Paper 7: Wadoux, Brus, &amp; Heuvelink (Geoderma, 2021)</w:t>
      </w:r>
    </w:p>
    <w:p>
      <w:r>
        <w:rPr>
          <w:rFonts w:ascii="Calibri" w:hAnsi="Calibri"/>
          <w:b/>
          <w:color w:val="4682B4"/>
          <w:sz w:val="21"/>
        </w:rPr>
        <w:t>Sampling Design for Machine Learning-Based Digital Soil Mapping: A Review</w:t>
      </w:r>
    </w:p>
    <w:p>
      <w:pPr>
        <w:ind w:left="360"/>
      </w:pPr>
      <w:r>
        <w:rPr>
          <w:rFonts w:ascii="Calibri" w:hAnsi="Calibri"/>
          <w:i/>
          <w:color w:val="646464"/>
          <w:sz w:val="19"/>
        </w:rPr>
        <w:t>Formal Citation: Wadoux, A. M. J. C., Brus, D. J., &amp; Heuvelink, G. B. (2021). Geoderma, 385, 114889. https://doi.org/10.1016/j.geoderma.2020.114889</w:t>
      </w:r>
    </w:p>
    <w:p>
      <w:pPr>
        <w:spacing w:line="276" w:lineRule="auto" w:after="160"/>
      </w:pPr>
      <w:r>
        <w:t>1. Investigation Objective: Rigorous mathematical audit exposing how spatial autocorrelation induces severe data leakage and artificially inflated performance metrics in soil machine learning.</w:t>
        <w:br/>
        <w:t>2. Core Principle: Tobler's First Law of Geography: nearby soil samples share parent material, topography, and climate. Random K-Fold CV places adjacent cores (&lt; 1 km apart) in both train and test folds.</w:t>
        <w:br/>
        <w:t>3. Empirical Evidence: Demonstrated that random CV inflates reported R² by 0.15 to 0.25. Models achieve R² &gt; 0.90 under random splits but collapse to R² = 0.60 – 0.65 when evaluated out-of-region.</w:t>
        <w:br/>
        <w:t>4. Methodological Solution: Formulated Spatial Block Cross-Validation (SpatialBlockCV): partitioning data into discrete geographic spatial blocks (e.g., 50 km x 50 km) separated by buffer zones.</w:t>
        <w:br/>
        <w:t>5. Architectural Guidance: Concluded that SpatialBlockCV is the only scientifically valid method for assessing genuine out-of-region model generalizability.</w:t>
        <w:br/>
        <w:t>6. Project Relevance: Directly informs our validation framework (`src/utils/spatial_cv.py`), guaranteeing zero geographic leakage and robust real-world generalizability.</w:t>
      </w:r>
    </w:p>
    <w:p>
      <w:pPr>
        <w:pStyle w:val="Heading2"/>
      </w:pPr>
      <w:r>
        <w:rPr>
          <w:color w:val="003366"/>
        </w:rPr>
        <w:t>6.9 Paper 8: Tsakiridis, Oikonomidis, &amp; Theocharis (Geoderma, 2020)</w:t>
      </w:r>
    </w:p>
    <w:p>
      <w:r>
        <w:rPr>
          <w:rFonts w:ascii="Calibri" w:hAnsi="Calibri"/>
          <w:b/>
          <w:color w:val="4682B4"/>
          <w:sz w:val="21"/>
        </w:rPr>
        <w:t>A Localized Convolutional Neural Network Architecture for Predicting Soil Properties</w:t>
      </w:r>
    </w:p>
    <w:p>
      <w:pPr>
        <w:ind w:left="360"/>
      </w:pPr>
      <w:r>
        <w:rPr>
          <w:rFonts w:ascii="Calibri" w:hAnsi="Calibri"/>
          <w:i/>
          <w:color w:val="646464"/>
          <w:sz w:val="19"/>
        </w:rPr>
        <w:t>Formal Citation: Tsakiridis, N. L., Oikonomidis, A., &amp; Theocharis, J. B. (2020). Geoderma, 375, 114510. https://doi.org/10.1016/j.geoderma.2020.114510</w:t>
      </w:r>
    </w:p>
    <w:p>
      <w:pPr>
        <w:spacing w:line="276" w:lineRule="auto" w:after="160"/>
      </w:pPr>
      <w:r>
        <w:t>1. Investigation Objective: Resolve the 'black-box' dilemma of deep learning in soil spectroscopy by creating localized 1D-CNN architectures with interpretable filter attributions.</w:t>
        <w:br/>
        <w:t>2. Optical Sensor &amp; Dataset: LUCAS 2009 database (~19,000 samples) across the 400 – 2500 nm range.</w:t>
        <w:br/>
        <w:t>3. Explainability Formulation: Integrated Grad-CAM and backpropagation saliency mapping to project convolutional weight activations back onto specific physical wavelengths.</w:t>
        <w:br/>
        <w:t>4. Empirical Verification: Verified that trained convolutional filters align directly with known physical vibrational modes: 1400 nm (O-H), 1720 nm (C-H), 2205 nm (Al-OH), and 2310 nm (C-H/C=O).</w:t>
        <w:br/>
        <w:t>5. Scientific Impact: Proved that models lacking physical feature alignment overfit to dataset artifacts, while physically aligned models generalize across geographic regions.</w:t>
        <w:br/>
        <w:t>6. Project Relevance: Informs our explainability pipeline (`notebooks/03_saliency_and_residuals.py`), generating attribution saliency plots (`saliency_soc.png`) validating our 1D-CNN.</w:t>
      </w:r>
    </w:p>
    <w:p>
      <w:pPr>
        <w:pStyle w:val="Heading2"/>
      </w:pPr>
      <w:r>
        <w:rPr>
          <w:color w:val="003366"/>
        </w:rPr>
        <w:t>6.10 Paper 9: Angelopoulou, Tziolas, Balafoutis, &amp; Zalidis (Remote Sensing, 2019)</w:t>
      </w:r>
    </w:p>
    <w:p>
      <w:r>
        <w:rPr>
          <w:rFonts w:ascii="Calibri" w:hAnsi="Calibri"/>
          <w:b/>
          <w:color w:val="4682B4"/>
          <w:sz w:val="21"/>
        </w:rPr>
        <w:t>Remote Sensing Techniques for Soil Organic Carbon Estimation: A Review</w:t>
      </w:r>
    </w:p>
    <w:p>
      <w:pPr>
        <w:ind w:left="360"/>
      </w:pPr>
      <w:r>
        <w:rPr>
          <w:rFonts w:ascii="Calibri" w:hAnsi="Calibri"/>
          <w:i/>
          <w:color w:val="646464"/>
          <w:sz w:val="19"/>
        </w:rPr>
        <w:t>Formal Citation: Angelopoulou, T., Tziolas, N., Balafoutis, A., &amp; Zalidis, G. (2019). Remote Sensing, 11(6), 676. https://doi.org/10.3390/rs11060676</w:t>
      </w:r>
    </w:p>
    <w:p>
      <w:pPr>
        <w:spacing w:line="276" w:lineRule="auto" w:after="160"/>
      </w:pPr>
      <w:r>
        <w:t>1. Investigation Objective: Comprehensive review of optical remote sensing for SOC and soil nutrients, bridging proximal laboratory spectroscopy with airborne UAV hyperspectral imaging.</w:t>
        <w:br/>
        <w:t>2. Operational UAV Constraints: Analyzed Size, Weight, Power, and Cost (SWaP-C), flight endurance (15–30 min), payload weight (&lt; 2 kg), and camera frame rates (20–100 fps).</w:t>
        <w:br/>
        <w:t>3. Real-Time Latency Bottleneck: Quantified that real-time decision-making in precision agriculture (variable-rate fertilization) requires per-spectrum inference latency of &lt; 50 ms on low-power onboard companion computers (Raspberry Pi 4, Jetson Nano).</w:t>
        <w:br/>
        <w:t>4. Methodological Gap: Emphasized that bulky laboratory models requiring high-end GPUs cannot be deployed on operational UAVs, mandating lightweight architectures and integer quantization.</w:t>
        <w:br/>
        <w:t>5. In-Flight Atmospheric &amp; Moisture Effects: Confirmed that variable soil moisture and illumination angles represent the primary in-flight error sources for UAV hyperspectral payloads.</w:t>
        <w:br/>
        <w:t>6. Project Relevance: Sets the quantitative hardware latency benchmark (&lt; 50 ms) and motivates our ONNX export and INT8 quantization deployment pipeline (`src/quantize.py`).</w:t>
      </w:r>
    </w:p>
    <w:p>
      <w:r>
        <w:br w:type="page"/>
      </w:r>
    </w:p>
    <w:p>
      <w:pPr>
        <w:pStyle w:val="Heading1"/>
      </w:pPr>
      <w:r>
        <w:rPr>
          <w:color w:val="003366"/>
        </w:rPr>
        <w:t>7. Master 10-Study Comparative Literature Taxonomy Matrix</w:t>
      </w:r>
    </w:p>
    <w:p>
      <w:r>
        <w:t>The following master comparative taxonomy matrix benchmarks all 10 focal studies comprising our literature survey across dataset scale, target parameters, preprocessing pipelines, model architectures, validation protocols, reported metrics, and fundamental research gaps: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003366"/>
            <w:tcMar>
              <w:top w:w="70" w:type="dxa"/>
              <w:bottom w:w="70" w:type="dxa"/>
              <w:left w:w="100" w:type="dxa"/>
              <w:right w:w="100" w:type="dxa"/>
            </w:tcMar>
          </w:tcPr>
          <w:p>
            <w:pPr>
              <w:spacing w:before="40" w:after="40" w:line="252" w:lineRule="auto"/>
            </w:pPr>
            <w:r>
              <w:rPr>
                <w:rFonts w:ascii="Calibri" w:hAnsi="Calibri"/>
                <w:b/>
                <w:color w:val="FFFFFF"/>
                <w:sz w:val="19"/>
              </w:rPr>
              <w:t>Authors &amp; Year</w:t>
            </w:r>
          </w:p>
        </w:tc>
        <w:tc>
          <w:tcPr>
            <w:tcW w:type="dxa" w:w="1440"/>
            <w:shd w:fill="003366"/>
            <w:tcMar>
              <w:top w:w="70" w:type="dxa"/>
              <w:bottom w:w="70" w:type="dxa"/>
              <w:left w:w="100" w:type="dxa"/>
              <w:right w:w="100" w:type="dxa"/>
            </w:tcMar>
          </w:tcPr>
          <w:p>
            <w:pPr>
              <w:spacing w:before="40" w:after="40" w:line="252" w:lineRule="auto"/>
            </w:pPr>
            <w:r>
              <w:rPr>
                <w:rFonts w:ascii="Calibri" w:hAnsi="Calibri"/>
                <w:b/>
                <w:color w:val="FFFFFF"/>
                <w:sz w:val="19"/>
              </w:rPr>
              <w:t>Dataset &amp; Scale</w:t>
            </w:r>
          </w:p>
        </w:tc>
        <w:tc>
          <w:tcPr>
            <w:tcW w:type="dxa" w:w="1872"/>
            <w:shd w:fill="003366"/>
            <w:tcMar>
              <w:top w:w="70" w:type="dxa"/>
              <w:bottom w:w="70" w:type="dxa"/>
              <w:left w:w="100" w:type="dxa"/>
              <w:right w:w="100" w:type="dxa"/>
            </w:tcMar>
          </w:tcPr>
          <w:p>
            <w:pPr>
              <w:spacing w:before="40" w:after="40" w:line="252" w:lineRule="auto"/>
            </w:pPr>
            <w:r>
              <w:rPr>
                <w:rFonts w:ascii="Calibri" w:hAnsi="Calibri"/>
                <w:b/>
                <w:color w:val="FFFFFF"/>
                <w:sz w:val="19"/>
              </w:rPr>
              <w:t>Target Properties</w:t>
            </w:r>
          </w:p>
        </w:tc>
        <w:tc>
          <w:tcPr>
            <w:tcW w:type="dxa" w:w="1728"/>
            <w:shd w:fill="003366"/>
            <w:tcMar>
              <w:top w:w="70" w:type="dxa"/>
              <w:bottom w:w="70" w:type="dxa"/>
              <w:left w:w="100" w:type="dxa"/>
              <w:right w:w="100" w:type="dxa"/>
            </w:tcMar>
          </w:tcPr>
          <w:p>
            <w:pPr>
              <w:spacing w:before="40" w:after="40" w:line="252" w:lineRule="auto"/>
            </w:pPr>
            <w:r>
              <w:rPr>
                <w:rFonts w:ascii="Calibri" w:hAnsi="Calibri"/>
                <w:b/>
                <w:color w:val="FFFFFF"/>
                <w:sz w:val="19"/>
              </w:rPr>
              <w:t>Preprocessing Pipeline</w:t>
            </w:r>
          </w:p>
        </w:tc>
        <w:tc>
          <w:tcPr>
            <w:tcW w:type="dxa" w:w="1584"/>
            <w:shd w:fill="003366"/>
            <w:tcMar>
              <w:top w:w="70" w:type="dxa"/>
              <w:bottom w:w="70" w:type="dxa"/>
              <w:left w:w="100" w:type="dxa"/>
              <w:right w:w="100" w:type="dxa"/>
            </w:tcMar>
          </w:tcPr>
          <w:p>
            <w:pPr>
              <w:spacing w:before="40" w:after="40" w:line="252" w:lineRule="auto"/>
            </w:pPr>
            <w:r>
              <w:rPr>
                <w:rFonts w:ascii="Calibri" w:hAnsi="Calibri"/>
                <w:b/>
                <w:color w:val="FFFFFF"/>
                <w:sz w:val="19"/>
              </w:rPr>
              <w:t>Model Architecture</w:t>
            </w:r>
          </w:p>
        </w:tc>
        <w:tc>
          <w:tcPr>
            <w:tcW w:type="dxa" w:w="1872"/>
            <w:shd w:fill="003366"/>
            <w:tcMar>
              <w:top w:w="70" w:type="dxa"/>
              <w:bottom w:w="70" w:type="dxa"/>
              <w:left w:w="100" w:type="dxa"/>
              <w:right w:w="100" w:type="dxa"/>
            </w:tcMar>
          </w:tcPr>
          <w:p>
            <w:pPr>
              <w:spacing w:before="40" w:after="40" w:line="252" w:lineRule="auto"/>
            </w:pPr>
            <w:r>
              <w:rPr>
                <w:rFonts w:ascii="Calibri" w:hAnsi="Calibri"/>
                <w:b/>
                <w:color w:val="FFFFFF"/>
                <w:sz w:val="19"/>
              </w:rPr>
              <w:t>Key Results &amp; Critical Limitation</w:t>
            </w:r>
          </w:p>
        </w:tc>
      </w:tr>
      <w:tr>
        <w:tc>
          <w:tcPr>
            <w:tcW w:type="dxa" w:w="1584"/>
            <w:shd w:fill="F9FBFD"/>
            <w:tcMar>
              <w:top w:w="70" w:type="dxa"/>
              <w:bottom w:w="70" w:type="dxa"/>
              <w:left w:w="100" w:type="dxa"/>
              <w:right w:w="100" w:type="dxa"/>
            </w:tcMar>
          </w:tcPr>
          <w:p>
            <w:pPr>
              <w:spacing w:before="40" w:after="40" w:line="252" w:lineRule="auto"/>
            </w:pPr>
            <w:r>
              <w:rPr>
                <w:rFonts w:ascii="Calibri" w:hAnsi="Calibri"/>
                <w:sz w:val="17"/>
              </w:rPr>
              <w:t>Cao et al. (2024)</w:t>
              <w:br/>
              <w:t>[Base Benchmark]</w:t>
            </w:r>
          </w:p>
        </w:tc>
        <w:tc>
          <w:tcPr>
            <w:tcW w:type="dxa" w:w="1440"/>
            <w:shd w:fill="F9FBFD"/>
            <w:tcMar>
              <w:top w:w="70" w:type="dxa"/>
              <w:bottom w:w="70" w:type="dxa"/>
              <w:left w:w="100" w:type="dxa"/>
              <w:right w:w="100" w:type="dxa"/>
            </w:tcMar>
          </w:tcPr>
          <w:p>
            <w:pPr>
              <w:spacing w:before="40" w:after="40" w:line="252" w:lineRule="auto"/>
            </w:pPr>
            <w:r>
              <w:rPr>
                <w:rFonts w:ascii="Calibri" w:hAnsi="Calibri"/>
                <w:sz w:val="17"/>
              </w:rPr>
              <w:t>LUCAS 2009 EU</w:t>
              <w:br/>
              <w:t>(19,036 samples)</w:t>
            </w:r>
          </w:p>
        </w:tc>
        <w:tc>
          <w:tcPr>
            <w:tcW w:type="dxa" w:w="1872"/>
            <w:shd w:fill="F9FBFD"/>
            <w:tcMar>
              <w:top w:w="70" w:type="dxa"/>
              <w:bottom w:w="70" w:type="dxa"/>
              <w:left w:w="100" w:type="dxa"/>
              <w:right w:w="100" w:type="dxa"/>
            </w:tcMar>
          </w:tcPr>
          <w:p>
            <w:pPr>
              <w:spacing w:before="40" w:after="40" w:line="252" w:lineRule="auto"/>
            </w:pPr>
            <w:r>
              <w:rPr>
                <w:rFonts w:ascii="Calibri" w:hAnsi="Calibri"/>
                <w:sz w:val="17"/>
              </w:rPr>
              <w:t>OC, N, P, K, pH, Clay, Silt, Sand, CaCO3, CEC (11 targets)</w:t>
            </w:r>
          </w:p>
        </w:tc>
        <w:tc>
          <w:tcPr>
            <w:tcW w:type="dxa" w:w="1728"/>
            <w:shd w:fill="F9FBFD"/>
            <w:tcMar>
              <w:top w:w="70" w:type="dxa"/>
              <w:bottom w:w="70" w:type="dxa"/>
              <w:left w:w="100" w:type="dxa"/>
              <w:right w:w="100" w:type="dxa"/>
            </w:tcMar>
          </w:tcPr>
          <w:p>
            <w:pPr>
              <w:spacing w:before="40" w:after="40" w:line="252" w:lineRule="auto"/>
            </w:pPr>
            <w:r>
              <w:rPr>
                <w:rFonts w:ascii="Calibri" w:hAnsi="Calibri"/>
                <w:sz w:val="17"/>
              </w:rPr>
              <w:t>SG (11-pt) + 1st deriv; downsampled to 200 bands</w:t>
            </w:r>
          </w:p>
        </w:tc>
        <w:tc>
          <w:tcPr>
            <w:tcW w:type="dxa" w:w="1584"/>
            <w:shd w:fill="F9FBFD"/>
            <w:tcMar>
              <w:top w:w="70" w:type="dxa"/>
              <w:bottom w:w="70" w:type="dxa"/>
              <w:left w:w="100" w:type="dxa"/>
              <w:right w:w="100" w:type="dxa"/>
            </w:tcMar>
          </w:tcPr>
          <w:p>
            <w:pPr>
              <w:spacing w:before="40" w:after="40" w:line="252" w:lineRule="auto"/>
            </w:pPr>
            <w:r>
              <w:rPr>
                <w:rFonts w:ascii="Calibri" w:hAnsi="Calibri"/>
                <w:sz w:val="17"/>
              </w:rPr>
              <w:t>Parallel Transformer-CNN vs ResNet18, LSTM, SVR, PLSR</w:t>
            </w:r>
          </w:p>
        </w:tc>
        <w:tc>
          <w:tcPr>
            <w:tcW w:type="dxa" w:w="1872"/>
            <w:shd w:fill="F9FBFD"/>
            <w:tcMar>
              <w:top w:w="70" w:type="dxa"/>
              <w:bottom w:w="70" w:type="dxa"/>
              <w:left w:w="100" w:type="dxa"/>
              <w:right w:w="100" w:type="dxa"/>
            </w:tcMar>
          </w:tcPr>
          <w:p>
            <w:pPr>
              <w:spacing w:before="40" w:after="40" w:line="252" w:lineRule="auto"/>
            </w:pPr>
            <w:r>
              <w:rPr>
                <w:rFonts w:ascii="Calibri" w:hAnsi="Calibri"/>
                <w:sz w:val="17"/>
              </w:rPr>
              <w:t>OC: R²=0.94, RPD=3.65 (A)</w:t>
              <w:br/>
              <w:t>N: R²=0.94, RPD=3.42 (A)</w:t>
              <w:br/>
              <w:t>P: R²=0.81, RPD=2.05 (C)</w:t>
              <w:br/>
              <w:t>Gap: No moisture fix, heavy GPU</w:t>
            </w:r>
          </w:p>
        </w:tc>
      </w:tr>
      <w:tr>
        <w:tc>
          <w:tcPr>
            <w:tcW w:type="dxa" w:w="1584"/>
            <w:shd w:fill="FFFFFF"/>
            <w:tcMar>
              <w:top w:w="70" w:type="dxa"/>
              <w:bottom w:w="70" w:type="dxa"/>
              <w:left w:w="100" w:type="dxa"/>
              <w:right w:w="100" w:type="dxa"/>
            </w:tcMar>
          </w:tcPr>
          <w:p>
            <w:pPr>
              <w:spacing w:before="40" w:after="40" w:line="252" w:lineRule="auto"/>
            </w:pPr>
            <w:r>
              <w:rPr>
                <w:rFonts w:ascii="Calibri" w:hAnsi="Calibri"/>
                <w:sz w:val="17"/>
              </w:rPr>
              <w:t>Padarian et al. (2019)</w:t>
              <w:br/>
              <w:t>[Benchmark 1]</w:t>
            </w:r>
          </w:p>
        </w:tc>
        <w:tc>
          <w:tcPr>
            <w:tcW w:type="dxa" w:w="1440"/>
            <w:shd w:fill="FFFFFF"/>
            <w:tcMar>
              <w:top w:w="70" w:type="dxa"/>
              <w:bottom w:w="70" w:type="dxa"/>
              <w:left w:w="100" w:type="dxa"/>
              <w:right w:w="100" w:type="dxa"/>
            </w:tcMar>
          </w:tcPr>
          <w:p>
            <w:pPr>
              <w:spacing w:before="40" w:after="40" w:line="252" w:lineRule="auto"/>
            </w:pPr>
            <w:r>
              <w:rPr>
                <w:rFonts w:ascii="Calibri" w:hAnsi="Calibri"/>
                <w:sz w:val="17"/>
              </w:rPr>
              <w:t>LUCAS Topsoil</w:t>
              <w:br/>
              <w:t>(19,019 samples)</w:t>
            </w:r>
          </w:p>
        </w:tc>
        <w:tc>
          <w:tcPr>
            <w:tcW w:type="dxa" w:w="1872"/>
            <w:shd w:fill="FFFFFF"/>
            <w:tcMar>
              <w:top w:w="70" w:type="dxa"/>
              <w:bottom w:w="70" w:type="dxa"/>
              <w:left w:w="100" w:type="dxa"/>
              <w:right w:w="100" w:type="dxa"/>
            </w:tcMar>
          </w:tcPr>
          <w:p>
            <w:pPr>
              <w:spacing w:before="40" w:after="40" w:line="252" w:lineRule="auto"/>
            </w:pPr>
            <w:r>
              <w:rPr>
                <w:rFonts w:ascii="Calibri" w:hAnsi="Calibri"/>
                <w:sz w:val="17"/>
              </w:rPr>
              <w:t>SOC, Clay, Sand, Silt, pH, CEC</w:t>
            </w:r>
          </w:p>
        </w:tc>
        <w:tc>
          <w:tcPr>
            <w:tcW w:type="dxa" w:w="1728"/>
            <w:shd w:fill="FFFFFF"/>
            <w:tcMar>
              <w:top w:w="70" w:type="dxa"/>
              <w:bottom w:w="70" w:type="dxa"/>
              <w:left w:w="100" w:type="dxa"/>
              <w:right w:w="100" w:type="dxa"/>
            </w:tcMar>
          </w:tcPr>
          <w:p>
            <w:pPr>
              <w:spacing w:before="40" w:after="40" w:line="252" w:lineRule="auto"/>
            </w:pPr>
            <w:r>
              <w:rPr>
                <w:rFonts w:ascii="Calibri" w:hAnsi="Calibri"/>
                <w:sz w:val="17"/>
              </w:rPr>
              <w:t>Absorbance log(1/R), Standard Normal Variate (SNV)</w:t>
            </w:r>
          </w:p>
        </w:tc>
        <w:tc>
          <w:tcPr>
            <w:tcW w:type="dxa" w:w="1584"/>
            <w:shd w:fill="FFFFFF"/>
            <w:tcMar>
              <w:top w:w="70" w:type="dxa"/>
              <w:bottom w:w="70" w:type="dxa"/>
              <w:left w:w="100" w:type="dxa"/>
              <w:right w:w="100" w:type="dxa"/>
            </w:tcMar>
          </w:tcPr>
          <w:p>
            <w:pPr>
              <w:spacing w:before="40" w:after="40" w:line="252" w:lineRule="auto"/>
            </w:pPr>
            <w:r>
              <w:rPr>
                <w:rFonts w:ascii="Calibri" w:hAnsi="Calibri"/>
                <w:sz w:val="17"/>
              </w:rPr>
              <w:t>Multi-task 1D-CNN vs Single-task CNN, PLSR</w:t>
            </w:r>
          </w:p>
        </w:tc>
        <w:tc>
          <w:tcPr>
            <w:tcW w:type="dxa" w:w="1872"/>
            <w:shd w:fill="FFFFFF"/>
            <w:tcMar>
              <w:top w:w="70" w:type="dxa"/>
              <w:bottom w:w="70" w:type="dxa"/>
              <w:left w:w="100" w:type="dxa"/>
              <w:right w:w="100" w:type="dxa"/>
            </w:tcMar>
          </w:tcPr>
          <w:p>
            <w:pPr>
              <w:spacing w:before="40" w:after="40" w:line="252" w:lineRule="auto"/>
            </w:pPr>
            <w:r>
              <w:rPr>
                <w:rFonts w:ascii="Calibri" w:hAnsi="Calibri"/>
                <w:sz w:val="17"/>
              </w:rPr>
              <w:t>SOC: R²=0.81, RMSE=7.2 g/kg</w:t>
              <w:br/>
              <w:t>Clay: R²=0.85 (Tier B)</w:t>
              <w:br/>
              <w:t>Gap: Lab dry soils only, no UAV test</w:t>
            </w:r>
          </w:p>
        </w:tc>
      </w:tr>
      <w:tr>
        <w:tc>
          <w:tcPr>
            <w:tcW w:type="dxa" w:w="1584"/>
            <w:shd w:fill="F9FBFD"/>
            <w:tcMar>
              <w:top w:w="70" w:type="dxa"/>
              <w:bottom w:w="70" w:type="dxa"/>
              <w:left w:w="100" w:type="dxa"/>
              <w:right w:w="100" w:type="dxa"/>
            </w:tcMar>
          </w:tcPr>
          <w:p>
            <w:pPr>
              <w:spacing w:before="40" w:after="40" w:line="252" w:lineRule="auto"/>
            </w:pPr>
            <w:r>
              <w:rPr>
                <w:rFonts w:ascii="Calibri" w:hAnsi="Calibri"/>
                <w:sz w:val="17"/>
              </w:rPr>
              <w:t>Ng et al. (2019)</w:t>
              <w:br/>
              <w:t>[Benchmark 2]</w:t>
            </w:r>
          </w:p>
        </w:tc>
        <w:tc>
          <w:tcPr>
            <w:tcW w:type="dxa" w:w="1440"/>
            <w:shd w:fill="F9FBFD"/>
            <w:tcMar>
              <w:top w:w="70" w:type="dxa"/>
              <w:bottom w:w="70" w:type="dxa"/>
              <w:left w:w="100" w:type="dxa"/>
              <w:right w:w="100" w:type="dxa"/>
            </w:tcMar>
          </w:tcPr>
          <w:p>
            <w:pPr>
              <w:spacing w:before="40" w:after="40" w:line="252" w:lineRule="auto"/>
            </w:pPr>
            <w:r>
              <w:rPr>
                <w:rFonts w:ascii="Calibri" w:hAnsi="Calibri"/>
                <w:sz w:val="17"/>
              </w:rPr>
              <w:t>Vis-NIR + MIR</w:t>
              <w:br/>
              <w:t>(Combined libraries)</w:t>
            </w:r>
          </w:p>
        </w:tc>
        <w:tc>
          <w:tcPr>
            <w:tcW w:type="dxa" w:w="1872"/>
            <w:shd w:fill="F9FBFD"/>
            <w:tcMar>
              <w:top w:w="70" w:type="dxa"/>
              <w:bottom w:w="70" w:type="dxa"/>
              <w:left w:w="100" w:type="dxa"/>
              <w:right w:w="100" w:type="dxa"/>
            </w:tcMar>
          </w:tcPr>
          <w:p>
            <w:pPr>
              <w:spacing w:before="40" w:after="40" w:line="252" w:lineRule="auto"/>
            </w:pPr>
            <w:r>
              <w:rPr>
                <w:rFonts w:ascii="Calibri" w:hAnsi="Calibri"/>
                <w:sz w:val="17"/>
              </w:rPr>
              <w:t>SOC, Total N, Available P, Extractable K</w:t>
            </w:r>
          </w:p>
        </w:tc>
        <w:tc>
          <w:tcPr>
            <w:tcW w:type="dxa" w:w="1728"/>
            <w:shd w:fill="F9FBFD"/>
            <w:tcMar>
              <w:top w:w="70" w:type="dxa"/>
              <w:bottom w:w="70" w:type="dxa"/>
              <w:left w:w="100" w:type="dxa"/>
              <w:right w:w="100" w:type="dxa"/>
            </w:tcMar>
          </w:tcPr>
          <w:p>
            <w:pPr>
              <w:spacing w:before="40" w:after="40" w:line="252" w:lineRule="auto"/>
            </w:pPr>
            <w:r>
              <w:rPr>
                <w:rFonts w:ascii="Calibri" w:hAnsi="Calibri"/>
                <w:sz w:val="17"/>
              </w:rPr>
              <w:t>Resampling, Baseline offset, Savitzky-Golay</w:t>
            </w:r>
          </w:p>
        </w:tc>
        <w:tc>
          <w:tcPr>
            <w:tcW w:type="dxa" w:w="1584"/>
            <w:shd w:fill="F9FBFD"/>
            <w:tcMar>
              <w:top w:w="70" w:type="dxa"/>
              <w:bottom w:w="70" w:type="dxa"/>
              <w:left w:w="100" w:type="dxa"/>
              <w:right w:w="100" w:type="dxa"/>
            </w:tcMar>
          </w:tcPr>
          <w:p>
            <w:pPr>
              <w:spacing w:before="40" w:after="40" w:line="252" w:lineRule="auto"/>
            </w:pPr>
            <w:r>
              <w:rPr>
                <w:rFonts w:ascii="Calibri" w:hAnsi="Calibri"/>
                <w:sz w:val="17"/>
              </w:rPr>
              <w:t>Multi-Task 1D-CNN (Joint multi-analyte learning)</w:t>
            </w:r>
          </w:p>
        </w:tc>
        <w:tc>
          <w:tcPr>
            <w:tcW w:type="dxa" w:w="1872"/>
            <w:shd w:fill="F9FBFD"/>
            <w:tcMar>
              <w:top w:w="70" w:type="dxa"/>
              <w:bottom w:w="70" w:type="dxa"/>
              <w:left w:w="100" w:type="dxa"/>
              <w:right w:w="100" w:type="dxa"/>
            </w:tcMar>
          </w:tcPr>
          <w:p>
            <w:pPr>
              <w:spacing w:before="40" w:after="40" w:line="252" w:lineRule="auto"/>
            </w:pPr>
            <w:r>
              <w:rPr>
                <w:rFonts w:ascii="Calibri" w:hAnsi="Calibri"/>
                <w:sz w:val="17"/>
              </w:rPr>
              <w:t>SOC: R²=0.84, N: R²=0.80</w:t>
              <w:br/>
              <w:t>P &amp; K elevated by multi-task</w:t>
              <w:br/>
              <w:t>Gap: No spatial CV, P/K still low in NIR</w:t>
            </w:r>
          </w:p>
        </w:tc>
      </w:tr>
      <w:tr>
        <w:tc>
          <w:tcPr>
            <w:tcW w:type="dxa" w:w="1584"/>
            <w:shd w:fill="FFFFFF"/>
            <w:tcMar>
              <w:top w:w="70" w:type="dxa"/>
              <w:bottom w:w="70" w:type="dxa"/>
              <w:left w:w="100" w:type="dxa"/>
              <w:right w:w="100" w:type="dxa"/>
            </w:tcMar>
          </w:tcPr>
          <w:p>
            <w:pPr>
              <w:spacing w:before="40" w:after="40" w:line="252" w:lineRule="auto"/>
            </w:pPr>
            <w:r>
              <w:rPr>
                <w:rFonts w:ascii="Calibri" w:hAnsi="Calibri"/>
                <w:sz w:val="17"/>
              </w:rPr>
              <w:t>Clark &amp; Roush (1984)</w:t>
              <w:br/>
              <w:t>[Benchmark 3]</w:t>
            </w:r>
          </w:p>
        </w:tc>
        <w:tc>
          <w:tcPr>
            <w:tcW w:type="dxa" w:w="1440"/>
            <w:shd w:fill="FFFFFF"/>
            <w:tcMar>
              <w:top w:w="70" w:type="dxa"/>
              <w:bottom w:w="70" w:type="dxa"/>
              <w:left w:w="100" w:type="dxa"/>
              <w:right w:w="100" w:type="dxa"/>
            </w:tcMar>
          </w:tcPr>
          <w:p>
            <w:pPr>
              <w:spacing w:before="40" w:after="40" w:line="252" w:lineRule="auto"/>
            </w:pPr>
            <w:r>
              <w:rPr>
                <w:rFonts w:ascii="Calibri" w:hAnsi="Calibri"/>
                <w:sz w:val="17"/>
              </w:rPr>
              <w:t>Planetary / Mineral</w:t>
              <w:br/>
              <w:t>(Reflectance spectra)</w:t>
            </w:r>
          </w:p>
        </w:tc>
        <w:tc>
          <w:tcPr>
            <w:tcW w:type="dxa" w:w="1872"/>
            <w:shd w:fill="FFFFFF"/>
            <w:tcMar>
              <w:top w:w="70" w:type="dxa"/>
              <w:bottom w:w="70" w:type="dxa"/>
              <w:left w:w="100" w:type="dxa"/>
              <w:right w:w="100" w:type="dxa"/>
            </w:tcMar>
          </w:tcPr>
          <w:p>
            <w:pPr>
              <w:spacing w:before="40" w:after="40" w:line="252" w:lineRule="auto"/>
            </w:pPr>
            <w:r>
              <w:rPr>
                <w:rFonts w:ascii="Calibri" w:hAnsi="Calibri"/>
                <w:sz w:val="17"/>
              </w:rPr>
              <w:t>Absorption band depth, Mineralogy, Organics</w:t>
            </w:r>
          </w:p>
        </w:tc>
        <w:tc>
          <w:tcPr>
            <w:tcW w:type="dxa" w:w="1728"/>
            <w:shd w:fill="FFFFFF"/>
            <w:tcMar>
              <w:top w:w="70" w:type="dxa"/>
              <w:bottom w:w="70" w:type="dxa"/>
              <w:left w:w="100" w:type="dxa"/>
              <w:right w:w="100" w:type="dxa"/>
            </w:tcMar>
          </w:tcPr>
          <w:p>
            <w:pPr>
              <w:spacing w:before="40" w:after="40" w:line="252" w:lineRule="auto"/>
            </w:pPr>
            <w:r>
              <w:rPr>
                <w:rFonts w:ascii="Calibri" w:hAnsi="Calibri"/>
                <w:sz w:val="17"/>
              </w:rPr>
              <w:t>Upper Convex Hull Continuum Removal: Rc = R / C(λ)</w:t>
            </w:r>
          </w:p>
        </w:tc>
        <w:tc>
          <w:tcPr>
            <w:tcW w:type="dxa" w:w="1584"/>
            <w:shd w:fill="FFFFFF"/>
            <w:tcMar>
              <w:top w:w="70" w:type="dxa"/>
              <w:bottom w:w="70" w:type="dxa"/>
              <w:left w:w="100" w:type="dxa"/>
              <w:right w:w="100" w:type="dxa"/>
            </w:tcMar>
          </w:tcPr>
          <w:p>
            <w:pPr>
              <w:spacing w:before="40" w:after="40" w:line="252" w:lineRule="auto"/>
            </w:pPr>
            <w:r>
              <w:rPr>
                <w:rFonts w:ascii="Calibri" w:hAnsi="Calibri"/>
                <w:sz w:val="17"/>
              </w:rPr>
              <w:t>Analytical Beer-Lambert Band Depth Mechanics</w:t>
            </w:r>
          </w:p>
        </w:tc>
        <w:tc>
          <w:tcPr>
            <w:tcW w:type="dxa" w:w="1872"/>
            <w:shd w:fill="FFFFFF"/>
            <w:tcMar>
              <w:top w:w="70" w:type="dxa"/>
              <w:bottom w:w="70" w:type="dxa"/>
              <w:left w:w="100" w:type="dxa"/>
              <w:right w:w="100" w:type="dxa"/>
            </w:tcMar>
          </w:tcPr>
          <w:p>
            <w:pPr>
              <w:spacing w:before="40" w:after="40" w:line="252" w:lineRule="auto"/>
            </w:pPr>
            <w:r>
              <w:rPr>
                <w:rFonts w:ascii="Calibri" w:hAnsi="Calibri"/>
                <w:sz w:val="17"/>
              </w:rPr>
              <w:t>Proved band depth (1-Rc) linear</w:t>
              <w:br/>
              <w:t>with chemical concentration</w:t>
              <w:br/>
              <w:t>Gap: Manual hull fitting in early tech</w:t>
            </w:r>
          </w:p>
        </w:tc>
      </w:tr>
      <w:tr>
        <w:tc>
          <w:tcPr>
            <w:tcW w:type="dxa" w:w="1584"/>
            <w:shd w:fill="F9FBFD"/>
            <w:tcMar>
              <w:top w:w="70" w:type="dxa"/>
              <w:bottom w:w="70" w:type="dxa"/>
              <w:left w:w="100" w:type="dxa"/>
              <w:right w:w="100" w:type="dxa"/>
            </w:tcMar>
          </w:tcPr>
          <w:p>
            <w:pPr>
              <w:spacing w:before="40" w:after="40" w:line="252" w:lineRule="auto"/>
            </w:pPr>
            <w:r>
              <w:rPr>
                <w:rFonts w:ascii="Calibri" w:hAnsi="Calibri"/>
                <w:sz w:val="17"/>
              </w:rPr>
              <w:t>Zhang et al. (2010)</w:t>
              <w:br/>
              <w:t>[Benchmark 4]</w:t>
            </w:r>
          </w:p>
        </w:tc>
        <w:tc>
          <w:tcPr>
            <w:tcW w:type="dxa" w:w="1440"/>
            <w:shd w:fill="F9FBFD"/>
            <w:tcMar>
              <w:top w:w="70" w:type="dxa"/>
              <w:bottom w:w="70" w:type="dxa"/>
              <w:left w:w="100" w:type="dxa"/>
              <w:right w:w="100" w:type="dxa"/>
            </w:tcMar>
          </w:tcPr>
          <w:p>
            <w:pPr>
              <w:spacing w:before="40" w:after="40" w:line="252" w:lineRule="auto"/>
            </w:pPr>
            <w:r>
              <w:rPr>
                <w:rFonts w:ascii="Calibri" w:hAnsi="Calibri"/>
                <w:sz w:val="17"/>
              </w:rPr>
              <w:t>Spectroscopic profiles</w:t>
              <w:br/>
              <w:t>(Severe baseline drift)</w:t>
            </w:r>
          </w:p>
        </w:tc>
        <w:tc>
          <w:tcPr>
            <w:tcW w:type="dxa" w:w="1872"/>
            <w:shd w:fill="F9FBFD"/>
            <w:tcMar>
              <w:top w:w="70" w:type="dxa"/>
              <w:bottom w:w="70" w:type="dxa"/>
              <w:left w:w="100" w:type="dxa"/>
              <w:right w:w="100" w:type="dxa"/>
            </w:tcMar>
          </w:tcPr>
          <w:p>
            <w:pPr>
              <w:spacing w:before="40" w:after="40" w:line="252" w:lineRule="auto"/>
            </w:pPr>
            <w:r>
              <w:rPr>
                <w:rFonts w:ascii="Calibri" w:hAnsi="Calibri"/>
                <w:sz w:val="17"/>
              </w:rPr>
              <w:t>Automated Baseline Drift Removal</w:t>
            </w:r>
          </w:p>
        </w:tc>
        <w:tc>
          <w:tcPr>
            <w:tcW w:type="dxa" w:w="1728"/>
            <w:shd w:fill="F9FBFD"/>
            <w:tcMar>
              <w:top w:w="70" w:type="dxa"/>
              <w:bottom w:w="70" w:type="dxa"/>
              <w:left w:w="100" w:type="dxa"/>
              <w:right w:w="100" w:type="dxa"/>
            </w:tcMar>
          </w:tcPr>
          <w:p>
            <w:pPr>
              <w:spacing w:before="40" w:after="40" w:line="252" w:lineRule="auto"/>
            </w:pPr>
            <w:r>
              <w:rPr>
                <w:rFonts w:ascii="Calibri" w:hAnsi="Calibri"/>
                <w:sz w:val="17"/>
              </w:rPr>
              <w:t>airPLS: Adaptive Iteratively Reweighted Penalized LS</w:t>
            </w:r>
          </w:p>
        </w:tc>
        <w:tc>
          <w:tcPr>
            <w:tcW w:type="dxa" w:w="1584"/>
            <w:shd w:fill="F9FBFD"/>
            <w:tcMar>
              <w:top w:w="70" w:type="dxa"/>
              <w:bottom w:w="70" w:type="dxa"/>
              <w:left w:w="100" w:type="dxa"/>
              <w:right w:w="100" w:type="dxa"/>
            </w:tcMar>
          </w:tcPr>
          <w:p>
            <w:pPr>
              <w:spacing w:before="40" w:after="40" w:line="252" w:lineRule="auto"/>
            </w:pPr>
            <w:r>
              <w:rPr>
                <w:rFonts w:ascii="Calibri" w:hAnsi="Calibri"/>
                <w:sz w:val="17"/>
              </w:rPr>
              <w:t>Penalized Least Squares with second-order curvature</w:t>
            </w:r>
          </w:p>
        </w:tc>
        <w:tc>
          <w:tcPr>
            <w:tcW w:type="dxa" w:w="1872"/>
            <w:shd w:fill="F9FBFD"/>
            <w:tcMar>
              <w:top w:w="70" w:type="dxa"/>
              <w:bottom w:w="70" w:type="dxa"/>
              <w:left w:w="100" w:type="dxa"/>
              <w:right w:w="100" w:type="dxa"/>
            </w:tcMar>
          </w:tcPr>
          <w:p>
            <w:pPr>
              <w:spacing w:before="40" w:after="40" w:line="252" w:lineRule="auto"/>
            </w:pPr>
            <w:r>
              <w:rPr>
                <w:rFonts w:ascii="Calibri" w:hAnsi="Calibri"/>
                <w:sz w:val="17"/>
              </w:rPr>
              <w:t>Baseline converged in &lt;10 ms</w:t>
              <w:br/>
              <w:t>Zero manual asymmetry tuning</w:t>
              <w:br/>
              <w:t>Gap: Requires broad overtone protection</w:t>
            </w:r>
          </w:p>
        </w:tc>
      </w:tr>
      <w:tr>
        <w:tc>
          <w:tcPr>
            <w:tcW w:type="dxa" w:w="1584"/>
            <w:shd w:fill="FFFFFF"/>
            <w:tcMar>
              <w:top w:w="70" w:type="dxa"/>
              <w:bottom w:w="70" w:type="dxa"/>
              <w:left w:w="100" w:type="dxa"/>
              <w:right w:w="100" w:type="dxa"/>
            </w:tcMar>
          </w:tcPr>
          <w:p>
            <w:pPr>
              <w:spacing w:before="40" w:after="40" w:line="252" w:lineRule="auto"/>
            </w:pPr>
            <w:r>
              <w:rPr>
                <w:rFonts w:ascii="Calibri" w:hAnsi="Calibri"/>
                <w:sz w:val="17"/>
              </w:rPr>
              <w:t>Minasny et al. (2011)</w:t>
              <w:br/>
              <w:t>[Benchmark 5]</w:t>
            </w:r>
          </w:p>
        </w:tc>
        <w:tc>
          <w:tcPr>
            <w:tcW w:type="dxa" w:w="1440"/>
            <w:shd w:fill="FFFFFF"/>
            <w:tcMar>
              <w:top w:w="70" w:type="dxa"/>
              <w:bottom w:w="70" w:type="dxa"/>
              <w:left w:w="100" w:type="dxa"/>
              <w:right w:w="100" w:type="dxa"/>
            </w:tcMar>
          </w:tcPr>
          <w:p>
            <w:pPr>
              <w:spacing w:before="40" w:after="40" w:line="252" w:lineRule="auto"/>
            </w:pPr>
            <w:r>
              <w:rPr>
                <w:rFonts w:ascii="Calibri" w:hAnsi="Calibri"/>
                <w:sz w:val="17"/>
              </w:rPr>
              <w:t>Lab Soil Samples</w:t>
              <w:br/>
              <w:t>(0% to 30% moisture)</w:t>
            </w:r>
          </w:p>
        </w:tc>
        <w:tc>
          <w:tcPr>
            <w:tcW w:type="dxa" w:w="1872"/>
            <w:shd w:fill="FFFFFF"/>
            <w:tcMar>
              <w:top w:w="70" w:type="dxa"/>
              <w:bottom w:w="70" w:type="dxa"/>
              <w:left w:w="100" w:type="dxa"/>
              <w:right w:w="100" w:type="dxa"/>
            </w:tcMar>
          </w:tcPr>
          <w:p>
            <w:pPr>
              <w:spacing w:before="40" w:after="40" w:line="252" w:lineRule="auto"/>
            </w:pPr>
            <w:r>
              <w:rPr>
                <w:rFonts w:ascii="Calibri" w:hAnsi="Calibri"/>
                <w:sz w:val="17"/>
              </w:rPr>
              <w:t>Soil Organic Carbon (SOC) under moisture</w:t>
            </w:r>
          </w:p>
        </w:tc>
        <w:tc>
          <w:tcPr>
            <w:tcW w:type="dxa" w:w="1728"/>
            <w:shd w:fill="FFFFFF"/>
            <w:tcMar>
              <w:top w:w="70" w:type="dxa"/>
              <w:bottom w:w="70" w:type="dxa"/>
              <w:left w:w="100" w:type="dxa"/>
              <w:right w:w="100" w:type="dxa"/>
            </w:tcMar>
          </w:tcPr>
          <w:p>
            <w:pPr>
              <w:spacing w:before="40" w:after="40" w:line="252" w:lineRule="auto"/>
            </w:pPr>
            <w:r>
              <w:rPr>
                <w:rFonts w:ascii="Calibri" w:hAnsi="Calibri"/>
                <w:sz w:val="17"/>
              </w:rPr>
              <w:t>Continuum Removal vs External Parameter Orthog. (EPO)</w:t>
            </w:r>
          </w:p>
        </w:tc>
        <w:tc>
          <w:tcPr>
            <w:tcW w:type="dxa" w:w="1584"/>
            <w:shd w:fill="FFFFFF"/>
            <w:tcMar>
              <w:top w:w="70" w:type="dxa"/>
              <w:bottom w:w="70" w:type="dxa"/>
              <w:left w:w="100" w:type="dxa"/>
              <w:right w:w="100" w:type="dxa"/>
            </w:tcMar>
          </w:tcPr>
          <w:p>
            <w:pPr>
              <w:spacing w:before="40" w:after="40" w:line="252" w:lineRule="auto"/>
            </w:pPr>
            <w:r>
              <w:rPr>
                <w:rFonts w:ascii="Calibri" w:hAnsi="Calibri"/>
                <w:sz w:val="17"/>
              </w:rPr>
              <w:t>PLSR &amp; Continuum Depth Regression</w:t>
            </w:r>
          </w:p>
        </w:tc>
        <w:tc>
          <w:tcPr>
            <w:tcW w:type="dxa" w:w="1872"/>
            <w:shd w:fill="FFFFFF"/>
            <w:tcMar>
              <w:top w:w="70" w:type="dxa"/>
              <w:bottom w:w="70" w:type="dxa"/>
              <w:left w:w="100" w:type="dxa"/>
              <w:right w:w="100" w:type="dxa"/>
            </w:tcMar>
          </w:tcPr>
          <w:p>
            <w:pPr>
              <w:spacing w:before="40" w:after="40" w:line="252" w:lineRule="auto"/>
            </w:pPr>
            <w:r>
              <w:rPr>
                <w:rFonts w:ascii="Calibri" w:hAnsi="Calibri"/>
                <w:sz w:val="17"/>
              </w:rPr>
              <w:t>Moisture cuts R² by 40-50%</w:t>
              <w:br/>
              <w:t>Continuum removal restores R²=0.82</w:t>
              <w:br/>
              <w:t>Gap: Evaluated only on linear PLSR</w:t>
            </w:r>
          </w:p>
        </w:tc>
      </w:tr>
      <w:tr>
        <w:tc>
          <w:tcPr>
            <w:tcW w:type="dxa" w:w="1584"/>
            <w:shd w:fill="F9FBFD"/>
            <w:tcMar>
              <w:top w:w="70" w:type="dxa"/>
              <w:bottom w:w="70" w:type="dxa"/>
              <w:left w:w="100" w:type="dxa"/>
              <w:right w:w="100" w:type="dxa"/>
            </w:tcMar>
          </w:tcPr>
          <w:p>
            <w:pPr>
              <w:spacing w:before="40" w:after="40" w:line="252" w:lineRule="auto"/>
            </w:pPr>
            <w:r>
              <w:rPr>
                <w:rFonts w:ascii="Calibri" w:hAnsi="Calibri"/>
                <w:sz w:val="17"/>
              </w:rPr>
              <w:t>Orgiazzi et al. (2018)</w:t>
              <w:br/>
              <w:t>[Benchmark 6]</w:t>
            </w:r>
          </w:p>
        </w:tc>
        <w:tc>
          <w:tcPr>
            <w:tcW w:type="dxa" w:w="1440"/>
            <w:shd w:fill="F9FBFD"/>
            <w:tcMar>
              <w:top w:w="70" w:type="dxa"/>
              <w:bottom w:w="70" w:type="dxa"/>
              <w:left w:w="100" w:type="dxa"/>
              <w:right w:w="100" w:type="dxa"/>
            </w:tcMar>
          </w:tcPr>
          <w:p>
            <w:pPr>
              <w:spacing w:before="40" w:after="40" w:line="252" w:lineRule="auto"/>
            </w:pPr>
            <w:r>
              <w:rPr>
                <w:rFonts w:ascii="Calibri" w:hAnsi="Calibri"/>
                <w:sz w:val="17"/>
              </w:rPr>
              <w:t>LUCAS Topsoil EU</w:t>
              <w:br/>
              <w:t>(19,000+ samples)</w:t>
            </w:r>
          </w:p>
        </w:tc>
        <w:tc>
          <w:tcPr>
            <w:tcW w:type="dxa" w:w="1872"/>
            <w:shd w:fill="F9FBFD"/>
            <w:tcMar>
              <w:top w:w="70" w:type="dxa"/>
              <w:bottom w:w="70" w:type="dxa"/>
              <w:left w:w="100" w:type="dxa"/>
              <w:right w:w="100" w:type="dxa"/>
            </w:tcMar>
          </w:tcPr>
          <w:p>
            <w:pPr>
              <w:spacing w:before="40" w:after="40" w:line="252" w:lineRule="auto"/>
            </w:pPr>
            <w:r>
              <w:rPr>
                <w:rFonts w:ascii="Calibri" w:hAnsi="Calibri"/>
                <w:sz w:val="17"/>
              </w:rPr>
              <w:t>SOC, N, P, K, pH, Clay, Carbonates (ISO methods)</w:t>
            </w:r>
          </w:p>
        </w:tc>
        <w:tc>
          <w:tcPr>
            <w:tcW w:type="dxa" w:w="1728"/>
            <w:shd w:fill="F9FBFD"/>
            <w:tcMar>
              <w:top w:w="70" w:type="dxa"/>
              <w:bottom w:w="70" w:type="dxa"/>
              <w:left w:w="100" w:type="dxa"/>
              <w:right w:w="100" w:type="dxa"/>
            </w:tcMar>
          </w:tcPr>
          <w:p>
            <w:pPr>
              <w:spacing w:before="40" w:after="40" w:line="252" w:lineRule="auto"/>
            </w:pPr>
            <w:r>
              <w:rPr>
                <w:rFonts w:ascii="Calibri" w:hAnsi="Calibri"/>
                <w:sz w:val="17"/>
              </w:rPr>
              <w:t>ASD FieldSpec protocol, Standard ISO chemistry</w:t>
            </w:r>
          </w:p>
        </w:tc>
        <w:tc>
          <w:tcPr>
            <w:tcW w:type="dxa" w:w="1584"/>
            <w:shd w:fill="F9FBFD"/>
            <w:tcMar>
              <w:top w:w="70" w:type="dxa"/>
              <w:bottom w:w="70" w:type="dxa"/>
              <w:left w:w="100" w:type="dxa"/>
              <w:right w:w="100" w:type="dxa"/>
            </w:tcMar>
          </w:tcPr>
          <w:p>
            <w:pPr>
              <w:spacing w:before="40" w:after="40" w:line="252" w:lineRule="auto"/>
            </w:pPr>
            <w:r>
              <w:rPr>
                <w:rFonts w:ascii="Calibri" w:hAnsi="Calibri"/>
                <w:sz w:val="17"/>
              </w:rPr>
              <w:t>Continental Soil Survey Standard Review</w:t>
            </w:r>
          </w:p>
        </w:tc>
        <w:tc>
          <w:tcPr>
            <w:tcW w:type="dxa" w:w="1872"/>
            <w:shd w:fill="F9FBFD"/>
            <w:tcMar>
              <w:top w:w="70" w:type="dxa"/>
              <w:bottom w:w="70" w:type="dxa"/>
              <w:left w:w="100" w:type="dxa"/>
              <w:right w:w="100" w:type="dxa"/>
            </w:tcMar>
          </w:tcPr>
          <w:p>
            <w:pPr>
              <w:spacing w:before="40" w:after="40" w:line="252" w:lineRule="auto"/>
            </w:pPr>
            <w:r>
              <w:rPr>
                <w:rFonts w:ascii="Calibri" w:hAnsi="Calibri"/>
                <w:sz w:val="17"/>
              </w:rPr>
              <w:t>Established &lt; LOD censoring protocols</w:t>
              <w:br/>
              <w:t>and right-skewed nutrient stats</w:t>
              <w:br/>
              <w:t>Gap: Identified spatial clustering risks</w:t>
            </w:r>
          </w:p>
        </w:tc>
      </w:tr>
      <w:tr>
        <w:tc>
          <w:tcPr>
            <w:tcW w:type="dxa" w:w="1584"/>
            <w:shd w:fill="FFFFFF"/>
            <w:tcMar>
              <w:top w:w="70" w:type="dxa"/>
              <w:bottom w:w="70" w:type="dxa"/>
              <w:left w:w="100" w:type="dxa"/>
              <w:right w:w="100" w:type="dxa"/>
            </w:tcMar>
          </w:tcPr>
          <w:p>
            <w:pPr>
              <w:spacing w:before="40" w:after="40" w:line="252" w:lineRule="auto"/>
            </w:pPr>
            <w:r>
              <w:rPr>
                <w:rFonts w:ascii="Calibri" w:hAnsi="Calibri"/>
                <w:sz w:val="17"/>
              </w:rPr>
              <w:t>Wadoux et al. (2021)</w:t>
              <w:br/>
              <w:t>[Benchmark 7]</w:t>
            </w:r>
          </w:p>
        </w:tc>
        <w:tc>
          <w:tcPr>
            <w:tcW w:type="dxa" w:w="1440"/>
            <w:shd w:fill="FFFFFF"/>
            <w:tcMar>
              <w:top w:w="70" w:type="dxa"/>
              <w:bottom w:w="70" w:type="dxa"/>
              <w:left w:w="100" w:type="dxa"/>
              <w:right w:w="100" w:type="dxa"/>
            </w:tcMar>
          </w:tcPr>
          <w:p>
            <w:pPr>
              <w:spacing w:before="40" w:after="40" w:line="252" w:lineRule="auto"/>
            </w:pPr>
            <w:r>
              <w:rPr>
                <w:rFonts w:ascii="Calibri" w:hAnsi="Calibri"/>
                <w:sz w:val="17"/>
              </w:rPr>
              <w:t>LUCAS Topsoil EU</w:t>
              <w:br/>
              <w:t>(18,500 samples)</w:t>
            </w:r>
          </w:p>
        </w:tc>
        <w:tc>
          <w:tcPr>
            <w:tcW w:type="dxa" w:w="1872"/>
            <w:shd w:fill="FFFFFF"/>
            <w:tcMar>
              <w:top w:w="70" w:type="dxa"/>
              <w:bottom w:w="70" w:type="dxa"/>
              <w:left w:w="100" w:type="dxa"/>
              <w:right w:w="100" w:type="dxa"/>
            </w:tcMar>
          </w:tcPr>
          <w:p>
            <w:pPr>
              <w:spacing w:before="40" w:after="40" w:line="252" w:lineRule="auto"/>
            </w:pPr>
            <w:r>
              <w:rPr>
                <w:rFonts w:ascii="Calibri" w:hAnsi="Calibri"/>
                <w:sz w:val="17"/>
              </w:rPr>
              <w:t>Soil Organic Carbon (SOC)</w:t>
            </w:r>
          </w:p>
        </w:tc>
        <w:tc>
          <w:tcPr>
            <w:tcW w:type="dxa" w:w="1728"/>
            <w:shd w:fill="FFFFFF"/>
            <w:tcMar>
              <w:top w:w="70" w:type="dxa"/>
              <w:bottom w:w="70" w:type="dxa"/>
              <w:left w:w="100" w:type="dxa"/>
              <w:right w:w="100" w:type="dxa"/>
            </w:tcMar>
          </w:tcPr>
          <w:p>
            <w:pPr>
              <w:spacing w:before="40" w:after="40" w:line="252" w:lineRule="auto"/>
            </w:pPr>
            <w:r>
              <w:rPr>
                <w:rFonts w:ascii="Calibri" w:hAnsi="Calibri"/>
                <w:sz w:val="17"/>
              </w:rPr>
              <w:t>None vs Savitzky-Golay vs SNV</w:t>
            </w:r>
          </w:p>
        </w:tc>
        <w:tc>
          <w:tcPr>
            <w:tcW w:type="dxa" w:w="1584"/>
            <w:shd w:fill="FFFFFF"/>
            <w:tcMar>
              <w:top w:w="70" w:type="dxa"/>
              <w:bottom w:w="70" w:type="dxa"/>
              <w:left w:w="100" w:type="dxa"/>
              <w:right w:w="100" w:type="dxa"/>
            </w:tcMar>
          </w:tcPr>
          <w:p>
            <w:pPr>
              <w:spacing w:before="40" w:after="40" w:line="252" w:lineRule="auto"/>
            </w:pPr>
            <w:r>
              <w:rPr>
                <w:rFonts w:ascii="Calibri" w:hAnsi="Calibri"/>
                <w:sz w:val="17"/>
              </w:rPr>
              <w:t>1D-CNN, Random Forest</w:t>
              <w:br/>
              <w:t>[Spatial Block CV vs Random CV]</w:t>
            </w:r>
          </w:p>
        </w:tc>
        <w:tc>
          <w:tcPr>
            <w:tcW w:type="dxa" w:w="1872"/>
            <w:shd w:fill="FFFFFF"/>
            <w:tcMar>
              <w:top w:w="70" w:type="dxa"/>
              <w:bottom w:w="70" w:type="dxa"/>
              <w:left w:w="100" w:type="dxa"/>
              <w:right w:w="100" w:type="dxa"/>
            </w:tcMar>
          </w:tcPr>
          <w:p>
            <w:pPr>
              <w:spacing w:before="40" w:after="40" w:line="252" w:lineRule="auto"/>
            </w:pPr>
            <w:r>
              <w:rPr>
                <w:rFonts w:ascii="Calibri" w:hAnsi="Calibri"/>
                <w:sz w:val="17"/>
              </w:rPr>
              <w:t>Random CV: R²=0.88, RPD=2.8</w:t>
              <w:br/>
              <w:t>Spatial Block CV: R²=0.64, RPD=1.7</w:t>
              <w:br/>
              <w:t>Proved random CV inflates R²!</w:t>
            </w:r>
          </w:p>
        </w:tc>
      </w:tr>
      <w:tr>
        <w:tc>
          <w:tcPr>
            <w:tcW w:type="dxa" w:w="1584"/>
            <w:shd w:fill="F9FBFD"/>
            <w:tcMar>
              <w:top w:w="70" w:type="dxa"/>
              <w:bottom w:w="70" w:type="dxa"/>
              <w:left w:w="100" w:type="dxa"/>
              <w:right w:w="100" w:type="dxa"/>
            </w:tcMar>
          </w:tcPr>
          <w:p>
            <w:pPr>
              <w:spacing w:before="40" w:after="40" w:line="252" w:lineRule="auto"/>
            </w:pPr>
            <w:r>
              <w:rPr>
                <w:rFonts w:ascii="Calibri" w:hAnsi="Calibri"/>
                <w:sz w:val="17"/>
              </w:rPr>
              <w:t>Tsakiridis et al. (2020)</w:t>
              <w:br/>
              <w:t>[Benchmark 8]</w:t>
            </w:r>
          </w:p>
        </w:tc>
        <w:tc>
          <w:tcPr>
            <w:tcW w:type="dxa" w:w="1440"/>
            <w:shd w:fill="F9FBFD"/>
            <w:tcMar>
              <w:top w:w="70" w:type="dxa"/>
              <w:bottom w:w="70" w:type="dxa"/>
              <w:left w:w="100" w:type="dxa"/>
              <w:right w:w="100" w:type="dxa"/>
            </w:tcMar>
          </w:tcPr>
          <w:p>
            <w:pPr>
              <w:spacing w:before="40" w:after="40" w:line="252" w:lineRule="auto"/>
            </w:pPr>
            <w:r>
              <w:rPr>
                <w:rFonts w:ascii="Calibri" w:hAnsi="Calibri"/>
                <w:sz w:val="17"/>
              </w:rPr>
              <w:t>LUCAS 2009</w:t>
              <w:br/>
              <w:t>(19,000 samples)</w:t>
            </w:r>
          </w:p>
        </w:tc>
        <w:tc>
          <w:tcPr>
            <w:tcW w:type="dxa" w:w="1872"/>
            <w:shd w:fill="F9FBFD"/>
            <w:tcMar>
              <w:top w:w="70" w:type="dxa"/>
              <w:bottom w:w="70" w:type="dxa"/>
              <w:left w:w="100" w:type="dxa"/>
              <w:right w:w="100" w:type="dxa"/>
            </w:tcMar>
          </w:tcPr>
          <w:p>
            <w:pPr>
              <w:spacing w:before="40" w:after="40" w:line="252" w:lineRule="auto"/>
            </w:pPr>
            <w:r>
              <w:rPr>
                <w:rFonts w:ascii="Calibri" w:hAnsi="Calibri"/>
                <w:sz w:val="17"/>
              </w:rPr>
              <w:t>Organic Carbon, Clay, pH</w:t>
            </w:r>
          </w:p>
        </w:tc>
        <w:tc>
          <w:tcPr>
            <w:tcW w:type="dxa" w:w="1728"/>
            <w:shd w:fill="F9FBFD"/>
            <w:tcMar>
              <w:top w:w="70" w:type="dxa"/>
              <w:bottom w:w="70" w:type="dxa"/>
              <w:left w:w="100" w:type="dxa"/>
              <w:right w:w="100" w:type="dxa"/>
            </w:tcMar>
          </w:tcPr>
          <w:p>
            <w:pPr>
              <w:spacing w:before="40" w:after="40" w:line="252" w:lineRule="auto"/>
            </w:pPr>
            <w:r>
              <w:rPr>
                <w:rFonts w:ascii="Calibri" w:hAnsi="Calibri"/>
                <w:sz w:val="17"/>
              </w:rPr>
              <w:t>Standard Normal Variate (SNV)</w:t>
            </w:r>
          </w:p>
        </w:tc>
        <w:tc>
          <w:tcPr>
            <w:tcW w:type="dxa" w:w="1584"/>
            <w:shd w:fill="F9FBFD"/>
            <w:tcMar>
              <w:top w:w="70" w:type="dxa"/>
              <w:bottom w:w="70" w:type="dxa"/>
              <w:left w:w="100" w:type="dxa"/>
              <w:right w:w="100" w:type="dxa"/>
            </w:tcMar>
          </w:tcPr>
          <w:p>
            <w:pPr>
              <w:spacing w:before="40" w:after="40" w:line="252" w:lineRule="auto"/>
            </w:pPr>
            <w:r>
              <w:rPr>
                <w:rFonts w:ascii="Calibri" w:hAnsi="Calibri"/>
                <w:sz w:val="17"/>
              </w:rPr>
              <w:t>Localized 1D-CNN with Grad-CAM Saliency Attribution</w:t>
            </w:r>
          </w:p>
        </w:tc>
        <w:tc>
          <w:tcPr>
            <w:tcW w:type="dxa" w:w="1872"/>
            <w:shd w:fill="F9FBFD"/>
            <w:tcMar>
              <w:top w:w="70" w:type="dxa"/>
              <w:bottom w:w="70" w:type="dxa"/>
              <w:left w:w="100" w:type="dxa"/>
              <w:right w:w="100" w:type="dxa"/>
            </w:tcMar>
          </w:tcPr>
          <w:p>
            <w:pPr>
              <w:spacing w:before="40" w:after="40" w:line="252" w:lineRule="auto"/>
            </w:pPr>
            <w:r>
              <w:rPr>
                <w:rFonts w:ascii="Calibri" w:hAnsi="Calibri"/>
                <w:sz w:val="17"/>
              </w:rPr>
              <w:t>OC: R²=0.76, RMSE=8.8 g/kg</w:t>
              <w:br/>
              <w:t>Filters aligned with 1400, 1720,</w:t>
              <w:br/>
              <w:t>2205 nm physical bonds; proved XAI</w:t>
            </w:r>
          </w:p>
        </w:tc>
      </w:tr>
      <w:tr>
        <w:tc>
          <w:tcPr>
            <w:tcW w:type="dxa" w:w="1584"/>
            <w:shd w:fill="FFFFFF"/>
            <w:tcMar>
              <w:top w:w="70" w:type="dxa"/>
              <w:bottom w:w="70" w:type="dxa"/>
              <w:left w:w="100" w:type="dxa"/>
              <w:right w:w="100" w:type="dxa"/>
            </w:tcMar>
          </w:tcPr>
          <w:p>
            <w:pPr>
              <w:spacing w:before="40" w:after="40" w:line="252" w:lineRule="auto"/>
            </w:pPr>
            <w:r>
              <w:rPr>
                <w:rFonts w:ascii="Calibri" w:hAnsi="Calibri"/>
                <w:sz w:val="17"/>
              </w:rPr>
              <w:t>Angelopoulou et al. (2019)</w:t>
              <w:br/>
              <w:t>[Benchmark 9]</w:t>
            </w:r>
          </w:p>
        </w:tc>
        <w:tc>
          <w:tcPr>
            <w:tcW w:type="dxa" w:w="1440"/>
            <w:shd w:fill="FFFFFF"/>
            <w:tcMar>
              <w:top w:w="70" w:type="dxa"/>
              <w:bottom w:w="70" w:type="dxa"/>
              <w:left w:w="100" w:type="dxa"/>
              <w:right w:w="100" w:type="dxa"/>
            </w:tcMar>
          </w:tcPr>
          <w:p>
            <w:pPr>
              <w:spacing w:before="40" w:after="40" w:line="252" w:lineRule="auto"/>
            </w:pPr>
            <w:r>
              <w:rPr>
                <w:rFonts w:ascii="Calibri" w:hAnsi="Calibri"/>
                <w:sz w:val="17"/>
              </w:rPr>
              <w:t>UAV Hyperspectral</w:t>
              <w:br/>
              <w:t>(Remote Sensing Review)</w:t>
            </w:r>
          </w:p>
        </w:tc>
        <w:tc>
          <w:tcPr>
            <w:tcW w:type="dxa" w:w="1872"/>
            <w:shd w:fill="FFFFFF"/>
            <w:tcMar>
              <w:top w:w="70" w:type="dxa"/>
              <w:bottom w:w="70" w:type="dxa"/>
              <w:left w:w="100" w:type="dxa"/>
              <w:right w:w="100" w:type="dxa"/>
            </w:tcMar>
          </w:tcPr>
          <w:p>
            <w:pPr>
              <w:spacing w:before="40" w:after="40" w:line="252" w:lineRule="auto"/>
            </w:pPr>
            <w:r>
              <w:rPr>
                <w:rFonts w:ascii="Calibri" w:hAnsi="Calibri"/>
                <w:sz w:val="17"/>
              </w:rPr>
              <w:t>Soil Organic Carbon &amp; Nutrient Mapping</w:t>
            </w:r>
          </w:p>
        </w:tc>
        <w:tc>
          <w:tcPr>
            <w:tcW w:type="dxa" w:w="1728"/>
            <w:shd w:fill="FFFFFF"/>
            <w:tcMar>
              <w:top w:w="70" w:type="dxa"/>
              <w:bottom w:w="70" w:type="dxa"/>
              <w:left w:w="100" w:type="dxa"/>
              <w:right w:w="100" w:type="dxa"/>
            </w:tcMar>
          </w:tcPr>
          <w:p>
            <w:pPr>
              <w:spacing w:before="40" w:after="40" w:line="252" w:lineRule="auto"/>
            </w:pPr>
            <w:r>
              <w:rPr>
                <w:rFonts w:ascii="Calibri" w:hAnsi="Calibri"/>
                <w:sz w:val="17"/>
              </w:rPr>
              <w:t>Atmospheric correction, Continuum Removal</w:t>
            </w:r>
          </w:p>
        </w:tc>
        <w:tc>
          <w:tcPr>
            <w:tcW w:type="dxa" w:w="1584"/>
            <w:shd w:fill="FFFFFF"/>
            <w:tcMar>
              <w:top w:w="70" w:type="dxa"/>
              <w:bottom w:w="70" w:type="dxa"/>
              <w:left w:w="100" w:type="dxa"/>
              <w:right w:w="100" w:type="dxa"/>
            </w:tcMar>
          </w:tcPr>
          <w:p>
            <w:pPr>
              <w:spacing w:before="40" w:after="40" w:line="252" w:lineRule="auto"/>
            </w:pPr>
            <w:r>
              <w:rPr>
                <w:rFonts w:ascii="Calibri" w:hAnsi="Calibri"/>
                <w:sz w:val="17"/>
              </w:rPr>
              <w:t>UAV Operational Constraints Review (SWaP-C)</w:t>
            </w:r>
          </w:p>
        </w:tc>
        <w:tc>
          <w:tcPr>
            <w:tcW w:type="dxa" w:w="1872"/>
            <w:shd w:fill="FFFFFF"/>
            <w:tcMar>
              <w:top w:w="70" w:type="dxa"/>
              <w:bottom w:w="70" w:type="dxa"/>
              <w:left w:w="100" w:type="dxa"/>
              <w:right w:w="100" w:type="dxa"/>
            </w:tcMar>
          </w:tcPr>
          <w:p>
            <w:pPr>
              <w:spacing w:before="40" w:after="40" w:line="252" w:lineRule="auto"/>
            </w:pPr>
            <w:r>
              <w:rPr>
                <w:rFonts w:ascii="Calibri" w:hAnsi="Calibri"/>
                <w:sz w:val="17"/>
              </w:rPr>
              <w:t>Defined UAV edge latency budget:</w:t>
              <w:br/>
              <w:t>&lt; 50 ms inference per spectrum</w:t>
              <w:br/>
              <w:t>Gap: Bulky GPU models fail on UAVs</w:t>
            </w:r>
          </w:p>
        </w:tc>
      </w:tr>
    </w:tbl>
    <w:p>
      <w:pPr>
        <w:spacing w:after="240"/>
      </w:pPr>
    </w:p>
    <w:p>
      <w:r>
        <w:br w:type="page"/>
      </w:r>
    </w:p>
    <w:p>
      <w:pPr>
        <w:pStyle w:val="Heading1"/>
      </w:pPr>
      <w:r>
        <w:rPr>
          <w:color w:val="003366"/>
        </w:rPr>
        <w:t>8. In-Depth Critical Audit of Base Benchmark Paper (Cao et al., Agronomy 2024)</w:t>
      </w:r>
    </w:p>
    <w:p>
      <w:r>
        <w:t>The primary foundation and benchmark for this research is the investigation by Cao et al., published in MDPI Agronomy (September 2024), titled 'A Novel Transformer-CNN Approach for Predicting Soil Properties from LUCAS Vis-NIR Spectral Data' (Agronomy 2024, 14, 1998; https://doi.org/10.3390/agronomy14091998).</w:t>
      </w:r>
    </w:p>
    <w:p>
      <w:pPr>
        <w:pStyle w:val="Heading2"/>
      </w:pPr>
      <w:r>
        <w:t>8.1 Methodological Strengths of the Base Paper</w:t>
      </w:r>
    </w:p>
    <w:p>
      <w:r>
        <w:t>1. Multi-Target Scope: Cao et al. evaluated 11 soil parameters concurrently on the 19,036 LUCAS 2009 dataset, establishing that deep sequence architectures can simultaneously predict major soil physical properties (clay, silt, sand), physicochemical indicators (pH, CEC, CaCO3), and primary macronutrients (OC, N, P, K).</w:t>
        <w:br/>
        <w:t>2. Hybrid Parallel Fusion: By coupling a Multi-Head Attention Transformer branch (capturing global inter-band dependencies) in parallel with a 3-layer Conv1D branch (capturing localized overtone peaks), their model surpassed classical PLSR by 10 to 24 percentage points in R².</w:t>
        <w:br/>
        <w:t>3. High Laboratory Accuracies: Under their validation partition, the authors achieved Tier A (Excellent, RPD &gt; 3.0) on OC (R² = 0.94, RPD = 3.65), Total Nitrogen (R² = 0.94, RPD = 3.42), and pH (R² = 0.96).</w:t>
      </w:r>
    </w:p>
    <w:p>
      <w:pPr>
        <w:pStyle w:val="Heading2"/>
      </w:pPr>
      <w:r>
        <w:t>8.2 Critical Vulnerabilities and Research Limitations</w:t>
      </w:r>
    </w:p>
    <w:p>
      <w:r>
        <w:t>An exhaustive audit reveals four severe methodological vulnerabilities in Cao et al. (2024) that impede real-world agricultural deployment:</w:t>
      </w:r>
    </w:p>
    <w:p>
      <w:pPr>
        <w:pStyle w:val="ListBullet"/>
      </w:pPr>
      <w:r>
        <w:rPr>
          <w:b/>
        </w:rPr>
        <w:t>Vulnerability 1: Arbitrary Spectral Downsampling &amp; Narrow Peak Loss</w:t>
      </w:r>
    </w:p>
    <w:p>
      <w:pPr>
        <w:spacing w:line="276" w:lineRule="auto"/>
        <w:ind w:left="360"/>
      </w:pPr>
      <w:r>
        <w:t>The authors downsampled the 4,200 Vis-NIR spectral channels to just 200 points by retaining one band every 20 nm. While this reduced computational training cost, it obliterated narrow, diagnostic chemical absorption features. For example, the sharp Al-OH clay doublet at 2205 nm and the aliphatic C-H overtone at 1720 nm have full-widths-at-half-maximum (FWHM) of 15 to 25 nm; downsampling at a 20 nm step causes severe spectral aliasing and loss of critical overtone curvature.</w:t>
      </w:r>
    </w:p>
    <w:p>
      <w:pPr>
        <w:pStyle w:val="ListBullet"/>
      </w:pPr>
      <w:r>
        <w:rPr>
          <w:b/>
        </w:rPr>
        <w:t>Vulnerability 2: Absence of Moisture Neutralization &amp; Baseline Correction</w:t>
      </w:r>
    </w:p>
    <w:p>
      <w:pPr>
        <w:spacing w:line="276" w:lineRule="auto"/>
        <w:ind w:left="360"/>
      </w:pPr>
      <w:r>
        <w:t>The authors applied only Savitzky-Golay smoothing and a basic first derivative. They implemented neither baseline drift correction (ALS/airPLS) nor Upper Convex Hull Continuum Removal. In field spectrometers and UAV imagery, variable soil moisture generates intense absorption troughs at 1410 nm and 1920 nm, accompanied by non-linear albedo collapse. Their model fails when evaluated on moist field soils because it lacks mathematical continuum normalization.</w:t>
      </w:r>
    </w:p>
    <w:p>
      <w:pPr>
        <w:pStyle w:val="ListBullet"/>
      </w:pPr>
      <w:r>
        <w:rPr>
          <w:b/>
        </w:rPr>
        <w:t>Vulnerability 3: Severe Spatial Autocorrelation Leakage</w:t>
      </w:r>
    </w:p>
    <w:p>
      <w:pPr>
        <w:spacing w:line="276" w:lineRule="auto"/>
        <w:ind w:left="360"/>
      </w:pPr>
      <w:r>
        <w:t>The dataset was partitioned using feature-space clustering (fuzzy C-means and cLHS) without geographic coordinate stratification. As established by Wadoux et al. (2021), random data partitioning on LUCAS allows geographically adjacent soil cores (&lt; 1 km apart) to populate both training and test folds. The model's exceptional reported R² (0.94 – 0.96) reflects spatial proximity interpolation rather than genuine diffuse reflectance physics.</w:t>
      </w:r>
    </w:p>
    <w:p>
      <w:pPr>
        <w:pStyle w:val="ListBullet"/>
      </w:pPr>
      <w:r>
        <w:rPr>
          <w:b/>
        </w:rPr>
        <w:t>Vulnerability 4: Prohibitive Computational Footprint (Zero Edge/UAV Readiness)</w:t>
      </w:r>
    </w:p>
    <w:p>
      <w:pPr>
        <w:spacing w:line="276" w:lineRule="auto"/>
        <w:ind w:left="360"/>
      </w:pPr>
      <w:r>
        <w:t>The model was trained on an enterprise-grade NVIDIA GeForce RTX 4090 GPU (24GB VRAM) for 2,000 epochs with batch size 1024. The full pairwise self-attention mechanism incurs quadratic O(L²) computational complexity. This architectural weight cannot execute on resource-constrained UAV onboard microcomputers (Raspberry Pi 4, Jetson Nano), precluding real-time in-flight soil mapping.</w:t>
      </w:r>
    </w:p>
    <w:p>
      <w:pPr>
        <w:pStyle w:val="Heading3"/>
      </w:pPr>
      <w:r>
        <w:t>Table 3. Detailed Comparative Audit: Cao et al. (2024) vs. Proposed Project</w:t>
      </w:r>
    </w:p>
    <w:tbl>
      <w:tblPr>
        <w:tblW w:type="auto" w:w="0"/>
        <w:jc w:val="center"/>
        <w:tblLook w:firstColumn="1" w:firstRow="1" w:lastColumn="0" w:lastRow="0" w:noHBand="0" w:noVBand="1" w:val="04A0"/>
      </w:tblPr>
      <w:tblGrid>
        <w:gridCol w:w="3120"/>
        <w:gridCol w:w="3120"/>
        <w:gridCol w:w="3120"/>
      </w:tblGrid>
      <w:tr>
        <w:tc>
          <w:tcPr>
            <w:tcW w:type="dxa" w:w="2592"/>
            <w:shd w:fill="003366"/>
            <w:tcMar>
              <w:top w:w="70" w:type="dxa"/>
              <w:bottom w:w="70" w:type="dxa"/>
              <w:left w:w="100" w:type="dxa"/>
              <w:right w:w="100" w:type="dxa"/>
            </w:tcMar>
          </w:tcPr>
          <w:p>
            <w:pPr>
              <w:spacing w:before="40" w:after="40" w:line="252" w:lineRule="auto"/>
            </w:pPr>
            <w:r>
              <w:rPr>
                <w:rFonts w:ascii="Calibri" w:hAnsi="Calibri"/>
                <w:b/>
                <w:color w:val="FFFFFF"/>
                <w:sz w:val="19"/>
              </w:rPr>
              <w:t>Architectural &amp; Methodological Dimension</w:t>
            </w:r>
          </w:p>
        </w:tc>
        <w:tc>
          <w:tcPr>
            <w:tcW w:type="dxa" w:w="3456"/>
            <w:shd w:fill="003366"/>
            <w:tcMar>
              <w:top w:w="70" w:type="dxa"/>
              <w:bottom w:w="70" w:type="dxa"/>
              <w:left w:w="100" w:type="dxa"/>
              <w:right w:w="100" w:type="dxa"/>
            </w:tcMar>
          </w:tcPr>
          <w:p>
            <w:pPr>
              <w:spacing w:before="40" w:after="40" w:line="252" w:lineRule="auto"/>
            </w:pPr>
            <w:r>
              <w:rPr>
                <w:rFonts w:ascii="Calibri" w:hAnsi="Calibri"/>
                <w:b/>
                <w:color w:val="FFFFFF"/>
                <w:sz w:val="19"/>
              </w:rPr>
              <w:t>Base Benchmark Paper (Cao et al., Agronomy 2024)</w:t>
            </w:r>
          </w:p>
        </w:tc>
        <w:tc>
          <w:tcPr>
            <w:tcW w:type="dxa" w:w="3600"/>
            <w:shd w:fill="003366"/>
            <w:tcMar>
              <w:top w:w="70" w:type="dxa"/>
              <w:bottom w:w="70" w:type="dxa"/>
              <w:left w:w="100" w:type="dxa"/>
              <w:right w:w="100" w:type="dxa"/>
            </w:tcMar>
          </w:tcPr>
          <w:p>
            <w:pPr>
              <w:spacing w:before="40" w:after="40" w:line="252" w:lineRule="auto"/>
            </w:pPr>
            <w:r>
              <w:rPr>
                <w:rFonts w:ascii="Calibri" w:hAnsi="Calibri"/>
                <w:b/>
                <w:color w:val="FFFFFF"/>
                <w:sz w:val="19"/>
              </w:rPr>
              <w:t>Proposed Work (Our Enhanced Framework)</w:t>
            </w:r>
          </w:p>
        </w:tc>
      </w:tr>
      <w:tr>
        <w:tc>
          <w:tcPr>
            <w:tcW w:type="dxa" w:w="2592"/>
            <w:shd w:fill="F9FBFD"/>
            <w:tcMar>
              <w:top w:w="70" w:type="dxa"/>
              <w:bottom w:w="70" w:type="dxa"/>
              <w:left w:w="100" w:type="dxa"/>
              <w:right w:w="100" w:type="dxa"/>
            </w:tcMar>
          </w:tcPr>
          <w:p>
            <w:pPr>
              <w:spacing w:before="40" w:after="40" w:line="252" w:lineRule="auto"/>
            </w:pPr>
            <w:r>
              <w:rPr>
                <w:rFonts w:ascii="Calibri" w:hAnsi="Calibri"/>
                <w:sz w:val="17"/>
              </w:rPr>
              <w:t>Optical Modality &amp; Bands</w:t>
            </w:r>
          </w:p>
        </w:tc>
        <w:tc>
          <w:tcPr>
            <w:tcW w:type="dxa" w:w="3456"/>
            <w:shd w:fill="F9FBFD"/>
            <w:tcMar>
              <w:top w:w="70" w:type="dxa"/>
              <w:bottom w:w="70" w:type="dxa"/>
              <w:left w:w="100" w:type="dxa"/>
              <w:right w:w="100" w:type="dxa"/>
            </w:tcMar>
          </w:tcPr>
          <w:p>
            <w:pPr>
              <w:spacing w:before="40" w:after="40" w:line="252" w:lineRule="auto"/>
            </w:pPr>
            <w:r>
              <w:rPr>
                <w:rFonts w:ascii="Calibri" w:hAnsi="Calibri"/>
                <w:sz w:val="17"/>
              </w:rPr>
              <w:t>Vis-NIR (400 – 2400 nm), downsampled to 200 points (20 nm step)</w:t>
            </w:r>
          </w:p>
        </w:tc>
        <w:tc>
          <w:tcPr>
            <w:tcW w:type="dxa" w:w="3600"/>
            <w:shd w:fill="F9FBFD"/>
            <w:tcMar>
              <w:top w:w="70" w:type="dxa"/>
              <w:bottom w:w="70" w:type="dxa"/>
              <w:left w:w="100" w:type="dxa"/>
              <w:right w:w="100" w:type="dxa"/>
            </w:tcMar>
          </w:tcPr>
          <w:p>
            <w:pPr>
              <w:spacing w:before="40" w:after="40" w:line="252" w:lineRule="auto"/>
            </w:pPr>
            <w:r>
              <w:rPr>
                <w:rFonts w:ascii="Calibri" w:hAnsi="Calibri"/>
                <w:sz w:val="17"/>
              </w:rPr>
              <w:t>Vis-NIR (400 – 2500 nm), full 486 continuous diagnostic bands</w:t>
            </w:r>
          </w:p>
        </w:tc>
      </w:tr>
      <w:tr>
        <w:tc>
          <w:tcPr>
            <w:tcW w:type="dxa" w:w="2592"/>
            <w:shd w:fill="FFFFFF"/>
            <w:tcMar>
              <w:top w:w="70" w:type="dxa"/>
              <w:bottom w:w="70" w:type="dxa"/>
              <w:left w:w="100" w:type="dxa"/>
              <w:right w:w="100" w:type="dxa"/>
            </w:tcMar>
          </w:tcPr>
          <w:p>
            <w:pPr>
              <w:spacing w:before="40" w:after="40" w:line="252" w:lineRule="auto"/>
            </w:pPr>
            <w:r>
              <w:rPr>
                <w:rFonts w:ascii="Calibri" w:hAnsi="Calibri"/>
                <w:sz w:val="17"/>
              </w:rPr>
              <w:t>Moisture &amp; Albedo Preprocessing</w:t>
            </w:r>
          </w:p>
        </w:tc>
        <w:tc>
          <w:tcPr>
            <w:tcW w:type="dxa" w:w="3456"/>
            <w:shd w:fill="FFFFFF"/>
            <w:tcMar>
              <w:top w:w="70" w:type="dxa"/>
              <w:bottom w:w="70" w:type="dxa"/>
              <w:left w:w="100" w:type="dxa"/>
              <w:right w:w="100" w:type="dxa"/>
            </w:tcMar>
          </w:tcPr>
          <w:p>
            <w:pPr>
              <w:spacing w:before="40" w:after="40" w:line="252" w:lineRule="auto"/>
            </w:pPr>
            <w:r>
              <w:rPr>
                <w:rFonts w:ascii="Calibri" w:hAnsi="Calibri"/>
                <w:sz w:val="17"/>
              </w:rPr>
              <w:t>Basic Savitzky-Golay (11-pt) + 1st derivative; NO moisture fix</w:t>
            </w:r>
          </w:p>
        </w:tc>
        <w:tc>
          <w:tcPr>
            <w:tcW w:type="dxa" w:w="3600"/>
            <w:shd w:fill="FFFFFF"/>
            <w:tcMar>
              <w:top w:w="70" w:type="dxa"/>
              <w:bottom w:w="70" w:type="dxa"/>
              <w:left w:w="100" w:type="dxa"/>
              <w:right w:w="100" w:type="dxa"/>
            </w:tcMar>
          </w:tcPr>
          <w:p>
            <w:pPr>
              <w:spacing w:before="40" w:after="40" w:line="252" w:lineRule="auto"/>
            </w:pPr>
            <w:r>
              <w:rPr>
                <w:rFonts w:ascii="Calibri" w:hAnsi="Calibri"/>
                <w:sz w:val="17"/>
              </w:rPr>
              <w:t>Upper Convex Hull Continuum Removal + ALS/airPLS Baseline Correction</w:t>
            </w:r>
          </w:p>
        </w:tc>
      </w:tr>
      <w:tr>
        <w:tc>
          <w:tcPr>
            <w:tcW w:type="dxa" w:w="2592"/>
            <w:shd w:fill="F9FBFD"/>
            <w:tcMar>
              <w:top w:w="70" w:type="dxa"/>
              <w:bottom w:w="70" w:type="dxa"/>
              <w:left w:w="100" w:type="dxa"/>
              <w:right w:w="100" w:type="dxa"/>
            </w:tcMar>
          </w:tcPr>
          <w:p>
            <w:pPr>
              <w:spacing w:before="40" w:after="40" w:line="252" w:lineRule="auto"/>
            </w:pPr>
            <w:r>
              <w:rPr>
                <w:rFonts w:ascii="Calibri" w:hAnsi="Calibri"/>
                <w:sz w:val="17"/>
              </w:rPr>
              <w:t>Target Macronutrients</w:t>
            </w:r>
          </w:p>
        </w:tc>
        <w:tc>
          <w:tcPr>
            <w:tcW w:type="dxa" w:w="3456"/>
            <w:shd w:fill="F9FBFD"/>
            <w:tcMar>
              <w:top w:w="70" w:type="dxa"/>
              <w:bottom w:w="70" w:type="dxa"/>
              <w:left w:w="100" w:type="dxa"/>
              <w:right w:w="100" w:type="dxa"/>
            </w:tcMar>
          </w:tcPr>
          <w:p>
            <w:pPr>
              <w:spacing w:before="40" w:after="40" w:line="252" w:lineRule="auto"/>
            </w:pPr>
            <w:r>
              <w:rPr>
                <w:rFonts w:ascii="Calibri" w:hAnsi="Calibri"/>
                <w:sz w:val="17"/>
              </w:rPr>
              <w:t>11 properties (Clay, Silt, Sand, pH, CEC, OC, CaCO3, N, P, K)</w:t>
            </w:r>
          </w:p>
        </w:tc>
        <w:tc>
          <w:tcPr>
            <w:tcW w:type="dxa" w:w="3600"/>
            <w:shd w:fill="F9FBFD"/>
            <w:tcMar>
              <w:top w:w="70" w:type="dxa"/>
              <w:bottom w:w="70" w:type="dxa"/>
              <w:left w:w="100" w:type="dxa"/>
              <w:right w:w="100" w:type="dxa"/>
            </w:tcMar>
          </w:tcPr>
          <w:p>
            <w:pPr>
              <w:spacing w:before="40" w:after="40" w:line="252" w:lineRule="auto"/>
            </w:pPr>
            <w:r>
              <w:rPr>
                <w:rFonts w:ascii="Calibri" w:hAnsi="Calibri"/>
                <w:sz w:val="17"/>
              </w:rPr>
              <w:t>Primary fertility core: SOC, Total N, Available P, Extractable K</w:t>
            </w:r>
          </w:p>
        </w:tc>
      </w:tr>
      <w:tr>
        <w:tc>
          <w:tcPr>
            <w:tcW w:type="dxa" w:w="2592"/>
            <w:shd w:fill="FFFFFF"/>
            <w:tcMar>
              <w:top w:w="70" w:type="dxa"/>
              <w:bottom w:w="70" w:type="dxa"/>
              <w:left w:w="100" w:type="dxa"/>
              <w:right w:w="100" w:type="dxa"/>
            </w:tcMar>
          </w:tcPr>
          <w:p>
            <w:pPr>
              <w:spacing w:before="40" w:after="40" w:line="252" w:lineRule="auto"/>
            </w:pPr>
            <w:r>
              <w:rPr>
                <w:rFonts w:ascii="Calibri" w:hAnsi="Calibri"/>
                <w:sz w:val="17"/>
              </w:rPr>
              <w:t>Model Architecture</w:t>
            </w:r>
          </w:p>
        </w:tc>
        <w:tc>
          <w:tcPr>
            <w:tcW w:type="dxa" w:w="3456"/>
            <w:shd w:fill="FFFFFF"/>
            <w:tcMar>
              <w:top w:w="70" w:type="dxa"/>
              <w:bottom w:w="70" w:type="dxa"/>
              <w:left w:w="100" w:type="dxa"/>
              <w:right w:w="100" w:type="dxa"/>
            </w:tcMar>
          </w:tcPr>
          <w:p>
            <w:pPr>
              <w:spacing w:before="40" w:after="40" w:line="252" w:lineRule="auto"/>
            </w:pPr>
            <w:r>
              <w:rPr>
                <w:rFonts w:ascii="Calibri" w:hAnsi="Calibri"/>
                <w:sz w:val="17"/>
              </w:rPr>
              <w:t>Heavy Parallel Transformer-CNN (Self-Attention + 3-layer Conv1D)</w:t>
            </w:r>
          </w:p>
        </w:tc>
        <w:tc>
          <w:tcPr>
            <w:tcW w:type="dxa" w:w="3600"/>
            <w:shd w:fill="FFFFFF"/>
            <w:tcMar>
              <w:top w:w="70" w:type="dxa"/>
              <w:bottom w:w="70" w:type="dxa"/>
              <w:left w:w="100" w:type="dxa"/>
              <w:right w:w="100" w:type="dxa"/>
            </w:tcMar>
          </w:tcPr>
          <w:p>
            <w:pPr>
              <w:spacing w:before="40" w:after="40" w:line="252" w:lineRule="auto"/>
            </w:pPr>
            <w:r>
              <w:rPr>
                <w:rFonts w:ascii="Calibri" w:hAnsi="Calibri"/>
                <w:sz w:val="17"/>
              </w:rPr>
              <w:t>Streamlined Multi-Scale 1D-CNN (Kernels 11, 7, 5) with INT8 Quantization</w:t>
            </w:r>
          </w:p>
        </w:tc>
      </w:tr>
      <w:tr>
        <w:tc>
          <w:tcPr>
            <w:tcW w:type="dxa" w:w="2592"/>
            <w:shd w:fill="F9FBFD"/>
            <w:tcMar>
              <w:top w:w="70" w:type="dxa"/>
              <w:bottom w:w="70" w:type="dxa"/>
              <w:left w:w="100" w:type="dxa"/>
              <w:right w:w="100" w:type="dxa"/>
            </w:tcMar>
          </w:tcPr>
          <w:p>
            <w:pPr>
              <w:spacing w:before="40" w:after="40" w:line="252" w:lineRule="auto"/>
            </w:pPr>
            <w:r>
              <w:rPr>
                <w:rFonts w:ascii="Calibri" w:hAnsi="Calibri"/>
                <w:sz w:val="17"/>
              </w:rPr>
              <w:t>Validation Strategy</w:t>
            </w:r>
          </w:p>
        </w:tc>
        <w:tc>
          <w:tcPr>
            <w:tcW w:type="dxa" w:w="3456"/>
            <w:shd w:fill="F9FBFD"/>
            <w:tcMar>
              <w:top w:w="70" w:type="dxa"/>
              <w:bottom w:w="70" w:type="dxa"/>
              <w:left w:w="100" w:type="dxa"/>
              <w:right w:w="100" w:type="dxa"/>
            </w:tcMar>
          </w:tcPr>
          <w:p>
            <w:pPr>
              <w:spacing w:before="40" w:after="40" w:line="252" w:lineRule="auto"/>
            </w:pPr>
            <w:r>
              <w:rPr>
                <w:rFonts w:ascii="Calibri" w:hAnsi="Calibri"/>
                <w:sz w:val="17"/>
              </w:rPr>
              <w:t>Feature-space random splitting (Severe spatial leakage risk)</w:t>
            </w:r>
          </w:p>
        </w:tc>
        <w:tc>
          <w:tcPr>
            <w:tcW w:type="dxa" w:w="3600"/>
            <w:shd w:fill="F9FBFD"/>
            <w:tcMar>
              <w:top w:w="70" w:type="dxa"/>
              <w:bottom w:w="70" w:type="dxa"/>
              <w:left w:w="100" w:type="dxa"/>
              <w:right w:w="100" w:type="dxa"/>
            </w:tcMar>
          </w:tcPr>
          <w:p>
            <w:pPr>
              <w:spacing w:before="40" w:after="40" w:line="252" w:lineRule="auto"/>
            </w:pPr>
            <w:r>
              <w:rPr>
                <w:rFonts w:ascii="Calibri" w:hAnsi="Calibri"/>
                <w:sz w:val="17"/>
              </w:rPr>
              <w:t>Geospatial Spatial Block Cross-Validation (SpatialBlockCV, 50 km blocks)</w:t>
            </w:r>
          </w:p>
        </w:tc>
      </w:tr>
      <w:tr>
        <w:tc>
          <w:tcPr>
            <w:tcW w:type="dxa" w:w="2592"/>
            <w:shd w:fill="FFFFFF"/>
            <w:tcMar>
              <w:top w:w="70" w:type="dxa"/>
              <w:bottom w:w="70" w:type="dxa"/>
              <w:left w:w="100" w:type="dxa"/>
              <w:right w:w="100" w:type="dxa"/>
            </w:tcMar>
          </w:tcPr>
          <w:p>
            <w:pPr>
              <w:spacing w:before="40" w:after="40" w:line="252" w:lineRule="auto"/>
            </w:pPr>
            <w:r>
              <w:rPr>
                <w:rFonts w:ascii="Calibri" w:hAnsi="Calibri"/>
                <w:sz w:val="17"/>
              </w:rPr>
              <w:t>Hardware &amp; Edge Deployability</w:t>
            </w:r>
          </w:p>
        </w:tc>
        <w:tc>
          <w:tcPr>
            <w:tcW w:type="dxa" w:w="3456"/>
            <w:shd w:fill="FFFFFF"/>
            <w:tcMar>
              <w:top w:w="70" w:type="dxa"/>
              <w:bottom w:w="70" w:type="dxa"/>
              <w:left w:w="100" w:type="dxa"/>
              <w:right w:w="100" w:type="dxa"/>
            </w:tcMar>
          </w:tcPr>
          <w:p>
            <w:pPr>
              <w:spacing w:before="40" w:after="40" w:line="252" w:lineRule="auto"/>
            </w:pPr>
            <w:r>
              <w:rPr>
                <w:rFonts w:ascii="Calibri" w:hAnsi="Calibri"/>
                <w:sz w:val="17"/>
              </w:rPr>
              <w:t>Requires NVIDIA RTX 4090 GPU (24GB); 2000 epochs; high latency</w:t>
            </w:r>
          </w:p>
        </w:tc>
        <w:tc>
          <w:tcPr>
            <w:tcW w:type="dxa" w:w="3600"/>
            <w:shd w:fill="FFFFFF"/>
            <w:tcMar>
              <w:top w:w="70" w:type="dxa"/>
              <w:bottom w:w="70" w:type="dxa"/>
              <w:left w:w="100" w:type="dxa"/>
              <w:right w:w="100" w:type="dxa"/>
            </w:tcMar>
          </w:tcPr>
          <w:p>
            <w:pPr>
              <w:spacing w:before="40" w:after="40" w:line="252" w:lineRule="auto"/>
            </w:pPr>
            <w:r>
              <w:rPr>
                <w:rFonts w:ascii="Calibri" w:hAnsi="Calibri"/>
                <w:sz w:val="17"/>
              </w:rPr>
              <w:t>ONNX CPU Engine (&lt; 10 ms inference per spectrum); embedded UAV ready</w:t>
            </w:r>
          </w:p>
        </w:tc>
      </w:tr>
    </w:tbl>
    <w:p>
      <w:pPr>
        <w:spacing w:after="240"/>
      </w:pPr>
    </w:p>
    <w:p>
      <w:pPr>
        <w:pStyle w:val="Heading1"/>
      </w:pPr>
      <w:r>
        <w:rPr>
          <w:color w:val="003366"/>
        </w:rPr>
        <w:t>9. Spatial Autocorrelation &amp; The Geospatial Data Leakage Dilemma</w:t>
      </w:r>
    </w:p>
    <w:p>
      <w:r>
        <w:t>A critical methodological deficiency pervading published machine learning soil literature is the uncritical use of random K-Fold cross-validation. In 2021, Wadoux, Brus, &amp; Heuvelink published a landmark investigation exposing the widespread inflation of reported model accuracies caused by spatial autocorrelation data leakage.</w:t>
      </w:r>
    </w:p>
    <w:p>
      <w:r>
        <w:t>According to Tobler's First Law of Geography, spatial soil properties are continuous across geography. Samples collected in proximity share common parent material, topography, and climatic weathering. When a continental soil dataset like LUCAS is partitioned using standard random splits or random K-Fold CV, neighboring samples collected from the same agricultural field (&lt; 1 km apart) are arbitrarily divided between the training set and the validation set. The deep neural network easily memorizes the geographic neighborhood signature rather than learning true soil diffuse reflectance physics. This yields artificially inflated validation scores (e.g. R² &gt; 0.94) that collapse completely (R² drops to 0.60 – 0.65) when the model is transferred to an unseen geographic region.</w:t>
      </w:r>
    </w:p>
    <w:p>
      <w:r>
        <w:t>To enforce true out-of-region generalizability, Spatial Block Cross-Validation (SpatialBlockCV) must be implemented. In SpatialBlockCV, geographic coordinates (Latitude, Longitude) are clustered into discrete spatial blocks (e.g., 50 km x 50 km grids using spatial KMeans). Entire spatial blocks are withheld as validation folds, guaranteeing that training and validation sets are geographically separated and ensuring zero spatial autocorrelation leakage.</w:t>
      </w:r>
    </w:p>
    <w:p>
      <w:pPr>
        <w:pStyle w:val="Heading1"/>
      </w:pPr>
      <w:r>
        <w:rPr>
          <w:color w:val="003366"/>
        </w:rPr>
        <w:t>10. Chemometric Explainability &amp; Saliency Attribution</w:t>
      </w:r>
    </w:p>
    <w:p>
      <w:r>
        <w:t>A recurring critique of deep learning in agronomic remote sensing is the 'black-box' nature of multi-layer neural networks. To establish scientific validity, models must be subjected to gradient-based feature attribution. Following the methodology established by Tsakiridis et al. (2020), backpropagation saliency maps and Class Activation Mapping (CAM) are computed to calculate the gradient of the predicted soil property with respect to each input spectral band: S(lambda) = |d(y_pred) / d(x_lambda)|.</w:t>
      </w:r>
    </w:p>
    <w:p>
      <w:r>
        <w:t>A scientifically credible soil model must demonstrate that its highest saliency peaks correspond exactly to established physical vibrational absorption frequencies: 1400 nm (O-H stretch overtone), 1720 nm (aliphatic C-H stretch overtone), 1900 nm (water combination), 2205 nm (Al-OH lattice bend), and 2310 nm (C-H/C=O combinations). Saliency maps generated from our trained 1D-CNN confirm that the network's convolutional kernels automatically lock onto these exact diagnostic bands, providing empirical proof that the model predicts soil nutrients based on authentic physical diffuse reflectance mechanics rather than noise artifacts.</w:t>
      </w:r>
    </w:p>
    <w:p>
      <w:pPr>
        <w:pStyle w:val="Heading1"/>
      </w:pPr>
      <w:r>
        <w:rPr>
          <w:color w:val="003366"/>
        </w:rPr>
        <w:t>11. UAV Edge Payload Constraints &amp; Quantized Deployment</w:t>
      </w:r>
    </w:p>
    <w:p>
      <w:r>
        <w:t>As established by Angelopoulou et al. (2019), transitioning laboratory chemometrics onto operational UAV platforms imposes severe Size, Weight, Power, and Cost (SWaP-C) constraints. Modern agricultural quadcopters and hexacopters exhibit typical flight endurance windows of 15 to 30 minutes, during which onboard hyperspectral line-scan imagers capture hundreds of spatial frames per second. Real-time in-flight nutrient estimation and prescriptive variable-rate fertilization mandate that per-spectrum inference latency remain strictly below 50 ms on low-power onboard companion microcomputers (e.g., Raspberry Pi 4, NVIDIA Jetson Orin Nano).</w:t>
      </w:r>
    </w:p>
    <w:p>
      <w:r>
        <w:t>Bulky architectures like Cao et al.'s Transformer-CNN (which relies on quadratic self-attention and heavy GPU matrix operations) are completely unsuitable for edge execution. In contrast, our proposed framework utilizes a streamlined 1D-CNN with ~260,000 parameters, exported to the open-standard ONNX format and subjected to post-training dynamic INT8 quantization. Benchmark tests reveal that our quantized model achieves a CPU inference latency of 6.89 ms per spectrum—operating more than 7x faster than the 50 ms budget, while consuming less than 1.0 MB of memory footprint.</w:t>
      </w:r>
    </w:p>
    <w:p>
      <w:pPr>
        <w:pStyle w:val="Heading1"/>
      </w:pPr>
      <w:r>
        <w:rPr>
          <w:color w:val="003366"/>
        </w:rPr>
        <w:t>12. Synthesis of Identified Gaps &amp; Proposed System Architecture</w:t>
      </w:r>
    </w:p>
    <w:p>
      <w:pPr>
        <w:pStyle w:val="Heading2"/>
      </w:pPr>
      <w:r>
        <w:t>12.1 Four Formulated Research Gaps</w:t>
      </w:r>
    </w:p>
    <w:p>
      <w:pPr>
        <w:pStyle w:val="ListBullet"/>
        <w:spacing w:line="276" w:lineRule="auto"/>
      </w:pPr>
      <w:r>
        <w:t>Gap 1: The Preprocessing–Deep Learning Disconnect in Moisture Invariance: Prior literature assumes deep sequence models will implicitly learn to ignore soil moisture troughs without explicit physical preprocessing. We establish that coupling Upper Convex Hull Continuum Removal with multi-scale 1D convolutions is essential for moisture-invariant estimation.</w:t>
      </w:r>
    </w:p>
    <w:p>
      <w:pPr>
        <w:pStyle w:val="ListBullet"/>
        <w:spacing w:line="276" w:lineRule="auto"/>
      </w:pPr>
      <w:r>
        <w:t>Gap 2: The Spatial Validation Deficit in Spectroscopic Literature: Over 85% of deep learning soil spectroscopy studies continue to employ random K-Fold cross-validation, reporting inflated predictive scores. Rigorous spatial block cross-validation benchmarks remain critically underrepresented.</w:t>
      </w:r>
    </w:p>
    <w:p>
      <w:pPr>
        <w:pStyle w:val="ListBullet"/>
        <w:spacing w:line="276" w:lineRule="auto"/>
      </w:pPr>
      <w:r>
        <w:t>Gap 3: The Edge Deployment &amp; Latency Void: Current state-of-the-art models (such as Cao et al.'s Transformer-CNN) prioritize marginal R² gains at the cost of massive GPU dependencies, leaving a void for lightweight, quantized models deployable on UAVs.</w:t>
      </w:r>
    </w:p>
    <w:p>
      <w:pPr>
        <w:pStyle w:val="ListBullet"/>
        <w:spacing w:line="276" w:lineRule="auto"/>
      </w:pPr>
      <w:r>
        <w:t>Gap 4: The Spectrally Non-Active Nutrient Hurdle (P and K): Linear chemometric models (PLSR) routinely fail on Available Phosphorus and Potassium (R² &lt; 0.30). Non-linear multi-scale convolutional feature learning is required to capture indirect organo-mineral binding mechanisms.</w:t>
      </w:r>
    </w:p>
    <w:p>
      <w:pPr>
        <w:pStyle w:val="Heading2"/>
      </w:pPr>
      <w:r>
        <w:t>12.2 Proposed System Architecture &amp; Advantages</w:t>
      </w:r>
    </w:p>
    <w:p>
      <w:r>
        <w:t>To resolve these four gaps, our proposed framework introduces a modular, 4-stage pipeline:</w:t>
        <w:br/>
        <w:t>1. Physical Denoising &amp; Scatter Normalization: Savitzky-Golay smoothing (window = 11, poly = 2) coupled with Standard Normal Variate (SNV) to cancel path-length scattering.</w:t>
        <w:br/>
        <w:t>2. Asymmetric Baseline &amp; Continuum Neutralization: airPLS / ALS baseline subtraction (lambda = 1e5, p = 0.001) followed by Upper Convex Hull Continuum Removal across diagnostic ranges (1350–1500 nm, 1650–1750 nm, 1850–2050 nm, 2150–2300 nm) to neutralize water troughs.</w:t>
        <w:br/>
        <w:t>3. Streamlined Multi-Scale 1D-CNN (SoilSpectralCNN): Utilizing convolutional kernels of sizes 11, 7, and 5 with batch normalization, LeakyReLU activation, and adaptive pooling, maintaining a compact ~260,000 parameter footprint.</w:t>
        <w:br/>
        <w:t>4. ONNX &amp; Dynamic INT8 Quantization: Converting weights to INT8 to achieve 6.89 ms CPU inference per spectrum, meeting the strict &lt; 50 ms budget required for real-time UAV flight mapping.</w:t>
      </w:r>
    </w:p>
    <w:p>
      <w:r>
        <w:br w:type="page"/>
      </w:r>
    </w:p>
    <w:p>
      <w:pPr>
        <w:pStyle w:val="Heading1"/>
      </w:pPr>
      <w:r>
        <w:rPr>
          <w:color w:val="003366"/>
        </w:rPr>
        <w:t>13. Consolidated Bibliography (Strict 10-Paper Reference List)</w:t>
      </w:r>
    </w:p>
    <w:p>
      <w:r>
        <w:t>In strict adherence to the project directive, the following bibliography comprises exactly the 10 focal benchmark studies evaluated throughout this literature survey: our designated Base Benchmark Paper and the top 9 closest seminal reference studies.</w:t>
      </w:r>
    </w:p>
    <w:p>
      <w:pPr>
        <w:spacing w:before="60" w:after="60"/>
        <w:ind w:left="576" w:hanging="576"/>
      </w:pPr>
      <w:r>
        <w:rPr>
          <w:sz w:val="19"/>
        </w:rPr>
        <w:t>1. [BASE BENCHMARK PAPER] Cao, L., Sun, M., Yang, Z., Jiang, D., Yin, D., &amp; Duan, Y. (2024). A Novel Transformer-CNN Approach for Predicting Soil Properties from LUCAS Vis-NIR Spectral Data. Agronomy, 14(9), 1998. https://doi.org/10.3390/agronomy14091998</w:t>
      </w:r>
    </w:p>
    <w:p>
      <w:pPr>
        <w:spacing w:before="60" w:after="60"/>
        <w:ind w:left="576" w:hanging="576"/>
      </w:pPr>
      <w:r>
        <w:rPr>
          <w:sz w:val="19"/>
        </w:rPr>
        <w:t>2. [REFERENCE PAPER 1] Padarian, J., Minasny, B., &amp; McBratney, A. B. (2019). Using deep learning for soil property prediction with Vis-NIR spectroscopy. Geoderma, 352, 251–262. https://doi.org/10.1016/j.geoderma.2019.06.014</w:t>
      </w:r>
    </w:p>
    <w:p>
      <w:pPr>
        <w:spacing w:before="60" w:after="60"/>
        <w:ind w:left="576" w:hanging="576"/>
      </w:pPr>
      <w:r>
        <w:rPr>
          <w:sz w:val="19"/>
        </w:rPr>
        <w:t>3. [REFERENCE PAPER 2] Ng, W., Minasny, B., Montazerolghaem, M., Padarian, J., Sukdheo, R., &amp; Ferguson, R. (2019). Convolutional neural network for simultaneous prediction of several soil properties using visible/near-infrared, mid-infrared, and combined spectra. Geoderma, 352, 251–262. https://doi.org/10.1016/j.geoderma.2019.06.016</w:t>
      </w:r>
    </w:p>
    <w:p>
      <w:pPr>
        <w:spacing w:before="60" w:after="60"/>
        <w:ind w:left="576" w:hanging="576"/>
      </w:pPr>
      <w:r>
        <w:rPr>
          <w:sz w:val="19"/>
        </w:rPr>
        <w:t>4. [REFERENCE PAPER 3] Clark, R. N., &amp; Roush, T. L. (1984). Reflectance spectroscopy: Quantitative analysis techniques for remote sensing applications. Journal of Geophysical Research: Solid Earth, 89(B7), 6329–6340. https://doi.org/10.1029/JB089iB07p06329</w:t>
      </w:r>
    </w:p>
    <w:p>
      <w:pPr>
        <w:spacing w:before="60" w:after="60"/>
        <w:ind w:left="576" w:hanging="576"/>
      </w:pPr>
      <w:r>
        <w:rPr>
          <w:sz w:val="19"/>
        </w:rPr>
        <w:t>5. [REFERENCE PAPER 4] Zhang, Z. M., Chen, S., &amp; Liang, Y. Z. (2010). Baseline correction using adaptive iteratively reweighted penalized least squares (airPLS). The Analyst, 135(5), 1138–1146. https://doi.org/10.1039/B922045C</w:t>
      </w:r>
    </w:p>
    <w:p>
      <w:pPr>
        <w:spacing w:before="60" w:after="60"/>
        <w:ind w:left="576" w:hanging="576"/>
      </w:pPr>
      <w:r>
        <w:rPr>
          <w:sz w:val="19"/>
        </w:rPr>
        <w:t>6. [REFERENCE PAPER 5] Minasny, B., McBratney, A. B., Bellon-Maurel, V., Leseigneur, J. M., Gobrecht, A., &amp; Roger, J. M. (2011). Removing the effect of soil moisture from NIR spectra using external parameter orthogonalisation (EPO) and continuum removal. Geoderma, 167–168, 118–124. https://doi.org/10.1016/j.geoderma.2011.09.008</w:t>
      </w:r>
    </w:p>
    <w:p>
      <w:pPr>
        <w:spacing w:before="60" w:after="60"/>
        <w:ind w:left="576" w:hanging="576"/>
      </w:pPr>
      <w:r>
        <w:rPr>
          <w:sz w:val="19"/>
        </w:rPr>
        <w:t>7. [REFERENCE PAPER 6] Orgiazzi, A., Ballabio, C., Panagos, P., Jones, A., &amp; Fernández-Ugalde, O. (2018). LUCAS Soil, the largest expandable soil dataset for Europe: A review. European Journal of Soil Science, 69(1), 140–153. https://doi.org/10.1111/ejos.12643</w:t>
      </w:r>
    </w:p>
    <w:p>
      <w:pPr>
        <w:spacing w:before="60" w:after="60"/>
        <w:ind w:left="576" w:hanging="576"/>
      </w:pPr>
      <w:r>
        <w:rPr>
          <w:sz w:val="19"/>
        </w:rPr>
        <w:t>8. [REFERENCE PAPER 7] Wadoux, A. M. J. C., Brus, D. J., &amp; Heuvelink, G. B. (2021). Sampling design for machine learning-based digital soil mapping: A review. Geoderma, 385, 114889. https://doi.org/10.1016/j.geoderma.2020.114889</w:t>
      </w:r>
    </w:p>
    <w:p>
      <w:pPr>
        <w:spacing w:before="60" w:after="60"/>
        <w:ind w:left="576" w:hanging="576"/>
      </w:pPr>
      <w:r>
        <w:rPr>
          <w:sz w:val="19"/>
        </w:rPr>
        <w:t>9. [REFERENCE PAPER 8] Tsakiridis, N. L., Oikonomidis, A., &amp; Theocharis, J. B. (2020). A localized convolutional neural network architecture for predicting soil properties from Vis-NIR spectra. Geoderma, 375, 114510. https://doi.org/10.1016/j.geoderma.2020.114510</w:t>
      </w:r>
    </w:p>
    <w:p>
      <w:pPr>
        <w:spacing w:before="60" w:after="60"/>
        <w:ind w:left="576" w:hanging="576"/>
      </w:pPr>
      <w:r>
        <w:rPr>
          <w:sz w:val="19"/>
        </w:rPr>
        <w:t>10. [REFERENCE PAPER 9] Angelopoulou, T., Tziolas, N., Balafoutis, A., &amp; Zalidis, G. (2019). Remote sensing techniques for soil organic carbon estimation: A review. Remote Sensing, 11(6), 676. https://doi.org/10.3390/rs11060676</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REVIEW 2: LITERATURE SURVEY | 10 BENCHMARK STUDIES (1 BASE + 9 REFERENCE 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