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44818" w14:textId="50E7260F" w:rsidR="001E53DC" w:rsidRPr="004B4DAD" w:rsidRDefault="00000000" w:rsidP="004B4DAD">
      <w:pPr>
        <w:spacing w:before="720" w:after="160"/>
        <w:jc w:val="center"/>
        <w:rPr>
          <w:rFonts w:ascii="Calibri Light" w:hAnsi="Calibri Light"/>
          <w:b/>
          <w:color w:val="003366"/>
          <w:sz w:val="44"/>
        </w:rPr>
      </w:pPr>
      <w:r w:rsidRPr="004B4DAD">
        <w:rPr>
          <w:b/>
          <w:color w:val="646464"/>
          <w:sz w:val="56"/>
          <w:szCs w:val="52"/>
        </w:rPr>
        <w:t>A</w:t>
      </w:r>
      <w:r w:rsidR="001C4A64" w:rsidRPr="004B4DAD">
        <w:rPr>
          <w:b/>
          <w:color w:val="646464"/>
          <w:sz w:val="56"/>
          <w:szCs w:val="52"/>
        </w:rPr>
        <w:t>RTIFICIAL INTELLIGENCE</w:t>
      </w:r>
      <w:r w:rsidRPr="004B4DAD">
        <w:rPr>
          <w:b/>
          <w:color w:val="646464"/>
          <w:sz w:val="56"/>
          <w:szCs w:val="52"/>
        </w:rPr>
        <w:t xml:space="preserve"> PROJECT</w:t>
      </w:r>
      <w:r w:rsidRPr="004B4DAD">
        <w:rPr>
          <w:rFonts w:ascii="Calibri Light" w:hAnsi="Calibri Light"/>
          <w:b/>
          <w:color w:val="003366"/>
          <w:sz w:val="44"/>
        </w:rPr>
        <w:t xml:space="preserve"> </w:t>
      </w:r>
    </w:p>
    <w:p w14:paraId="489EC99D" w14:textId="77777777" w:rsidR="001E53DC" w:rsidRDefault="00000000">
      <w:pPr>
        <w:spacing w:before="480" w:after="240"/>
        <w:jc w:val="center"/>
      </w:pPr>
      <w:r>
        <w:rPr>
          <w:rFonts w:ascii="Calibri Light" w:hAnsi="Calibri Light"/>
          <w:b/>
          <w:color w:val="003366"/>
          <w:sz w:val="44"/>
        </w:rPr>
        <w:t>HYPERSPECTRAL &amp; UAV SOIL ORGANIC CARBON AND NPK NUTRIENT ESTIMATION</w:t>
      </w:r>
      <w:r>
        <w:rPr>
          <w:rFonts w:ascii="Calibri Light" w:hAnsi="Calibri Light"/>
          <w:b/>
          <w:color w:val="003366"/>
          <w:sz w:val="44"/>
        </w:rPr>
        <w:br/>
      </w:r>
    </w:p>
    <w:p w14:paraId="0EA9607C" w14:textId="77777777" w:rsidR="001E53DC" w:rsidRDefault="00000000">
      <w:pPr>
        <w:spacing w:after="720"/>
        <w:jc w:val="center"/>
        <w:rPr>
          <w:i/>
          <w:color w:val="464646"/>
          <w:sz w:val="26"/>
        </w:rPr>
      </w:pPr>
      <w:r>
        <w:rPr>
          <w:i/>
          <w:color w:val="464646"/>
          <w:sz w:val="26"/>
        </w:rPr>
        <w:t>A Comprehensive Review of Diffuse Reflectance Spectroscopy (Vis-NIR), Soil Moisture Neutralization, and Deep 1D Convolutional Neural Networks</w:t>
      </w:r>
    </w:p>
    <w:p w14:paraId="368D81DC" w14:textId="6DBB9A61" w:rsidR="004B4DAD" w:rsidRPr="004B4DAD" w:rsidRDefault="004B4DAD" w:rsidP="004B4DAD">
      <w:pPr>
        <w:spacing w:after="0"/>
        <w:jc w:val="center"/>
        <w:rPr>
          <w:b/>
          <w:bCs/>
          <w:iCs/>
          <w:color w:val="464646"/>
          <w:sz w:val="44"/>
          <w:szCs w:val="40"/>
        </w:rPr>
      </w:pPr>
      <w:r w:rsidRPr="004B4DAD">
        <w:rPr>
          <w:b/>
          <w:bCs/>
          <w:iCs/>
          <w:color w:val="464646"/>
          <w:sz w:val="44"/>
          <w:szCs w:val="40"/>
        </w:rPr>
        <w:t>PRAKHAR GAWALI 24BCI0217</w:t>
      </w:r>
    </w:p>
    <w:p w14:paraId="46DBF0B8" w14:textId="5107EA06" w:rsidR="004B4DAD" w:rsidRPr="004B4DAD" w:rsidRDefault="004B4DAD" w:rsidP="004B4DAD">
      <w:pPr>
        <w:spacing w:after="0"/>
        <w:jc w:val="center"/>
        <w:rPr>
          <w:b/>
          <w:bCs/>
          <w:iCs/>
          <w:color w:val="464646"/>
          <w:sz w:val="44"/>
          <w:szCs w:val="40"/>
        </w:rPr>
      </w:pPr>
      <w:r w:rsidRPr="004B4DAD">
        <w:rPr>
          <w:b/>
          <w:bCs/>
          <w:iCs/>
          <w:color w:val="464646"/>
          <w:sz w:val="44"/>
          <w:szCs w:val="40"/>
        </w:rPr>
        <w:t>PARTHEY JAGETIYA 24BCI0265</w:t>
      </w:r>
    </w:p>
    <w:p w14:paraId="182106C4" w14:textId="460D5762" w:rsidR="004B4DAD" w:rsidRDefault="004B4DAD" w:rsidP="004B4DAD">
      <w:pPr>
        <w:spacing w:after="0"/>
        <w:jc w:val="center"/>
        <w:rPr>
          <w:b/>
          <w:bCs/>
          <w:iCs/>
          <w:color w:val="464646"/>
          <w:sz w:val="44"/>
          <w:szCs w:val="40"/>
        </w:rPr>
      </w:pPr>
      <w:r w:rsidRPr="004B4DAD">
        <w:rPr>
          <w:b/>
          <w:bCs/>
          <w:iCs/>
          <w:color w:val="464646"/>
          <w:sz w:val="44"/>
          <w:szCs w:val="40"/>
        </w:rPr>
        <w:t>SARANSHSINGH RATHORE 24BCI0278</w:t>
      </w:r>
    </w:p>
    <w:p w14:paraId="72DA8F9D" w14:textId="1BB69E8D" w:rsidR="004B4DAD" w:rsidRPr="004B4DAD" w:rsidRDefault="004B4DAD" w:rsidP="004B4DAD">
      <w:pPr>
        <w:spacing w:before="240" w:after="0"/>
        <w:jc w:val="center"/>
        <w:rPr>
          <w:b/>
          <w:bCs/>
          <w:iCs/>
          <w:color w:val="464646"/>
          <w:sz w:val="44"/>
          <w:szCs w:val="40"/>
        </w:rPr>
      </w:pPr>
      <w:r>
        <w:rPr>
          <w:b/>
          <w:bCs/>
          <w:iCs/>
          <w:color w:val="464646"/>
          <w:sz w:val="44"/>
          <w:szCs w:val="40"/>
        </w:rPr>
        <w:t>PROF: AARTHY GOPI</w:t>
      </w:r>
    </w:p>
    <w:p w14:paraId="3952D0DC" w14:textId="1C4514B5" w:rsidR="004B4DAD" w:rsidRDefault="004B4DAD" w:rsidP="004B4DAD">
      <w:pPr>
        <w:spacing w:after="720"/>
      </w:pPr>
    </w:p>
    <w:tbl>
      <w:tblPr>
        <w:tblW w:w="0" w:type="auto"/>
        <w:jc w:val="center"/>
        <w:tblLook w:val="04A0" w:firstRow="1" w:lastRow="0" w:firstColumn="1" w:lastColumn="0" w:noHBand="0" w:noVBand="1"/>
      </w:tblPr>
      <w:tblGrid>
        <w:gridCol w:w="4680"/>
        <w:gridCol w:w="4680"/>
      </w:tblGrid>
      <w:tr w:rsidR="001E53DC" w14:paraId="0CADFB81" w14:textId="77777777">
        <w:trPr>
          <w:jc w:val="center"/>
        </w:trPr>
        <w:tc>
          <w:tcPr>
            <w:tcW w:w="4680" w:type="dxa"/>
            <w:shd w:val="clear" w:color="auto" w:fill="EBF0F5"/>
            <w:tcMar>
              <w:top w:w="60" w:type="dxa"/>
              <w:left w:w="80" w:type="dxa"/>
              <w:bottom w:w="60" w:type="dxa"/>
              <w:right w:w="80" w:type="dxa"/>
            </w:tcMar>
          </w:tcPr>
          <w:p w14:paraId="0F610802" w14:textId="77777777" w:rsidR="001E53DC" w:rsidRDefault="00000000">
            <w:r>
              <w:rPr>
                <w:b/>
                <w:sz w:val="20"/>
              </w:rPr>
              <w:t>Base Benchmark Paper:</w:t>
            </w:r>
          </w:p>
        </w:tc>
        <w:tc>
          <w:tcPr>
            <w:tcW w:w="4680" w:type="dxa"/>
            <w:shd w:val="clear" w:color="auto" w:fill="F7F9FB"/>
            <w:tcMar>
              <w:top w:w="60" w:type="dxa"/>
              <w:left w:w="80" w:type="dxa"/>
              <w:bottom w:w="60" w:type="dxa"/>
              <w:right w:w="80" w:type="dxa"/>
            </w:tcMar>
          </w:tcPr>
          <w:p w14:paraId="187CF41F" w14:textId="0D2D5327" w:rsidR="001E53DC" w:rsidRDefault="0068350C">
            <w:hyperlink r:id="rId8" w:history="1">
              <w:r w:rsidR="00000000" w:rsidRPr="0068350C">
                <w:rPr>
                  <w:rStyle w:val="Hyperlink"/>
                  <w:sz w:val="20"/>
                </w:rPr>
                <w:t>Cao et al. (MDP</w:t>
              </w:r>
              <w:r w:rsidR="00000000" w:rsidRPr="0068350C">
                <w:rPr>
                  <w:rStyle w:val="Hyperlink"/>
                  <w:sz w:val="20"/>
                </w:rPr>
                <w:t>I</w:t>
              </w:r>
              <w:r w:rsidR="00000000" w:rsidRPr="0068350C">
                <w:rPr>
                  <w:rStyle w:val="Hyperlink"/>
                  <w:sz w:val="20"/>
                </w:rPr>
                <w:t xml:space="preserve"> Agronomy, </w:t>
              </w:r>
              <w:r w:rsidR="00000000" w:rsidRPr="0068350C">
                <w:rPr>
                  <w:rStyle w:val="Hyperlink"/>
                  <w:sz w:val="20"/>
                </w:rPr>
                <w:t>S</w:t>
              </w:r>
              <w:r w:rsidR="00000000" w:rsidRPr="0068350C">
                <w:rPr>
                  <w:rStyle w:val="Hyperlink"/>
                  <w:sz w:val="20"/>
                </w:rPr>
                <w:t>ept 2024, doi:10.3390/agronomy14091998)</w:t>
              </w:r>
            </w:hyperlink>
            <w:r>
              <w:rPr>
                <w:sz w:val="20"/>
              </w:rPr>
              <w:t xml:space="preserve"> </w:t>
            </w:r>
          </w:p>
        </w:tc>
      </w:tr>
      <w:tr w:rsidR="001E53DC" w14:paraId="3862A7F2" w14:textId="77777777">
        <w:trPr>
          <w:jc w:val="center"/>
        </w:trPr>
        <w:tc>
          <w:tcPr>
            <w:tcW w:w="4680" w:type="dxa"/>
            <w:shd w:val="clear" w:color="auto" w:fill="EBF0F5"/>
            <w:tcMar>
              <w:top w:w="60" w:type="dxa"/>
              <w:left w:w="80" w:type="dxa"/>
              <w:bottom w:w="60" w:type="dxa"/>
              <w:right w:w="80" w:type="dxa"/>
            </w:tcMar>
          </w:tcPr>
          <w:p w14:paraId="09964278" w14:textId="77777777" w:rsidR="001E53DC" w:rsidRDefault="00000000">
            <w:r>
              <w:rPr>
                <w:b/>
                <w:sz w:val="20"/>
              </w:rPr>
              <w:t>Primary Database:</w:t>
            </w:r>
          </w:p>
        </w:tc>
        <w:tc>
          <w:tcPr>
            <w:tcW w:w="4680" w:type="dxa"/>
            <w:shd w:val="clear" w:color="auto" w:fill="F7F9FB"/>
            <w:tcMar>
              <w:top w:w="60" w:type="dxa"/>
              <w:left w:w="80" w:type="dxa"/>
              <w:bottom w:w="60" w:type="dxa"/>
              <w:right w:w="80" w:type="dxa"/>
            </w:tcMar>
          </w:tcPr>
          <w:p w14:paraId="6480B312" w14:textId="77777777" w:rsidR="001E53DC" w:rsidRDefault="00000000">
            <w:r>
              <w:rPr>
                <w:sz w:val="20"/>
              </w:rPr>
              <w:t>European Commission Joint Research Centre (ESDAC LUCAS Topsoil Database)</w:t>
            </w:r>
          </w:p>
        </w:tc>
      </w:tr>
      <w:tr w:rsidR="001E53DC" w14:paraId="0A61AF36" w14:textId="77777777">
        <w:trPr>
          <w:jc w:val="center"/>
        </w:trPr>
        <w:tc>
          <w:tcPr>
            <w:tcW w:w="4680" w:type="dxa"/>
            <w:shd w:val="clear" w:color="auto" w:fill="EBF0F5"/>
            <w:tcMar>
              <w:top w:w="60" w:type="dxa"/>
              <w:left w:w="80" w:type="dxa"/>
              <w:bottom w:w="60" w:type="dxa"/>
              <w:right w:w="80" w:type="dxa"/>
            </w:tcMar>
          </w:tcPr>
          <w:p w14:paraId="3BD1CE60" w14:textId="77777777" w:rsidR="001E53DC" w:rsidRDefault="00000000">
            <w:r>
              <w:rPr>
                <w:b/>
                <w:sz w:val="20"/>
              </w:rPr>
              <w:t>Target Properties:</w:t>
            </w:r>
          </w:p>
        </w:tc>
        <w:tc>
          <w:tcPr>
            <w:tcW w:w="4680" w:type="dxa"/>
            <w:shd w:val="clear" w:color="auto" w:fill="F7F9FB"/>
            <w:tcMar>
              <w:top w:w="60" w:type="dxa"/>
              <w:left w:w="80" w:type="dxa"/>
              <w:bottom w:w="60" w:type="dxa"/>
              <w:right w:w="80" w:type="dxa"/>
            </w:tcMar>
          </w:tcPr>
          <w:p w14:paraId="7AE6FC15" w14:textId="77777777" w:rsidR="001E53DC" w:rsidRDefault="00000000">
            <w:r>
              <w:rPr>
                <w:sz w:val="20"/>
              </w:rPr>
              <w:t>Soil Organic Carbon (SOC), Total Nitrogen (N), Available Phosphorus (P), Potassium (K)</w:t>
            </w:r>
          </w:p>
        </w:tc>
      </w:tr>
    </w:tbl>
    <w:p w14:paraId="1DC5BEAE" w14:textId="77777777" w:rsidR="001E53DC" w:rsidRDefault="00000000">
      <w:r>
        <w:br w:type="page"/>
      </w:r>
    </w:p>
    <w:p w14:paraId="5025CBFF" w14:textId="77777777" w:rsidR="001E53DC" w:rsidRDefault="00000000">
      <w:pPr>
        <w:pStyle w:val="Heading1"/>
      </w:pPr>
      <w:r>
        <w:rPr>
          <w:color w:val="003366"/>
        </w:rPr>
        <w:lastRenderedPageBreak/>
        <w:t>1. Introduction and Context of Proximal Soil Sensing</w:t>
      </w:r>
    </w:p>
    <w:p w14:paraId="550FDF0F" w14:textId="77777777" w:rsidR="001E53DC" w:rsidRDefault="00000000">
      <w:r>
        <w:t>Soil constitutes the central natural capital of terrestrial ecosystems, dictating global food security, biogeochemical nutrient cycling, water purification, and atmospheric carbon regulation. With the global population projected to reach 9.7 billion by 2050, agricultural systems face the dual imperative of augmenting crop yields while minimizing environmental degradation, fertilizer runoff, and soil organic matter depletion. Sustainable soil management fundamentally hinges on the availability of accurate, high-frequency, and spatially dense soil diagnostic testing.</w:t>
      </w:r>
    </w:p>
    <w:p w14:paraId="5CED3217" w14:textId="77777777" w:rsidR="001E53DC" w:rsidRDefault="00000000">
      <w:r>
        <w:t>Historically, soil fertility monitoring has depended upon laboratory-based wet chemical testing of composite core samples. While established wet-chemical methods remain the analytical benchmark for legal and regulatory compliance, their operational turnaround latency (3 to 7 days), destructive sample digestion requirements, and substantial per-sample economic costs ($30 to $100 per test) preclude high-resolution precision agriculture. In typical commercial crop production, spatial soil variability across a single agricultural parcel of 50 hectares is routinely aggregated into just three to five composite samples. Consequently, micro-spatial nutrient heterogeneity is masked, resulting in either localized nutrient starvation or excessive, non-uniform nitrogen-phosphorus fertilization that precipitates eutrophication and greenhouse gas emissions (N2O).</w:t>
      </w:r>
    </w:p>
    <w:tbl>
      <w:tblPr>
        <w:tblW w:w="0" w:type="auto"/>
        <w:jc w:val="center"/>
        <w:tblLayout w:type="fixed"/>
        <w:tblLook w:val="04A0" w:firstRow="1" w:lastRow="0" w:firstColumn="1" w:lastColumn="0" w:noHBand="0" w:noVBand="1"/>
      </w:tblPr>
      <w:tblGrid>
        <w:gridCol w:w="9360"/>
      </w:tblGrid>
      <w:tr w:rsidR="001E53DC" w14:paraId="4122C329" w14:textId="77777777">
        <w:trPr>
          <w:jc w:val="center"/>
        </w:trPr>
        <w:tc>
          <w:tcPr>
            <w:tcW w:w="9360" w:type="dxa"/>
            <w:tcBorders>
              <w:left w:val="single" w:sz="36" w:space="0" w:color="003366"/>
            </w:tcBorders>
            <w:shd w:val="clear" w:color="auto" w:fill="F2F6FA"/>
            <w:tcMar>
              <w:top w:w="140" w:type="dxa"/>
              <w:left w:w="180" w:type="dxa"/>
              <w:bottom w:w="140" w:type="dxa"/>
              <w:right w:w="140" w:type="dxa"/>
            </w:tcMar>
          </w:tcPr>
          <w:p w14:paraId="12A78EED" w14:textId="77777777" w:rsidR="001E53DC" w:rsidRDefault="00000000">
            <w:pPr>
              <w:spacing w:before="40" w:after="40"/>
            </w:pPr>
            <w:r>
              <w:rPr>
                <w:b/>
                <w:color w:val="003366"/>
                <w:sz w:val="20"/>
              </w:rPr>
              <w:t>■ THE PARADIGM SHIFT TO OPTICAL SENSING</w:t>
            </w:r>
            <w:r>
              <w:rPr>
                <w:b/>
                <w:color w:val="003366"/>
                <w:sz w:val="20"/>
              </w:rPr>
              <w:br/>
            </w:r>
            <w:r>
              <w:rPr>
                <w:i/>
                <w:color w:val="28323C"/>
                <w:sz w:val="20"/>
              </w:rPr>
              <w:t>Diffuse reflectance spectroscopy across the Visible and Near-Infrared (Vis-NIR, 400 – 2500 nm) spectrum offers a non-destructive, reagent-free, digital sensing paradigm. When integrated into lightweight Unmanned Aerial Vehicle (UAV) hyperspectral sensors or handheld field spectrometers, optical chemometrics can estimate Soil Organic Carbon (SOC) and Nitrogen-Phosphorus-Potassium (NPK) macronutrients instantaneously, bridging the critical divide between laboratory precision and field scalability.</w:t>
            </w:r>
          </w:p>
        </w:tc>
      </w:tr>
    </w:tbl>
    <w:p w14:paraId="6DA5C40C" w14:textId="77777777" w:rsidR="001E53DC" w:rsidRDefault="001E53DC">
      <w:pPr>
        <w:spacing w:after="80"/>
      </w:pPr>
    </w:p>
    <w:p w14:paraId="0B5EFD7E" w14:textId="77777777" w:rsidR="001E53DC" w:rsidRDefault="00000000">
      <w:pPr>
        <w:pStyle w:val="Heading1"/>
      </w:pPr>
      <w:r>
        <w:rPr>
          <w:color w:val="003366"/>
        </w:rPr>
        <w:t>2. Soil Fertility Chemistry &amp; Conventional Testing Bottlenecks</w:t>
      </w:r>
    </w:p>
    <w:p w14:paraId="562F8B6F" w14:textId="77777777" w:rsidR="001E53DC" w:rsidRDefault="00000000">
      <w:r>
        <w:t>To formulate an effective computational spectroscopic model, the underlying chemical mechanisms and conventional analytical protocols of the four primary soil fertility indicators must be thoroughly established:</w:t>
      </w:r>
    </w:p>
    <w:p w14:paraId="79051828" w14:textId="77777777" w:rsidR="001E53DC" w:rsidRDefault="00000000">
      <w:pPr>
        <w:pStyle w:val="Heading2"/>
      </w:pPr>
      <w:r>
        <w:t>2.1 Soil Organic Carbon (SOC)</w:t>
      </w:r>
    </w:p>
    <w:p w14:paraId="537CB9E1" w14:textId="77777777" w:rsidR="001E53DC" w:rsidRDefault="00000000">
      <w:r>
        <w:t>Soil Organic Carbon represents approximately 58% of total Soil Organic Matter (SOM) by mass. SOC comprises a heterogeneous continuum of biopolymers, including humic acids, fulvic acids, humins, microbial biomass, and plant residues rich in aliphatic and aromatic functional groups (C-H, C-C, C=O, O-H). Standard laboratory quantification relies on the Walkley-Black wet dichromate oxidation method or dry combustion using automated elemental carbon analyzers (Dumas method at 950°C). Walkley-Black wet oxidation generates hazardous hexavalent chromium (Cr6+) and acidic liquid waste, while dry combustion requires high-temperature furnace hardware, sample pulverization, and carrier gases.</w:t>
      </w:r>
    </w:p>
    <w:p w14:paraId="72F3D69C" w14:textId="77777777" w:rsidR="001E53DC" w:rsidRDefault="00000000">
      <w:pPr>
        <w:pStyle w:val="Heading2"/>
      </w:pPr>
      <w:r>
        <w:lastRenderedPageBreak/>
        <w:t>2.2 Total Nitrogen (N)</w:t>
      </w:r>
    </w:p>
    <w:p w14:paraId="0F7D11C4" w14:textId="77777777" w:rsidR="001E53DC" w:rsidRDefault="00000000">
      <w:r>
        <w:t>Nitrogen is the primary structural building block for plant proteins, nucleic acids, and chlorophyll. Over 95% of topsoil nitrogen occurs in organically bound forms (amino acids, amino sugars, peptides, heterocyclic nitrogen). The Kjeldahl method involves boiling the soil in concentrated sulfuric acid (H2SO4) with metal catalysts (CuSO4/Se) to convert organic nitrogen into ammonium sulfate, followed by alkaline distillation and titration. The method is labor-intensive, requires substantial electrical power, and produces toxic, highly corrosive acid fumes.</w:t>
      </w:r>
    </w:p>
    <w:p w14:paraId="4C1F3FAE" w14:textId="77777777" w:rsidR="001E53DC" w:rsidRDefault="00000000">
      <w:pPr>
        <w:pStyle w:val="Heading2"/>
      </w:pPr>
      <w:r>
        <w:t>2.3 Available Phosphorus (P)</w:t>
      </w:r>
    </w:p>
    <w:p w14:paraId="65DAC7E1" w14:textId="77777777" w:rsidR="001E53DC" w:rsidRDefault="00000000">
      <w:r>
        <w:t>Phosphorus is essential for cellular ATP energy transfer, nucleic acid formation, and root morphogenesis. Unlike carbon and nitrogen, soil phosphorus occurs in orthophosphate anions (H2PO4-, HPO4(2-)) tightly sorbed to iron and aluminum oxyhydroxides in acidic soils or precipitated as calcium phosphates in alkaline soils. Conventional agronomic testing uses the Olsen sodium bicarbonate (0.5 M NaHCO3 at pH 8.5) or Bray-1 (HCl-NH4F) extraction, followed by molybdenum blue colorimetric spectrophotometry at 882 nm. Because inorganic orthophosphates lack isolated covalent absorption overtones in the Vis-NIR, optical estimation relies on complex indirect co-variations with soil organic matter, iron oxides, and clay-phosphate complexes.</w:t>
      </w:r>
    </w:p>
    <w:p w14:paraId="1533027E" w14:textId="77777777" w:rsidR="001E53DC" w:rsidRDefault="00000000">
      <w:pPr>
        <w:pStyle w:val="Heading2"/>
      </w:pPr>
      <w:r>
        <w:t>2.4 Extractable Potassium (K)</w:t>
      </w:r>
    </w:p>
    <w:p w14:paraId="60F369FF" w14:textId="77777777" w:rsidR="001E53DC" w:rsidRDefault="00000000">
      <w:r>
        <w:t>Potassium operates as a vital osmotic regulator, maintaining plant cellular turgor, enzyme activation, and stomatal opening. Soil potassium exists as free hydrated cations (K+) in soil pore solution or as exchangeable cations adsorbed onto negatively charged phyllosilicate clay mineral layers (illite, montmorillonite) and organic humic micelles. The standard testing method involves extraction with 1.0 M neutral ammonium acetate (NH4OAc) and quantification via Flame Atomic Emission Spectrometry (FAES). As a monoatomic cation, K+ exhibits no direct intra-molecular vibrational bonds; its Vis-NIR spectroscopic response is mediated through its influence on clay interlayer expansion, structural Al-OH/Si-O lattice vibrations, and particle surface scattering.</w:t>
      </w:r>
    </w:p>
    <w:p w14:paraId="75364DC0" w14:textId="77777777" w:rsidR="001E53DC" w:rsidRDefault="00000000">
      <w:pPr>
        <w:pStyle w:val="Heading3"/>
      </w:pPr>
      <w:r>
        <w:t>Table 1. Comprehensive Comparison of Conventional Soil Testing and Vis-NIR Spectroscopy</w:t>
      </w:r>
    </w:p>
    <w:tbl>
      <w:tblPr>
        <w:tblW w:w="0" w:type="auto"/>
        <w:jc w:val="center"/>
        <w:tblLook w:val="04A0" w:firstRow="1" w:lastRow="0" w:firstColumn="1" w:lastColumn="0" w:noHBand="0" w:noVBand="1"/>
      </w:tblPr>
      <w:tblGrid>
        <w:gridCol w:w="1728"/>
        <w:gridCol w:w="2160"/>
        <w:gridCol w:w="1296"/>
        <w:gridCol w:w="2016"/>
        <w:gridCol w:w="2160"/>
      </w:tblGrid>
      <w:tr w:rsidR="001E53DC" w14:paraId="7D7B21CF" w14:textId="77777777">
        <w:trPr>
          <w:jc w:val="center"/>
        </w:trPr>
        <w:tc>
          <w:tcPr>
            <w:tcW w:w="1728" w:type="dxa"/>
            <w:shd w:val="clear" w:color="auto" w:fill="003366"/>
            <w:tcMar>
              <w:top w:w="80" w:type="dxa"/>
              <w:left w:w="100" w:type="dxa"/>
              <w:bottom w:w="80" w:type="dxa"/>
              <w:right w:w="100" w:type="dxa"/>
            </w:tcMar>
          </w:tcPr>
          <w:p w14:paraId="3F51B117" w14:textId="77777777" w:rsidR="001E53DC" w:rsidRDefault="00000000">
            <w:pPr>
              <w:spacing w:before="40" w:after="40" w:line="252" w:lineRule="auto"/>
            </w:pPr>
            <w:r>
              <w:rPr>
                <w:b/>
                <w:color w:val="FFFFFF"/>
                <w:sz w:val="19"/>
              </w:rPr>
              <w:t>Target Property</w:t>
            </w:r>
          </w:p>
        </w:tc>
        <w:tc>
          <w:tcPr>
            <w:tcW w:w="2160" w:type="dxa"/>
            <w:shd w:val="clear" w:color="auto" w:fill="003366"/>
            <w:tcMar>
              <w:top w:w="80" w:type="dxa"/>
              <w:left w:w="100" w:type="dxa"/>
              <w:bottom w:w="80" w:type="dxa"/>
              <w:right w:w="100" w:type="dxa"/>
            </w:tcMar>
          </w:tcPr>
          <w:p w14:paraId="3C03A063" w14:textId="77777777" w:rsidR="001E53DC" w:rsidRDefault="00000000">
            <w:pPr>
              <w:spacing w:before="40" w:after="40" w:line="252" w:lineRule="auto"/>
            </w:pPr>
            <w:r>
              <w:rPr>
                <w:b/>
                <w:color w:val="FFFFFF"/>
                <w:sz w:val="19"/>
              </w:rPr>
              <w:t>Standard Wet Chemistry Method</w:t>
            </w:r>
          </w:p>
        </w:tc>
        <w:tc>
          <w:tcPr>
            <w:tcW w:w="1296" w:type="dxa"/>
            <w:shd w:val="clear" w:color="auto" w:fill="003366"/>
            <w:tcMar>
              <w:top w:w="80" w:type="dxa"/>
              <w:left w:w="100" w:type="dxa"/>
              <w:bottom w:w="80" w:type="dxa"/>
              <w:right w:w="100" w:type="dxa"/>
            </w:tcMar>
          </w:tcPr>
          <w:p w14:paraId="722CD86B" w14:textId="77777777" w:rsidR="001E53DC" w:rsidRDefault="00000000">
            <w:pPr>
              <w:spacing w:before="40" w:after="40" w:line="252" w:lineRule="auto"/>
            </w:pPr>
            <w:r>
              <w:rPr>
                <w:b/>
                <w:color w:val="FFFFFF"/>
                <w:sz w:val="19"/>
              </w:rPr>
              <w:t>Turnaround Latency</w:t>
            </w:r>
          </w:p>
        </w:tc>
        <w:tc>
          <w:tcPr>
            <w:tcW w:w="2016" w:type="dxa"/>
            <w:shd w:val="clear" w:color="auto" w:fill="003366"/>
            <w:tcMar>
              <w:top w:w="80" w:type="dxa"/>
              <w:left w:w="100" w:type="dxa"/>
              <w:bottom w:w="80" w:type="dxa"/>
              <w:right w:w="100" w:type="dxa"/>
            </w:tcMar>
          </w:tcPr>
          <w:p w14:paraId="3D7774A3" w14:textId="77777777" w:rsidR="001E53DC" w:rsidRDefault="00000000">
            <w:pPr>
              <w:spacing w:before="40" w:after="40" w:line="252" w:lineRule="auto"/>
            </w:pPr>
            <w:r>
              <w:rPr>
                <w:b/>
                <w:color w:val="FFFFFF"/>
                <w:sz w:val="19"/>
              </w:rPr>
              <w:t>Primary Environmental/Cost Bottleneck</w:t>
            </w:r>
          </w:p>
        </w:tc>
        <w:tc>
          <w:tcPr>
            <w:tcW w:w="2160" w:type="dxa"/>
            <w:shd w:val="clear" w:color="auto" w:fill="003366"/>
            <w:tcMar>
              <w:top w:w="80" w:type="dxa"/>
              <w:left w:w="100" w:type="dxa"/>
              <w:bottom w:w="80" w:type="dxa"/>
              <w:right w:w="100" w:type="dxa"/>
            </w:tcMar>
          </w:tcPr>
          <w:p w14:paraId="2AC25D1E" w14:textId="77777777" w:rsidR="001E53DC" w:rsidRDefault="00000000">
            <w:pPr>
              <w:spacing w:before="40" w:after="40" w:line="252" w:lineRule="auto"/>
            </w:pPr>
            <w:r>
              <w:rPr>
                <w:b/>
                <w:color w:val="FFFFFF"/>
                <w:sz w:val="19"/>
              </w:rPr>
              <w:t>Vis-NIR Spectroscopic Mechanism</w:t>
            </w:r>
          </w:p>
        </w:tc>
      </w:tr>
      <w:tr w:rsidR="001E53DC" w14:paraId="2075CB6E" w14:textId="77777777">
        <w:trPr>
          <w:jc w:val="center"/>
        </w:trPr>
        <w:tc>
          <w:tcPr>
            <w:tcW w:w="1728" w:type="dxa"/>
            <w:shd w:val="clear" w:color="auto" w:fill="F4F7FA"/>
            <w:tcMar>
              <w:top w:w="80" w:type="dxa"/>
              <w:left w:w="100" w:type="dxa"/>
              <w:bottom w:w="80" w:type="dxa"/>
              <w:right w:w="100" w:type="dxa"/>
            </w:tcMar>
          </w:tcPr>
          <w:p w14:paraId="77CD0133" w14:textId="77777777" w:rsidR="001E53DC" w:rsidRDefault="00000000">
            <w:pPr>
              <w:spacing w:before="40" w:after="40" w:line="252" w:lineRule="auto"/>
            </w:pPr>
            <w:r>
              <w:rPr>
                <w:sz w:val="18"/>
              </w:rPr>
              <w:t>Soil Organic Carbon (SOC)</w:t>
            </w:r>
          </w:p>
        </w:tc>
        <w:tc>
          <w:tcPr>
            <w:tcW w:w="2160" w:type="dxa"/>
            <w:shd w:val="clear" w:color="auto" w:fill="F4F7FA"/>
            <w:tcMar>
              <w:top w:w="80" w:type="dxa"/>
              <w:left w:w="100" w:type="dxa"/>
              <w:bottom w:w="80" w:type="dxa"/>
              <w:right w:w="100" w:type="dxa"/>
            </w:tcMar>
          </w:tcPr>
          <w:p w14:paraId="0EB3FD3D" w14:textId="77777777" w:rsidR="001E53DC" w:rsidRDefault="00000000">
            <w:pPr>
              <w:spacing w:before="40" w:after="40" w:line="252" w:lineRule="auto"/>
            </w:pPr>
            <w:r>
              <w:rPr>
                <w:sz w:val="18"/>
              </w:rPr>
              <w:t>Walkley-Black Wet Oxidation / Dumas Dry Combustion (950°C)</w:t>
            </w:r>
          </w:p>
        </w:tc>
        <w:tc>
          <w:tcPr>
            <w:tcW w:w="1296" w:type="dxa"/>
            <w:shd w:val="clear" w:color="auto" w:fill="F4F7FA"/>
            <w:tcMar>
              <w:top w:w="80" w:type="dxa"/>
              <w:left w:w="100" w:type="dxa"/>
              <w:bottom w:w="80" w:type="dxa"/>
              <w:right w:w="100" w:type="dxa"/>
            </w:tcMar>
          </w:tcPr>
          <w:p w14:paraId="2A06BC71" w14:textId="77777777" w:rsidR="001E53DC" w:rsidRDefault="00000000">
            <w:pPr>
              <w:spacing w:before="40" w:after="40" w:line="252" w:lineRule="auto"/>
            </w:pPr>
            <w:r>
              <w:rPr>
                <w:sz w:val="18"/>
              </w:rPr>
              <w:t>48 – 72 hours</w:t>
            </w:r>
          </w:p>
        </w:tc>
        <w:tc>
          <w:tcPr>
            <w:tcW w:w="2016" w:type="dxa"/>
            <w:shd w:val="clear" w:color="auto" w:fill="F4F7FA"/>
            <w:tcMar>
              <w:top w:w="80" w:type="dxa"/>
              <w:left w:w="100" w:type="dxa"/>
              <w:bottom w:w="80" w:type="dxa"/>
              <w:right w:w="100" w:type="dxa"/>
            </w:tcMar>
          </w:tcPr>
          <w:p w14:paraId="5F780621" w14:textId="77777777" w:rsidR="001E53DC" w:rsidRDefault="00000000">
            <w:pPr>
              <w:spacing w:before="40" w:after="40" w:line="252" w:lineRule="auto"/>
            </w:pPr>
            <w:r>
              <w:rPr>
                <w:sz w:val="18"/>
              </w:rPr>
              <w:t>Toxic hexavalent chromium (Cr6+) effluent; high electricity and furnace costs</w:t>
            </w:r>
          </w:p>
        </w:tc>
        <w:tc>
          <w:tcPr>
            <w:tcW w:w="2160" w:type="dxa"/>
            <w:shd w:val="clear" w:color="auto" w:fill="F4F7FA"/>
            <w:tcMar>
              <w:top w:w="80" w:type="dxa"/>
              <w:left w:w="100" w:type="dxa"/>
              <w:bottom w:w="80" w:type="dxa"/>
              <w:right w:w="100" w:type="dxa"/>
            </w:tcMar>
          </w:tcPr>
          <w:p w14:paraId="1A8FF9FB" w14:textId="77777777" w:rsidR="001E53DC" w:rsidRDefault="00000000">
            <w:pPr>
              <w:spacing w:before="40" w:after="40" w:line="252" w:lineRule="auto"/>
            </w:pPr>
            <w:r>
              <w:rPr>
                <w:sz w:val="18"/>
              </w:rPr>
              <w:t>Direct fundamental overtones: C-H stretching (1720 nm), C=O (2310 nm), broad visible albedo</w:t>
            </w:r>
          </w:p>
        </w:tc>
      </w:tr>
      <w:tr w:rsidR="001E53DC" w14:paraId="69F771A4" w14:textId="77777777">
        <w:trPr>
          <w:jc w:val="center"/>
        </w:trPr>
        <w:tc>
          <w:tcPr>
            <w:tcW w:w="1728" w:type="dxa"/>
            <w:shd w:val="clear" w:color="auto" w:fill="FFFFFF"/>
            <w:tcMar>
              <w:top w:w="80" w:type="dxa"/>
              <w:left w:w="100" w:type="dxa"/>
              <w:bottom w:w="80" w:type="dxa"/>
              <w:right w:w="100" w:type="dxa"/>
            </w:tcMar>
          </w:tcPr>
          <w:p w14:paraId="620A0C1B" w14:textId="77777777" w:rsidR="001E53DC" w:rsidRDefault="00000000">
            <w:pPr>
              <w:spacing w:before="40" w:after="40" w:line="252" w:lineRule="auto"/>
            </w:pPr>
            <w:r>
              <w:rPr>
                <w:sz w:val="18"/>
              </w:rPr>
              <w:t>Total Nitrogen (N)</w:t>
            </w:r>
          </w:p>
        </w:tc>
        <w:tc>
          <w:tcPr>
            <w:tcW w:w="2160" w:type="dxa"/>
            <w:shd w:val="clear" w:color="auto" w:fill="FFFFFF"/>
            <w:tcMar>
              <w:top w:w="80" w:type="dxa"/>
              <w:left w:w="100" w:type="dxa"/>
              <w:bottom w:w="80" w:type="dxa"/>
              <w:right w:w="100" w:type="dxa"/>
            </w:tcMar>
          </w:tcPr>
          <w:p w14:paraId="367F5D26" w14:textId="77777777" w:rsidR="001E53DC" w:rsidRDefault="00000000">
            <w:pPr>
              <w:spacing w:before="40" w:after="40" w:line="252" w:lineRule="auto"/>
            </w:pPr>
            <w:r>
              <w:rPr>
                <w:sz w:val="18"/>
              </w:rPr>
              <w:t>Kjeldahl Acid Digestion &amp; Distillation / Dumas Elemental Analyzer</w:t>
            </w:r>
          </w:p>
        </w:tc>
        <w:tc>
          <w:tcPr>
            <w:tcW w:w="1296" w:type="dxa"/>
            <w:shd w:val="clear" w:color="auto" w:fill="FFFFFF"/>
            <w:tcMar>
              <w:top w:w="80" w:type="dxa"/>
              <w:left w:w="100" w:type="dxa"/>
              <w:bottom w:w="80" w:type="dxa"/>
              <w:right w:w="100" w:type="dxa"/>
            </w:tcMar>
          </w:tcPr>
          <w:p w14:paraId="4F253F83" w14:textId="77777777" w:rsidR="001E53DC" w:rsidRDefault="00000000">
            <w:pPr>
              <w:spacing w:before="40" w:after="40" w:line="252" w:lineRule="auto"/>
            </w:pPr>
            <w:r>
              <w:rPr>
                <w:sz w:val="18"/>
              </w:rPr>
              <w:t>72 – 96 hours</w:t>
            </w:r>
          </w:p>
        </w:tc>
        <w:tc>
          <w:tcPr>
            <w:tcW w:w="2016" w:type="dxa"/>
            <w:shd w:val="clear" w:color="auto" w:fill="FFFFFF"/>
            <w:tcMar>
              <w:top w:w="80" w:type="dxa"/>
              <w:left w:w="100" w:type="dxa"/>
              <w:bottom w:w="80" w:type="dxa"/>
              <w:right w:w="100" w:type="dxa"/>
            </w:tcMar>
          </w:tcPr>
          <w:p w14:paraId="63027415" w14:textId="77777777" w:rsidR="001E53DC" w:rsidRDefault="00000000">
            <w:pPr>
              <w:spacing w:before="40" w:after="40" w:line="252" w:lineRule="auto"/>
            </w:pPr>
            <w:r>
              <w:rPr>
                <w:sz w:val="18"/>
              </w:rPr>
              <w:t>Boiling concentrated H2SO4; corrosive acid fumes; limited parallel sample batches</w:t>
            </w:r>
          </w:p>
        </w:tc>
        <w:tc>
          <w:tcPr>
            <w:tcW w:w="2160" w:type="dxa"/>
            <w:shd w:val="clear" w:color="auto" w:fill="FFFFFF"/>
            <w:tcMar>
              <w:top w:w="80" w:type="dxa"/>
              <w:left w:w="100" w:type="dxa"/>
              <w:bottom w:w="80" w:type="dxa"/>
              <w:right w:w="100" w:type="dxa"/>
            </w:tcMar>
          </w:tcPr>
          <w:p w14:paraId="702C2E41" w14:textId="77777777" w:rsidR="001E53DC" w:rsidRDefault="00000000">
            <w:pPr>
              <w:spacing w:before="40" w:after="40" w:line="252" w:lineRule="auto"/>
            </w:pPr>
            <w:r>
              <w:rPr>
                <w:sz w:val="18"/>
              </w:rPr>
              <w:t>Direct covalent N-H overtones (1510 nm, 2060 nm, 2180 nm) + C:N stoichiometric correlation</w:t>
            </w:r>
          </w:p>
        </w:tc>
      </w:tr>
      <w:tr w:rsidR="001E53DC" w14:paraId="6A1EE910" w14:textId="77777777">
        <w:trPr>
          <w:jc w:val="center"/>
        </w:trPr>
        <w:tc>
          <w:tcPr>
            <w:tcW w:w="1728" w:type="dxa"/>
            <w:shd w:val="clear" w:color="auto" w:fill="F4F7FA"/>
            <w:tcMar>
              <w:top w:w="80" w:type="dxa"/>
              <w:left w:w="100" w:type="dxa"/>
              <w:bottom w:w="80" w:type="dxa"/>
              <w:right w:w="100" w:type="dxa"/>
            </w:tcMar>
          </w:tcPr>
          <w:p w14:paraId="54CF8E7F" w14:textId="77777777" w:rsidR="001E53DC" w:rsidRDefault="00000000">
            <w:pPr>
              <w:spacing w:before="40" w:after="40" w:line="252" w:lineRule="auto"/>
            </w:pPr>
            <w:r>
              <w:rPr>
                <w:sz w:val="18"/>
              </w:rPr>
              <w:t>Available Phosphorus (P)</w:t>
            </w:r>
          </w:p>
        </w:tc>
        <w:tc>
          <w:tcPr>
            <w:tcW w:w="2160" w:type="dxa"/>
            <w:shd w:val="clear" w:color="auto" w:fill="F4F7FA"/>
            <w:tcMar>
              <w:top w:w="80" w:type="dxa"/>
              <w:left w:w="100" w:type="dxa"/>
              <w:bottom w:w="80" w:type="dxa"/>
              <w:right w:w="100" w:type="dxa"/>
            </w:tcMar>
          </w:tcPr>
          <w:p w14:paraId="399A89E2" w14:textId="77777777" w:rsidR="001E53DC" w:rsidRDefault="00000000">
            <w:pPr>
              <w:spacing w:before="40" w:after="40" w:line="252" w:lineRule="auto"/>
            </w:pPr>
            <w:r>
              <w:rPr>
                <w:sz w:val="18"/>
              </w:rPr>
              <w:t xml:space="preserve">Olsen NaHCO3 Extraction (pH 8.5) / Colorimetric </w:t>
            </w:r>
            <w:r>
              <w:rPr>
                <w:sz w:val="18"/>
              </w:rPr>
              <w:lastRenderedPageBreak/>
              <w:t>Molybdenum Blue</w:t>
            </w:r>
          </w:p>
        </w:tc>
        <w:tc>
          <w:tcPr>
            <w:tcW w:w="1296" w:type="dxa"/>
            <w:shd w:val="clear" w:color="auto" w:fill="F4F7FA"/>
            <w:tcMar>
              <w:top w:w="80" w:type="dxa"/>
              <w:left w:w="100" w:type="dxa"/>
              <w:bottom w:w="80" w:type="dxa"/>
              <w:right w:w="100" w:type="dxa"/>
            </w:tcMar>
          </w:tcPr>
          <w:p w14:paraId="78A88495" w14:textId="77777777" w:rsidR="001E53DC" w:rsidRDefault="00000000">
            <w:pPr>
              <w:spacing w:before="40" w:after="40" w:line="252" w:lineRule="auto"/>
            </w:pPr>
            <w:r>
              <w:rPr>
                <w:sz w:val="18"/>
              </w:rPr>
              <w:lastRenderedPageBreak/>
              <w:t>3 – 5 days</w:t>
            </w:r>
          </w:p>
        </w:tc>
        <w:tc>
          <w:tcPr>
            <w:tcW w:w="2016" w:type="dxa"/>
            <w:shd w:val="clear" w:color="auto" w:fill="F4F7FA"/>
            <w:tcMar>
              <w:top w:w="80" w:type="dxa"/>
              <w:left w:w="100" w:type="dxa"/>
              <w:bottom w:w="80" w:type="dxa"/>
              <w:right w:w="100" w:type="dxa"/>
            </w:tcMar>
          </w:tcPr>
          <w:p w14:paraId="73F32E07" w14:textId="77777777" w:rsidR="001E53DC" w:rsidRDefault="00000000">
            <w:pPr>
              <w:spacing w:before="40" w:after="40" w:line="252" w:lineRule="auto"/>
            </w:pPr>
            <w:r>
              <w:rPr>
                <w:sz w:val="18"/>
              </w:rPr>
              <w:t xml:space="preserve">Temperature-sensitive equilibrium shaking; </w:t>
            </w:r>
            <w:r>
              <w:rPr>
                <w:sz w:val="18"/>
              </w:rPr>
              <w:lastRenderedPageBreak/>
              <w:t>hazardous fluoride/molybdate waste</w:t>
            </w:r>
          </w:p>
        </w:tc>
        <w:tc>
          <w:tcPr>
            <w:tcW w:w="2160" w:type="dxa"/>
            <w:shd w:val="clear" w:color="auto" w:fill="F4F7FA"/>
            <w:tcMar>
              <w:top w:w="80" w:type="dxa"/>
              <w:left w:w="100" w:type="dxa"/>
              <w:bottom w:w="80" w:type="dxa"/>
              <w:right w:w="100" w:type="dxa"/>
            </w:tcMar>
          </w:tcPr>
          <w:p w14:paraId="5339C3F1" w14:textId="77777777" w:rsidR="001E53DC" w:rsidRDefault="00000000">
            <w:pPr>
              <w:spacing w:before="40" w:after="40" w:line="252" w:lineRule="auto"/>
            </w:pPr>
            <w:r>
              <w:rPr>
                <w:sz w:val="18"/>
              </w:rPr>
              <w:lastRenderedPageBreak/>
              <w:t xml:space="preserve">Indirect organo-mineral correlation: organic </w:t>
            </w:r>
            <w:r>
              <w:rPr>
                <w:sz w:val="18"/>
              </w:rPr>
              <w:lastRenderedPageBreak/>
              <w:t>phosphate complexes, Fe-Al oxides (480 &amp; 2200 nm)</w:t>
            </w:r>
          </w:p>
        </w:tc>
      </w:tr>
      <w:tr w:rsidR="001E53DC" w14:paraId="2355A700" w14:textId="77777777">
        <w:trPr>
          <w:jc w:val="center"/>
        </w:trPr>
        <w:tc>
          <w:tcPr>
            <w:tcW w:w="1728" w:type="dxa"/>
            <w:shd w:val="clear" w:color="auto" w:fill="FFFFFF"/>
            <w:tcMar>
              <w:top w:w="80" w:type="dxa"/>
              <w:left w:w="100" w:type="dxa"/>
              <w:bottom w:w="80" w:type="dxa"/>
              <w:right w:w="100" w:type="dxa"/>
            </w:tcMar>
          </w:tcPr>
          <w:p w14:paraId="3EDFF5F6" w14:textId="77777777" w:rsidR="001E53DC" w:rsidRDefault="00000000">
            <w:pPr>
              <w:spacing w:before="40" w:after="40" w:line="252" w:lineRule="auto"/>
            </w:pPr>
            <w:r>
              <w:rPr>
                <w:sz w:val="18"/>
              </w:rPr>
              <w:lastRenderedPageBreak/>
              <w:t>Extractable Potassium (K)</w:t>
            </w:r>
          </w:p>
        </w:tc>
        <w:tc>
          <w:tcPr>
            <w:tcW w:w="2160" w:type="dxa"/>
            <w:shd w:val="clear" w:color="auto" w:fill="FFFFFF"/>
            <w:tcMar>
              <w:top w:w="80" w:type="dxa"/>
              <w:left w:w="100" w:type="dxa"/>
              <w:bottom w:w="80" w:type="dxa"/>
              <w:right w:w="100" w:type="dxa"/>
            </w:tcMar>
          </w:tcPr>
          <w:p w14:paraId="30EBAE77" w14:textId="77777777" w:rsidR="001E53DC" w:rsidRDefault="00000000">
            <w:pPr>
              <w:spacing w:before="40" w:after="40" w:line="252" w:lineRule="auto"/>
            </w:pPr>
            <w:r>
              <w:rPr>
                <w:sz w:val="18"/>
              </w:rPr>
              <w:t>1.0 M Neutral Ammonium Acetate (NH4OAc) Flame Emission</w:t>
            </w:r>
          </w:p>
        </w:tc>
        <w:tc>
          <w:tcPr>
            <w:tcW w:w="1296" w:type="dxa"/>
            <w:shd w:val="clear" w:color="auto" w:fill="FFFFFF"/>
            <w:tcMar>
              <w:top w:w="80" w:type="dxa"/>
              <w:left w:w="100" w:type="dxa"/>
              <w:bottom w:w="80" w:type="dxa"/>
              <w:right w:w="100" w:type="dxa"/>
            </w:tcMar>
          </w:tcPr>
          <w:p w14:paraId="5C90EBBD" w14:textId="77777777" w:rsidR="001E53DC" w:rsidRDefault="00000000">
            <w:pPr>
              <w:spacing w:before="40" w:after="40" w:line="252" w:lineRule="auto"/>
            </w:pPr>
            <w:r>
              <w:rPr>
                <w:sz w:val="18"/>
              </w:rPr>
              <w:t>3 – 5 days</w:t>
            </w:r>
          </w:p>
        </w:tc>
        <w:tc>
          <w:tcPr>
            <w:tcW w:w="2016" w:type="dxa"/>
            <w:shd w:val="clear" w:color="auto" w:fill="FFFFFF"/>
            <w:tcMar>
              <w:top w:w="80" w:type="dxa"/>
              <w:left w:w="100" w:type="dxa"/>
              <w:bottom w:w="80" w:type="dxa"/>
              <w:right w:w="100" w:type="dxa"/>
            </w:tcMar>
          </w:tcPr>
          <w:p w14:paraId="3EB089B4" w14:textId="77777777" w:rsidR="001E53DC" w:rsidRDefault="00000000">
            <w:pPr>
              <w:spacing w:before="40" w:after="40" w:line="252" w:lineRule="auto"/>
            </w:pPr>
            <w:r>
              <w:rPr>
                <w:sz w:val="18"/>
              </w:rPr>
              <w:t>Requires explosive fuel gases (acetylene); spectral flame line cross-interference</w:t>
            </w:r>
          </w:p>
        </w:tc>
        <w:tc>
          <w:tcPr>
            <w:tcW w:w="2160" w:type="dxa"/>
            <w:shd w:val="clear" w:color="auto" w:fill="FFFFFF"/>
            <w:tcMar>
              <w:top w:w="80" w:type="dxa"/>
              <w:left w:w="100" w:type="dxa"/>
              <w:bottom w:w="80" w:type="dxa"/>
              <w:right w:w="100" w:type="dxa"/>
            </w:tcMar>
          </w:tcPr>
          <w:p w14:paraId="159F8247" w14:textId="77777777" w:rsidR="001E53DC" w:rsidRDefault="00000000">
            <w:pPr>
              <w:spacing w:before="40" w:after="40" w:line="252" w:lineRule="auto"/>
            </w:pPr>
            <w:r>
              <w:rPr>
                <w:sz w:val="18"/>
              </w:rPr>
              <w:t>Indirect lattice correlation: illite/smectite 2:1 clay mineral vibration shifts (2200 – 2400 nm)</w:t>
            </w:r>
          </w:p>
        </w:tc>
      </w:tr>
    </w:tbl>
    <w:p w14:paraId="27F4703C" w14:textId="77777777" w:rsidR="001E53DC" w:rsidRDefault="001E53DC">
      <w:pPr>
        <w:spacing w:after="240"/>
      </w:pPr>
    </w:p>
    <w:p w14:paraId="67828157" w14:textId="77777777" w:rsidR="001E53DC" w:rsidRDefault="00000000">
      <w:pPr>
        <w:pStyle w:val="Heading1"/>
      </w:pPr>
      <w:r>
        <w:rPr>
          <w:color w:val="003366"/>
        </w:rPr>
        <w:t>3. Physical &amp; Chemical Foundations of Vis-NIR Spectroscopy</w:t>
      </w:r>
    </w:p>
    <w:p w14:paraId="14A8D4C1" w14:textId="77777777" w:rsidR="001E53DC" w:rsidRDefault="00000000">
      <w:r>
        <w:t>Diffuse reflectance spectroscopy measures the radiant flux reflected diffusely from an infinitely thick, multiple-scattering particulate medium relative to an ideal non-absorbing Lambertian standard (such as Spectralon sintered PTFE). The spectral response is fundamentally governed by electronic transitions in the visible band and molecular vibrational overtones in the near-infrared band.</w:t>
      </w:r>
    </w:p>
    <w:p w14:paraId="2BF6A40A" w14:textId="77777777" w:rsidR="001E53DC" w:rsidRDefault="00000000">
      <w:pPr>
        <w:pStyle w:val="Heading2"/>
      </w:pPr>
      <w:r>
        <w:t>3.1 Radiative Transfer &amp; Kubelka-Munk Theory</w:t>
      </w:r>
    </w:p>
    <w:p w14:paraId="2FFFE8C1" w14:textId="77777777" w:rsidR="001E53DC" w:rsidRDefault="00000000">
      <w:r>
        <w:t>Unlike clean transmission spectroscopy governed strictly by the linear Beer-Lambert law, light transport in particulate soil matrices is dominated by concurrent absorption and multiple internal scattering. The classical continuum model of Kubelka and Munk (1931) formalizes this through two opposing flux differentials:</w:t>
      </w:r>
    </w:p>
    <w:p w14:paraId="0790F4C8" w14:textId="77777777" w:rsidR="001E53DC" w:rsidRDefault="00000000">
      <w:r>
        <w:t xml:space="preserve">    -dI/dx = -(K + S)I + SJ</w:t>
      </w:r>
      <w:r>
        <w:br/>
        <w:t xml:space="preserve">     dJ/dx = -(K + S)J + SI</w:t>
      </w:r>
    </w:p>
    <w:p w14:paraId="5F0B46C4" w14:textId="77777777" w:rsidR="001E53DC" w:rsidRDefault="00000000">
      <w:r>
        <w:t>Where I and J represent the forward and backward scattered light fluxes, K is the true absorption coefficient, and S is the scattering coefficient. For an optically infinitely thick soil core (depth &gt; 5 mm), the diffuse reflectance R_inf yields the celebrated Kubelka-Munk transform:</w:t>
      </w:r>
    </w:p>
    <w:p w14:paraId="4EA6AA30" w14:textId="77777777" w:rsidR="001E53DC" w:rsidRDefault="00000000">
      <w:r>
        <w:t xml:space="preserve">    F(R_inf) = (1 - R_inf)^2 / (2 * R_inf) = K / S</w:t>
      </w:r>
    </w:p>
    <w:p w14:paraId="6ADBDD3C" w14:textId="77777777" w:rsidR="001E53DC" w:rsidRDefault="00000000">
      <w:r>
        <w:t>This establishes that the apparent reflectance is intrinsically non-linear and coupled with the physical scattering coefficient S, proving that linear models like PLSR are theoretically constrained when optical scattering varies across differing soil textures.</w:t>
      </w:r>
    </w:p>
    <w:p w14:paraId="0FC332EC" w14:textId="77777777" w:rsidR="001E53DC" w:rsidRDefault="00000000">
      <w:pPr>
        <w:pStyle w:val="Heading2"/>
      </w:pPr>
      <w:r>
        <w:t>3.2 Quantum Mechanical Vibrational Overtones</w:t>
      </w:r>
    </w:p>
    <w:p w14:paraId="4E853F68" w14:textId="77777777" w:rsidR="001E53DC" w:rsidRDefault="00000000">
      <w:r>
        <w:t>Molecular bonds vibrate at quantized energy levels. Under the quantum harmonic oscillator approximation, transition selection rules permit only fundamental transitions (delta v = +-1). However, real molecular potential energy wells deviate from parabolic symmetry, following the Morse potential:</w:t>
      </w:r>
    </w:p>
    <w:p w14:paraId="68DE510B" w14:textId="77777777" w:rsidR="001E53DC" w:rsidRDefault="00000000">
      <w:r>
        <w:t xml:space="preserve">    V(r) = D_e * [1 - exp(-a * (r - r_e))]^2</w:t>
      </w:r>
    </w:p>
    <w:p w14:paraId="33D81227" w14:textId="77777777" w:rsidR="001E53DC" w:rsidRDefault="00000000">
      <w:r>
        <w:t xml:space="preserve">Where D_e is the dissociation energy and r_e is equilibrium bond length. This molecular anharmonicity relaxes the selection rule, allowing higher harmonic transitions (delta v = +-2, +-3, ...) known as overtones, and simultaneous multi-mode excitations known as combination bands. Because hydrogen </w:t>
      </w:r>
      <w:r>
        <w:lastRenderedPageBreak/>
        <w:t>has a negligible atomic mass (mu approx 1), bonds involving hydrogen (C-H, O-H, N-H) experience the greatest anharmonicity and dominate the near-infrared spectrum between 700 and 2500 nm.</w:t>
      </w:r>
    </w:p>
    <w:p w14:paraId="033D1F04" w14:textId="77777777" w:rsidR="001E53DC" w:rsidRDefault="00000000">
      <w:pPr>
        <w:pStyle w:val="Heading3"/>
      </w:pPr>
      <w:r>
        <w:t>Table 2. Definitive Spectral Band Assignments for Soil Vis-NIR Chemometrics</w:t>
      </w:r>
    </w:p>
    <w:tbl>
      <w:tblPr>
        <w:tblW w:w="0" w:type="auto"/>
        <w:jc w:val="center"/>
        <w:tblLook w:val="04A0" w:firstRow="1" w:lastRow="0" w:firstColumn="1" w:lastColumn="0" w:noHBand="0" w:noVBand="1"/>
      </w:tblPr>
      <w:tblGrid>
        <w:gridCol w:w="1728"/>
        <w:gridCol w:w="3168"/>
        <w:gridCol w:w="2592"/>
        <w:gridCol w:w="1872"/>
      </w:tblGrid>
      <w:tr w:rsidR="001E53DC" w14:paraId="6C53D27F" w14:textId="77777777">
        <w:trPr>
          <w:jc w:val="center"/>
        </w:trPr>
        <w:tc>
          <w:tcPr>
            <w:tcW w:w="1728" w:type="dxa"/>
            <w:shd w:val="clear" w:color="auto" w:fill="003366"/>
            <w:tcMar>
              <w:top w:w="80" w:type="dxa"/>
              <w:left w:w="100" w:type="dxa"/>
              <w:bottom w:w="80" w:type="dxa"/>
              <w:right w:w="100" w:type="dxa"/>
            </w:tcMar>
          </w:tcPr>
          <w:p w14:paraId="5ADB7C72" w14:textId="77777777" w:rsidR="001E53DC" w:rsidRDefault="00000000">
            <w:pPr>
              <w:spacing w:before="40" w:after="40" w:line="252" w:lineRule="auto"/>
            </w:pPr>
            <w:r>
              <w:rPr>
                <w:b/>
                <w:color w:val="FFFFFF"/>
                <w:sz w:val="19"/>
              </w:rPr>
              <w:t>Wavelength Range (nm)</w:t>
            </w:r>
          </w:p>
        </w:tc>
        <w:tc>
          <w:tcPr>
            <w:tcW w:w="3168" w:type="dxa"/>
            <w:shd w:val="clear" w:color="auto" w:fill="003366"/>
            <w:tcMar>
              <w:top w:w="80" w:type="dxa"/>
              <w:left w:w="100" w:type="dxa"/>
              <w:bottom w:w="80" w:type="dxa"/>
              <w:right w:w="100" w:type="dxa"/>
            </w:tcMar>
          </w:tcPr>
          <w:p w14:paraId="314210C3" w14:textId="77777777" w:rsidR="001E53DC" w:rsidRDefault="00000000">
            <w:pPr>
              <w:spacing w:before="40" w:after="40" w:line="252" w:lineRule="auto"/>
            </w:pPr>
            <w:r>
              <w:rPr>
                <w:b/>
                <w:color w:val="FFFFFF"/>
                <w:sz w:val="19"/>
              </w:rPr>
              <w:t>Quantum Transition &amp; Molecular Mode</w:t>
            </w:r>
          </w:p>
        </w:tc>
        <w:tc>
          <w:tcPr>
            <w:tcW w:w="2592" w:type="dxa"/>
            <w:shd w:val="clear" w:color="auto" w:fill="003366"/>
            <w:tcMar>
              <w:top w:w="80" w:type="dxa"/>
              <w:left w:w="100" w:type="dxa"/>
              <w:bottom w:w="80" w:type="dxa"/>
              <w:right w:w="100" w:type="dxa"/>
            </w:tcMar>
          </w:tcPr>
          <w:p w14:paraId="4E89D02C" w14:textId="77777777" w:rsidR="001E53DC" w:rsidRDefault="00000000">
            <w:pPr>
              <w:spacing w:before="40" w:after="40" w:line="252" w:lineRule="auto"/>
            </w:pPr>
            <w:r>
              <w:rPr>
                <w:b/>
                <w:color w:val="FFFFFF"/>
                <w:sz w:val="19"/>
              </w:rPr>
              <w:t>Primary Soil Chromophore / Matrix</w:t>
            </w:r>
          </w:p>
        </w:tc>
        <w:tc>
          <w:tcPr>
            <w:tcW w:w="1872" w:type="dxa"/>
            <w:shd w:val="clear" w:color="auto" w:fill="003366"/>
            <w:tcMar>
              <w:top w:w="80" w:type="dxa"/>
              <w:left w:w="100" w:type="dxa"/>
              <w:bottom w:w="80" w:type="dxa"/>
              <w:right w:w="100" w:type="dxa"/>
            </w:tcMar>
          </w:tcPr>
          <w:p w14:paraId="1803FED4" w14:textId="77777777" w:rsidR="001E53DC" w:rsidRDefault="00000000">
            <w:pPr>
              <w:spacing w:before="40" w:after="40" w:line="252" w:lineRule="auto"/>
            </w:pPr>
            <w:r>
              <w:rPr>
                <w:b/>
                <w:color w:val="FFFFFF"/>
                <w:sz w:val="19"/>
              </w:rPr>
              <w:t>Diagnostic Agronomic Target</w:t>
            </w:r>
          </w:p>
        </w:tc>
      </w:tr>
      <w:tr w:rsidR="001E53DC" w14:paraId="245FEFE1" w14:textId="77777777">
        <w:trPr>
          <w:jc w:val="center"/>
        </w:trPr>
        <w:tc>
          <w:tcPr>
            <w:tcW w:w="1728" w:type="dxa"/>
            <w:shd w:val="clear" w:color="auto" w:fill="F4F7FA"/>
            <w:tcMar>
              <w:top w:w="80" w:type="dxa"/>
              <w:left w:w="100" w:type="dxa"/>
              <w:bottom w:w="80" w:type="dxa"/>
              <w:right w:w="100" w:type="dxa"/>
            </w:tcMar>
          </w:tcPr>
          <w:p w14:paraId="66BF36EA" w14:textId="77777777" w:rsidR="001E53DC" w:rsidRDefault="00000000">
            <w:pPr>
              <w:spacing w:before="40" w:after="40" w:line="252" w:lineRule="auto"/>
            </w:pPr>
            <w:r>
              <w:rPr>
                <w:sz w:val="18"/>
              </w:rPr>
              <w:t>400 – 550 nm</w:t>
            </w:r>
          </w:p>
        </w:tc>
        <w:tc>
          <w:tcPr>
            <w:tcW w:w="3168" w:type="dxa"/>
            <w:shd w:val="clear" w:color="auto" w:fill="F4F7FA"/>
            <w:tcMar>
              <w:top w:w="80" w:type="dxa"/>
              <w:left w:w="100" w:type="dxa"/>
              <w:bottom w:w="80" w:type="dxa"/>
              <w:right w:w="100" w:type="dxa"/>
            </w:tcMar>
          </w:tcPr>
          <w:p w14:paraId="50AA94AF" w14:textId="77777777" w:rsidR="001E53DC" w:rsidRDefault="00000000">
            <w:pPr>
              <w:spacing w:before="40" w:after="40" w:line="252" w:lineRule="auto"/>
            </w:pPr>
            <w:r>
              <w:rPr>
                <w:sz w:val="18"/>
              </w:rPr>
              <w:t>Ligand-to-metal charge transfer (O2p -&gt; Fe3d) and crystal field transitions (6A1 -&gt; 4T2)</w:t>
            </w:r>
          </w:p>
        </w:tc>
        <w:tc>
          <w:tcPr>
            <w:tcW w:w="2592" w:type="dxa"/>
            <w:shd w:val="clear" w:color="auto" w:fill="F4F7FA"/>
            <w:tcMar>
              <w:top w:w="80" w:type="dxa"/>
              <w:left w:w="100" w:type="dxa"/>
              <w:bottom w:w="80" w:type="dxa"/>
              <w:right w:w="100" w:type="dxa"/>
            </w:tcMar>
          </w:tcPr>
          <w:p w14:paraId="3B16EA12" w14:textId="77777777" w:rsidR="001E53DC" w:rsidRDefault="00000000">
            <w:pPr>
              <w:spacing w:before="40" w:after="40" w:line="252" w:lineRule="auto"/>
            </w:pPr>
            <w:r>
              <w:rPr>
                <w:sz w:val="18"/>
              </w:rPr>
              <w:t>Iron Oxides: Hematite (Fe2O3) &amp; Goethite (FeOOH)</w:t>
            </w:r>
          </w:p>
        </w:tc>
        <w:tc>
          <w:tcPr>
            <w:tcW w:w="1872" w:type="dxa"/>
            <w:shd w:val="clear" w:color="auto" w:fill="F4F7FA"/>
            <w:tcMar>
              <w:top w:w="80" w:type="dxa"/>
              <w:left w:w="100" w:type="dxa"/>
              <w:bottom w:w="80" w:type="dxa"/>
              <w:right w:w="100" w:type="dxa"/>
            </w:tcMar>
          </w:tcPr>
          <w:p w14:paraId="791E8EF9" w14:textId="77777777" w:rsidR="001E53DC" w:rsidRDefault="00000000">
            <w:pPr>
              <w:spacing w:before="40" w:after="40" w:line="252" w:lineRule="auto"/>
            </w:pPr>
            <w:r>
              <w:rPr>
                <w:sz w:val="18"/>
              </w:rPr>
              <w:t>Soil mineralogy, background soil matrix classification</w:t>
            </w:r>
          </w:p>
        </w:tc>
      </w:tr>
      <w:tr w:rsidR="001E53DC" w14:paraId="7DCA6FB0" w14:textId="77777777">
        <w:trPr>
          <w:jc w:val="center"/>
        </w:trPr>
        <w:tc>
          <w:tcPr>
            <w:tcW w:w="1728" w:type="dxa"/>
            <w:shd w:val="clear" w:color="auto" w:fill="FFFFFF"/>
            <w:tcMar>
              <w:top w:w="80" w:type="dxa"/>
              <w:left w:w="100" w:type="dxa"/>
              <w:bottom w:w="80" w:type="dxa"/>
              <w:right w:w="100" w:type="dxa"/>
            </w:tcMar>
          </w:tcPr>
          <w:p w14:paraId="0F824350" w14:textId="77777777" w:rsidR="001E53DC" w:rsidRDefault="00000000">
            <w:pPr>
              <w:spacing w:before="40" w:after="40" w:line="252" w:lineRule="auto"/>
            </w:pPr>
            <w:r>
              <w:rPr>
                <w:sz w:val="18"/>
              </w:rPr>
              <w:t>600 – 1100 nm</w:t>
            </w:r>
          </w:p>
        </w:tc>
        <w:tc>
          <w:tcPr>
            <w:tcW w:w="3168" w:type="dxa"/>
            <w:shd w:val="clear" w:color="auto" w:fill="FFFFFF"/>
            <w:tcMar>
              <w:top w:w="80" w:type="dxa"/>
              <w:left w:w="100" w:type="dxa"/>
              <w:bottom w:w="80" w:type="dxa"/>
              <w:right w:w="100" w:type="dxa"/>
            </w:tcMar>
          </w:tcPr>
          <w:p w14:paraId="135D0CDC" w14:textId="77777777" w:rsidR="001E53DC" w:rsidRDefault="00000000">
            <w:pPr>
              <w:spacing w:before="40" w:after="40" w:line="252" w:lineRule="auto"/>
            </w:pPr>
            <w:r>
              <w:rPr>
                <w:sz w:val="18"/>
              </w:rPr>
              <w:t>Broad monotonic electronic absorption; weak 3rd overtones of C-H and O-H</w:t>
            </w:r>
          </w:p>
        </w:tc>
        <w:tc>
          <w:tcPr>
            <w:tcW w:w="2592" w:type="dxa"/>
            <w:shd w:val="clear" w:color="auto" w:fill="FFFFFF"/>
            <w:tcMar>
              <w:top w:w="80" w:type="dxa"/>
              <w:left w:w="100" w:type="dxa"/>
              <w:bottom w:w="80" w:type="dxa"/>
              <w:right w:w="100" w:type="dxa"/>
            </w:tcMar>
          </w:tcPr>
          <w:p w14:paraId="73C3219F" w14:textId="77777777" w:rsidR="001E53DC" w:rsidRDefault="00000000">
            <w:pPr>
              <w:spacing w:before="40" w:after="40" w:line="252" w:lineRule="auto"/>
            </w:pPr>
            <w:r>
              <w:rPr>
                <w:sz w:val="18"/>
              </w:rPr>
              <w:t>Humified Organic Matter / Humic Acid complexes</w:t>
            </w:r>
          </w:p>
        </w:tc>
        <w:tc>
          <w:tcPr>
            <w:tcW w:w="1872" w:type="dxa"/>
            <w:shd w:val="clear" w:color="auto" w:fill="FFFFFF"/>
            <w:tcMar>
              <w:top w:w="80" w:type="dxa"/>
              <w:left w:w="100" w:type="dxa"/>
              <w:bottom w:w="80" w:type="dxa"/>
              <w:right w:w="100" w:type="dxa"/>
            </w:tcMar>
          </w:tcPr>
          <w:p w14:paraId="1FEDB877" w14:textId="77777777" w:rsidR="001E53DC" w:rsidRDefault="00000000">
            <w:pPr>
              <w:spacing w:before="40" w:after="40" w:line="252" w:lineRule="auto"/>
            </w:pPr>
            <w:r>
              <w:rPr>
                <w:sz w:val="18"/>
              </w:rPr>
              <w:t>Soil Organic Carbon (overall baseline darkening)</w:t>
            </w:r>
          </w:p>
        </w:tc>
      </w:tr>
      <w:tr w:rsidR="001E53DC" w14:paraId="373F4E44" w14:textId="77777777">
        <w:trPr>
          <w:jc w:val="center"/>
        </w:trPr>
        <w:tc>
          <w:tcPr>
            <w:tcW w:w="1728" w:type="dxa"/>
            <w:shd w:val="clear" w:color="auto" w:fill="F4F7FA"/>
            <w:tcMar>
              <w:top w:w="80" w:type="dxa"/>
              <w:left w:w="100" w:type="dxa"/>
              <w:bottom w:w="80" w:type="dxa"/>
              <w:right w:w="100" w:type="dxa"/>
            </w:tcMar>
          </w:tcPr>
          <w:p w14:paraId="5A2BB78F" w14:textId="77777777" w:rsidR="001E53DC" w:rsidRDefault="00000000">
            <w:pPr>
              <w:spacing w:before="40" w:after="40" w:line="252" w:lineRule="auto"/>
            </w:pPr>
            <w:r>
              <w:rPr>
                <w:sz w:val="18"/>
              </w:rPr>
              <w:t>1390 – 1420 nm</w:t>
            </w:r>
          </w:p>
        </w:tc>
        <w:tc>
          <w:tcPr>
            <w:tcW w:w="3168" w:type="dxa"/>
            <w:shd w:val="clear" w:color="auto" w:fill="F4F7FA"/>
            <w:tcMar>
              <w:top w:w="80" w:type="dxa"/>
              <w:left w:w="100" w:type="dxa"/>
              <w:bottom w:w="80" w:type="dxa"/>
              <w:right w:w="100" w:type="dxa"/>
            </w:tcMar>
          </w:tcPr>
          <w:p w14:paraId="5A2DD645" w14:textId="77777777" w:rsidR="001E53DC" w:rsidRDefault="00000000">
            <w:pPr>
              <w:spacing w:before="40" w:after="40" w:line="252" w:lineRule="auto"/>
            </w:pPr>
            <w:r>
              <w:rPr>
                <w:sz w:val="18"/>
              </w:rPr>
              <w:t>First overtone of symmetric &amp; asymmetric O-H stretching (2*nu1, 2*nu3)</w:t>
            </w:r>
          </w:p>
        </w:tc>
        <w:tc>
          <w:tcPr>
            <w:tcW w:w="2592" w:type="dxa"/>
            <w:shd w:val="clear" w:color="auto" w:fill="F4F7FA"/>
            <w:tcMar>
              <w:top w:w="80" w:type="dxa"/>
              <w:left w:w="100" w:type="dxa"/>
              <w:bottom w:w="80" w:type="dxa"/>
              <w:right w:w="100" w:type="dxa"/>
            </w:tcMar>
          </w:tcPr>
          <w:p w14:paraId="2B81EF6E" w14:textId="77777777" w:rsidR="001E53DC" w:rsidRDefault="00000000">
            <w:pPr>
              <w:spacing w:before="40" w:after="40" w:line="252" w:lineRule="auto"/>
            </w:pPr>
            <w:r>
              <w:rPr>
                <w:sz w:val="18"/>
              </w:rPr>
              <w:t>Free, capillary, and surface-adsorbed pore water; structural OH</w:t>
            </w:r>
          </w:p>
        </w:tc>
        <w:tc>
          <w:tcPr>
            <w:tcW w:w="1872" w:type="dxa"/>
            <w:shd w:val="clear" w:color="auto" w:fill="F4F7FA"/>
            <w:tcMar>
              <w:top w:w="80" w:type="dxa"/>
              <w:left w:w="100" w:type="dxa"/>
              <w:bottom w:w="80" w:type="dxa"/>
              <w:right w:w="100" w:type="dxa"/>
            </w:tcMar>
          </w:tcPr>
          <w:p w14:paraId="32CB2B0D" w14:textId="77777777" w:rsidR="001E53DC" w:rsidRDefault="00000000">
            <w:pPr>
              <w:spacing w:before="40" w:after="40" w:line="252" w:lineRule="auto"/>
            </w:pPr>
            <w:r>
              <w:rPr>
                <w:sz w:val="18"/>
              </w:rPr>
              <w:t>Soil Moisture Interference / Clay hydroxyls</w:t>
            </w:r>
          </w:p>
        </w:tc>
      </w:tr>
      <w:tr w:rsidR="001E53DC" w14:paraId="2DC018E6" w14:textId="77777777">
        <w:trPr>
          <w:jc w:val="center"/>
        </w:trPr>
        <w:tc>
          <w:tcPr>
            <w:tcW w:w="1728" w:type="dxa"/>
            <w:shd w:val="clear" w:color="auto" w:fill="FFFFFF"/>
            <w:tcMar>
              <w:top w:w="80" w:type="dxa"/>
              <w:left w:w="100" w:type="dxa"/>
              <w:bottom w:w="80" w:type="dxa"/>
              <w:right w:w="100" w:type="dxa"/>
            </w:tcMar>
          </w:tcPr>
          <w:p w14:paraId="12AA578E" w14:textId="77777777" w:rsidR="001E53DC" w:rsidRDefault="00000000">
            <w:pPr>
              <w:spacing w:before="40" w:after="40" w:line="252" w:lineRule="auto"/>
            </w:pPr>
            <w:r>
              <w:rPr>
                <w:sz w:val="18"/>
              </w:rPr>
              <w:t>1440 – 1460 nm</w:t>
            </w:r>
          </w:p>
        </w:tc>
        <w:tc>
          <w:tcPr>
            <w:tcW w:w="3168" w:type="dxa"/>
            <w:shd w:val="clear" w:color="auto" w:fill="FFFFFF"/>
            <w:tcMar>
              <w:top w:w="80" w:type="dxa"/>
              <w:left w:w="100" w:type="dxa"/>
              <w:bottom w:w="80" w:type="dxa"/>
              <w:right w:w="100" w:type="dxa"/>
            </w:tcMar>
          </w:tcPr>
          <w:p w14:paraId="2BED95B0" w14:textId="77777777" w:rsidR="001E53DC" w:rsidRDefault="00000000">
            <w:pPr>
              <w:spacing w:before="40" w:after="40" w:line="252" w:lineRule="auto"/>
            </w:pPr>
            <w:r>
              <w:rPr>
                <w:sz w:val="18"/>
              </w:rPr>
              <w:t>First overtone of aliphatic &amp; phenolic C-OH stretching</w:t>
            </w:r>
          </w:p>
        </w:tc>
        <w:tc>
          <w:tcPr>
            <w:tcW w:w="2592" w:type="dxa"/>
            <w:shd w:val="clear" w:color="auto" w:fill="FFFFFF"/>
            <w:tcMar>
              <w:top w:w="80" w:type="dxa"/>
              <w:left w:w="100" w:type="dxa"/>
              <w:bottom w:w="80" w:type="dxa"/>
              <w:right w:w="100" w:type="dxa"/>
            </w:tcMar>
          </w:tcPr>
          <w:p w14:paraId="54945621" w14:textId="77777777" w:rsidR="001E53DC" w:rsidRDefault="00000000">
            <w:pPr>
              <w:spacing w:before="40" w:after="40" w:line="252" w:lineRule="auto"/>
            </w:pPr>
            <w:r>
              <w:rPr>
                <w:sz w:val="18"/>
              </w:rPr>
              <w:t>Decomposed plant lignin, fulvic acid fractions</w:t>
            </w:r>
          </w:p>
        </w:tc>
        <w:tc>
          <w:tcPr>
            <w:tcW w:w="1872" w:type="dxa"/>
            <w:shd w:val="clear" w:color="auto" w:fill="FFFFFF"/>
            <w:tcMar>
              <w:top w:w="80" w:type="dxa"/>
              <w:left w:w="100" w:type="dxa"/>
              <w:bottom w:w="80" w:type="dxa"/>
              <w:right w:w="100" w:type="dxa"/>
            </w:tcMar>
          </w:tcPr>
          <w:p w14:paraId="59B91DFB" w14:textId="77777777" w:rsidR="001E53DC" w:rsidRDefault="00000000">
            <w:pPr>
              <w:spacing w:before="40" w:after="40" w:line="252" w:lineRule="auto"/>
            </w:pPr>
            <w:r>
              <w:rPr>
                <w:sz w:val="18"/>
              </w:rPr>
              <w:t>Soil Organic Carbon (active organic carbon)</w:t>
            </w:r>
          </w:p>
        </w:tc>
      </w:tr>
      <w:tr w:rsidR="001E53DC" w14:paraId="26D32780" w14:textId="77777777">
        <w:trPr>
          <w:jc w:val="center"/>
        </w:trPr>
        <w:tc>
          <w:tcPr>
            <w:tcW w:w="1728" w:type="dxa"/>
            <w:shd w:val="clear" w:color="auto" w:fill="F4F7FA"/>
            <w:tcMar>
              <w:top w:w="80" w:type="dxa"/>
              <w:left w:w="100" w:type="dxa"/>
              <w:bottom w:w="80" w:type="dxa"/>
              <w:right w:w="100" w:type="dxa"/>
            </w:tcMar>
          </w:tcPr>
          <w:p w14:paraId="3D880CEA" w14:textId="77777777" w:rsidR="001E53DC" w:rsidRDefault="00000000">
            <w:pPr>
              <w:spacing w:before="40" w:after="40" w:line="252" w:lineRule="auto"/>
            </w:pPr>
            <w:r>
              <w:rPr>
                <w:sz w:val="18"/>
              </w:rPr>
              <w:t>1510 – 1530 nm</w:t>
            </w:r>
          </w:p>
        </w:tc>
        <w:tc>
          <w:tcPr>
            <w:tcW w:w="3168" w:type="dxa"/>
            <w:shd w:val="clear" w:color="auto" w:fill="F4F7FA"/>
            <w:tcMar>
              <w:top w:w="80" w:type="dxa"/>
              <w:left w:w="100" w:type="dxa"/>
              <w:bottom w:w="80" w:type="dxa"/>
              <w:right w:w="100" w:type="dxa"/>
            </w:tcMar>
          </w:tcPr>
          <w:p w14:paraId="27645349" w14:textId="77777777" w:rsidR="001E53DC" w:rsidRDefault="00000000">
            <w:pPr>
              <w:spacing w:before="40" w:after="40" w:line="252" w:lineRule="auto"/>
            </w:pPr>
            <w:r>
              <w:rPr>
                <w:sz w:val="18"/>
              </w:rPr>
              <w:t>First overtone of amide N-H stretching (v=0 -&gt; v=2)</w:t>
            </w:r>
          </w:p>
        </w:tc>
        <w:tc>
          <w:tcPr>
            <w:tcW w:w="2592" w:type="dxa"/>
            <w:shd w:val="clear" w:color="auto" w:fill="F4F7FA"/>
            <w:tcMar>
              <w:top w:w="80" w:type="dxa"/>
              <w:left w:w="100" w:type="dxa"/>
              <w:bottom w:w="80" w:type="dxa"/>
              <w:right w:w="100" w:type="dxa"/>
            </w:tcMar>
          </w:tcPr>
          <w:p w14:paraId="4EDBEF09" w14:textId="77777777" w:rsidR="001E53DC" w:rsidRDefault="00000000">
            <w:pPr>
              <w:spacing w:before="40" w:after="40" w:line="252" w:lineRule="auto"/>
            </w:pPr>
            <w:r>
              <w:rPr>
                <w:sz w:val="18"/>
              </w:rPr>
              <w:t>Peptide backbones, amino sugars, microbial biomass</w:t>
            </w:r>
          </w:p>
        </w:tc>
        <w:tc>
          <w:tcPr>
            <w:tcW w:w="1872" w:type="dxa"/>
            <w:shd w:val="clear" w:color="auto" w:fill="F4F7FA"/>
            <w:tcMar>
              <w:top w:w="80" w:type="dxa"/>
              <w:left w:w="100" w:type="dxa"/>
              <w:bottom w:w="80" w:type="dxa"/>
              <w:right w:w="100" w:type="dxa"/>
            </w:tcMar>
          </w:tcPr>
          <w:p w14:paraId="666E0C1A" w14:textId="77777777" w:rsidR="001E53DC" w:rsidRDefault="00000000">
            <w:pPr>
              <w:spacing w:before="40" w:after="40" w:line="252" w:lineRule="auto"/>
            </w:pPr>
            <w:r>
              <w:rPr>
                <w:sz w:val="18"/>
              </w:rPr>
              <w:t>Total Nitrogen (proteinaceous N fraction)</w:t>
            </w:r>
          </w:p>
        </w:tc>
      </w:tr>
      <w:tr w:rsidR="001E53DC" w14:paraId="04906D57" w14:textId="77777777">
        <w:trPr>
          <w:jc w:val="center"/>
        </w:trPr>
        <w:tc>
          <w:tcPr>
            <w:tcW w:w="1728" w:type="dxa"/>
            <w:shd w:val="clear" w:color="auto" w:fill="FFFFFF"/>
            <w:tcMar>
              <w:top w:w="80" w:type="dxa"/>
              <w:left w:w="100" w:type="dxa"/>
              <w:bottom w:w="80" w:type="dxa"/>
              <w:right w:w="100" w:type="dxa"/>
            </w:tcMar>
          </w:tcPr>
          <w:p w14:paraId="0D9F1C1D" w14:textId="77777777" w:rsidR="001E53DC" w:rsidRDefault="00000000">
            <w:pPr>
              <w:spacing w:before="40" w:after="40" w:line="252" w:lineRule="auto"/>
            </w:pPr>
            <w:r>
              <w:rPr>
                <w:sz w:val="18"/>
              </w:rPr>
              <w:t>1720 – 1735 nm</w:t>
            </w:r>
          </w:p>
        </w:tc>
        <w:tc>
          <w:tcPr>
            <w:tcW w:w="3168" w:type="dxa"/>
            <w:shd w:val="clear" w:color="auto" w:fill="FFFFFF"/>
            <w:tcMar>
              <w:top w:w="80" w:type="dxa"/>
              <w:left w:w="100" w:type="dxa"/>
              <w:bottom w:w="80" w:type="dxa"/>
              <w:right w:w="100" w:type="dxa"/>
            </w:tcMar>
          </w:tcPr>
          <w:p w14:paraId="2C064A5F" w14:textId="77777777" w:rsidR="001E53DC" w:rsidRDefault="00000000">
            <w:pPr>
              <w:spacing w:before="40" w:after="40" w:line="252" w:lineRule="auto"/>
            </w:pPr>
            <w:r>
              <w:rPr>
                <w:sz w:val="18"/>
              </w:rPr>
              <w:t>First overtone of aliphatic C-H stretching (CH2, CH3 asymmetric)</w:t>
            </w:r>
          </w:p>
        </w:tc>
        <w:tc>
          <w:tcPr>
            <w:tcW w:w="2592" w:type="dxa"/>
            <w:shd w:val="clear" w:color="auto" w:fill="FFFFFF"/>
            <w:tcMar>
              <w:top w:w="80" w:type="dxa"/>
              <w:left w:w="100" w:type="dxa"/>
              <w:bottom w:w="80" w:type="dxa"/>
              <w:right w:w="100" w:type="dxa"/>
            </w:tcMar>
          </w:tcPr>
          <w:p w14:paraId="085FDD15" w14:textId="77777777" w:rsidR="001E53DC" w:rsidRDefault="00000000">
            <w:pPr>
              <w:spacing w:before="40" w:after="40" w:line="252" w:lineRule="auto"/>
            </w:pPr>
            <w:r>
              <w:rPr>
                <w:sz w:val="18"/>
              </w:rPr>
              <w:t>Lipids, waxes, cutin, suberin in soil organic matter</w:t>
            </w:r>
          </w:p>
        </w:tc>
        <w:tc>
          <w:tcPr>
            <w:tcW w:w="1872" w:type="dxa"/>
            <w:shd w:val="clear" w:color="auto" w:fill="FFFFFF"/>
            <w:tcMar>
              <w:top w:w="80" w:type="dxa"/>
              <w:left w:w="100" w:type="dxa"/>
              <w:bottom w:w="80" w:type="dxa"/>
              <w:right w:w="100" w:type="dxa"/>
            </w:tcMar>
          </w:tcPr>
          <w:p w14:paraId="60B11571" w14:textId="77777777" w:rsidR="001E53DC" w:rsidRDefault="00000000">
            <w:pPr>
              <w:spacing w:before="40" w:after="40" w:line="252" w:lineRule="auto"/>
            </w:pPr>
            <w:r>
              <w:rPr>
                <w:sz w:val="18"/>
              </w:rPr>
              <w:t>Soil Organic Carbon (PRIMARY DIAGNOSTIC SOC PEAK)</w:t>
            </w:r>
          </w:p>
        </w:tc>
      </w:tr>
      <w:tr w:rsidR="001E53DC" w14:paraId="042972C8" w14:textId="77777777">
        <w:trPr>
          <w:jc w:val="center"/>
        </w:trPr>
        <w:tc>
          <w:tcPr>
            <w:tcW w:w="1728" w:type="dxa"/>
            <w:shd w:val="clear" w:color="auto" w:fill="F4F7FA"/>
            <w:tcMar>
              <w:top w:w="80" w:type="dxa"/>
              <w:left w:w="100" w:type="dxa"/>
              <w:bottom w:w="80" w:type="dxa"/>
              <w:right w:w="100" w:type="dxa"/>
            </w:tcMar>
          </w:tcPr>
          <w:p w14:paraId="33BF5B8D" w14:textId="77777777" w:rsidR="001E53DC" w:rsidRDefault="00000000">
            <w:pPr>
              <w:spacing w:before="40" w:after="40" w:line="252" w:lineRule="auto"/>
            </w:pPr>
            <w:r>
              <w:rPr>
                <w:sz w:val="18"/>
              </w:rPr>
              <w:t>1900 – 1950 nm</w:t>
            </w:r>
          </w:p>
        </w:tc>
        <w:tc>
          <w:tcPr>
            <w:tcW w:w="3168" w:type="dxa"/>
            <w:shd w:val="clear" w:color="auto" w:fill="F4F7FA"/>
            <w:tcMar>
              <w:top w:w="80" w:type="dxa"/>
              <w:left w:w="100" w:type="dxa"/>
              <w:bottom w:w="80" w:type="dxa"/>
              <w:right w:w="100" w:type="dxa"/>
            </w:tcMar>
          </w:tcPr>
          <w:p w14:paraId="4F280BDC" w14:textId="77777777" w:rsidR="001E53DC" w:rsidRDefault="00000000">
            <w:pPr>
              <w:spacing w:before="40" w:after="40" w:line="252" w:lineRule="auto"/>
            </w:pPr>
            <w:r>
              <w:rPr>
                <w:sz w:val="18"/>
              </w:rPr>
              <w:t>Combination of fundamental O-H bending and stretching (nu2 + nu3)</w:t>
            </w:r>
          </w:p>
        </w:tc>
        <w:tc>
          <w:tcPr>
            <w:tcW w:w="2592" w:type="dxa"/>
            <w:shd w:val="clear" w:color="auto" w:fill="F4F7FA"/>
            <w:tcMar>
              <w:top w:w="80" w:type="dxa"/>
              <w:left w:w="100" w:type="dxa"/>
              <w:bottom w:w="80" w:type="dxa"/>
              <w:right w:w="100" w:type="dxa"/>
            </w:tcMar>
          </w:tcPr>
          <w:p w14:paraId="4E5BD661" w14:textId="77777777" w:rsidR="001E53DC" w:rsidRDefault="00000000">
            <w:pPr>
              <w:spacing w:before="40" w:after="40" w:line="252" w:lineRule="auto"/>
            </w:pPr>
            <w:r>
              <w:rPr>
                <w:sz w:val="18"/>
              </w:rPr>
              <w:t>Molecular liquid water bound in micropores</w:t>
            </w:r>
          </w:p>
        </w:tc>
        <w:tc>
          <w:tcPr>
            <w:tcW w:w="1872" w:type="dxa"/>
            <w:shd w:val="clear" w:color="auto" w:fill="F4F7FA"/>
            <w:tcMar>
              <w:top w:w="80" w:type="dxa"/>
              <w:left w:w="100" w:type="dxa"/>
              <w:bottom w:w="80" w:type="dxa"/>
              <w:right w:w="100" w:type="dxa"/>
            </w:tcMar>
          </w:tcPr>
          <w:p w14:paraId="343C30D0" w14:textId="77777777" w:rsidR="001E53DC" w:rsidRDefault="00000000">
            <w:pPr>
              <w:spacing w:before="40" w:after="40" w:line="252" w:lineRule="auto"/>
            </w:pPr>
            <w:r>
              <w:rPr>
                <w:sz w:val="18"/>
              </w:rPr>
              <w:t>PRIMARY SOIL MOISTURE INTERFERENCE BAND</w:t>
            </w:r>
          </w:p>
        </w:tc>
      </w:tr>
      <w:tr w:rsidR="001E53DC" w14:paraId="36FC23A3" w14:textId="77777777">
        <w:trPr>
          <w:jc w:val="center"/>
        </w:trPr>
        <w:tc>
          <w:tcPr>
            <w:tcW w:w="1728" w:type="dxa"/>
            <w:shd w:val="clear" w:color="auto" w:fill="FFFFFF"/>
            <w:tcMar>
              <w:top w:w="80" w:type="dxa"/>
              <w:left w:w="100" w:type="dxa"/>
              <w:bottom w:w="80" w:type="dxa"/>
              <w:right w:w="100" w:type="dxa"/>
            </w:tcMar>
          </w:tcPr>
          <w:p w14:paraId="4525269E" w14:textId="77777777" w:rsidR="001E53DC" w:rsidRDefault="00000000">
            <w:pPr>
              <w:spacing w:before="40" w:after="40" w:line="252" w:lineRule="auto"/>
            </w:pPr>
            <w:r>
              <w:rPr>
                <w:sz w:val="18"/>
              </w:rPr>
              <w:t>2050 – 2080 nm</w:t>
            </w:r>
          </w:p>
        </w:tc>
        <w:tc>
          <w:tcPr>
            <w:tcW w:w="3168" w:type="dxa"/>
            <w:shd w:val="clear" w:color="auto" w:fill="FFFFFF"/>
            <w:tcMar>
              <w:top w:w="80" w:type="dxa"/>
              <w:left w:w="100" w:type="dxa"/>
              <w:bottom w:w="80" w:type="dxa"/>
              <w:right w:w="100" w:type="dxa"/>
            </w:tcMar>
          </w:tcPr>
          <w:p w14:paraId="3D474B92" w14:textId="77777777" w:rsidR="001E53DC" w:rsidRDefault="00000000">
            <w:pPr>
              <w:spacing w:before="40" w:after="40" w:line="252" w:lineRule="auto"/>
            </w:pPr>
            <w:r>
              <w:rPr>
                <w:sz w:val="18"/>
              </w:rPr>
              <w:t>Combination of amine N-H stretching and N-H bending modes</w:t>
            </w:r>
          </w:p>
        </w:tc>
        <w:tc>
          <w:tcPr>
            <w:tcW w:w="2592" w:type="dxa"/>
            <w:shd w:val="clear" w:color="auto" w:fill="FFFFFF"/>
            <w:tcMar>
              <w:top w:w="80" w:type="dxa"/>
              <w:left w:w="100" w:type="dxa"/>
              <w:bottom w:w="80" w:type="dxa"/>
              <w:right w:w="100" w:type="dxa"/>
            </w:tcMar>
          </w:tcPr>
          <w:p w14:paraId="732B0783" w14:textId="77777777" w:rsidR="001E53DC" w:rsidRDefault="00000000">
            <w:pPr>
              <w:spacing w:before="40" w:after="40" w:line="252" w:lineRule="auto"/>
            </w:pPr>
            <w:r>
              <w:rPr>
                <w:sz w:val="18"/>
              </w:rPr>
              <w:t>Decomposed nitrogenous organic complexes</w:t>
            </w:r>
          </w:p>
        </w:tc>
        <w:tc>
          <w:tcPr>
            <w:tcW w:w="1872" w:type="dxa"/>
            <w:shd w:val="clear" w:color="auto" w:fill="FFFFFF"/>
            <w:tcMar>
              <w:top w:w="80" w:type="dxa"/>
              <w:left w:w="100" w:type="dxa"/>
              <w:bottom w:w="80" w:type="dxa"/>
              <w:right w:w="100" w:type="dxa"/>
            </w:tcMar>
          </w:tcPr>
          <w:p w14:paraId="54CC26DF" w14:textId="77777777" w:rsidR="001E53DC" w:rsidRDefault="00000000">
            <w:pPr>
              <w:spacing w:before="40" w:after="40" w:line="252" w:lineRule="auto"/>
            </w:pPr>
            <w:r>
              <w:rPr>
                <w:sz w:val="18"/>
              </w:rPr>
              <w:t>Total Nitrogen (structural organic N)</w:t>
            </w:r>
          </w:p>
        </w:tc>
      </w:tr>
      <w:tr w:rsidR="001E53DC" w14:paraId="69AD641C" w14:textId="77777777">
        <w:trPr>
          <w:jc w:val="center"/>
        </w:trPr>
        <w:tc>
          <w:tcPr>
            <w:tcW w:w="1728" w:type="dxa"/>
            <w:shd w:val="clear" w:color="auto" w:fill="F4F7FA"/>
            <w:tcMar>
              <w:top w:w="80" w:type="dxa"/>
              <w:left w:w="100" w:type="dxa"/>
              <w:bottom w:w="80" w:type="dxa"/>
              <w:right w:w="100" w:type="dxa"/>
            </w:tcMar>
          </w:tcPr>
          <w:p w14:paraId="01EFE9E7" w14:textId="77777777" w:rsidR="001E53DC" w:rsidRDefault="00000000">
            <w:pPr>
              <w:spacing w:before="40" w:after="40" w:line="252" w:lineRule="auto"/>
            </w:pPr>
            <w:r>
              <w:rPr>
                <w:sz w:val="18"/>
              </w:rPr>
              <w:t>2205 – 2215 nm</w:t>
            </w:r>
          </w:p>
        </w:tc>
        <w:tc>
          <w:tcPr>
            <w:tcW w:w="3168" w:type="dxa"/>
            <w:shd w:val="clear" w:color="auto" w:fill="F4F7FA"/>
            <w:tcMar>
              <w:top w:w="80" w:type="dxa"/>
              <w:left w:w="100" w:type="dxa"/>
              <w:bottom w:w="80" w:type="dxa"/>
              <w:right w:w="100" w:type="dxa"/>
            </w:tcMar>
          </w:tcPr>
          <w:p w14:paraId="6BECF38B" w14:textId="77777777" w:rsidR="001E53DC" w:rsidRDefault="00000000">
            <w:pPr>
              <w:spacing w:before="40" w:after="40" w:line="252" w:lineRule="auto"/>
            </w:pPr>
            <w:r>
              <w:rPr>
                <w:sz w:val="18"/>
              </w:rPr>
              <w:t>Metal-hydroxyl combination: Al-OH stretching + OH bending doublet</w:t>
            </w:r>
          </w:p>
        </w:tc>
        <w:tc>
          <w:tcPr>
            <w:tcW w:w="2592" w:type="dxa"/>
            <w:shd w:val="clear" w:color="auto" w:fill="F4F7FA"/>
            <w:tcMar>
              <w:top w:w="80" w:type="dxa"/>
              <w:left w:w="100" w:type="dxa"/>
              <w:bottom w:w="80" w:type="dxa"/>
              <w:right w:w="100" w:type="dxa"/>
            </w:tcMar>
          </w:tcPr>
          <w:p w14:paraId="7C481747" w14:textId="77777777" w:rsidR="001E53DC" w:rsidRDefault="00000000">
            <w:pPr>
              <w:spacing w:before="40" w:after="40" w:line="252" w:lineRule="auto"/>
            </w:pPr>
            <w:r>
              <w:rPr>
                <w:sz w:val="18"/>
              </w:rPr>
              <w:t>Dioctahedral 2:1 and 1:1 clay minerals (Kaolinite, Illite)</w:t>
            </w:r>
          </w:p>
        </w:tc>
        <w:tc>
          <w:tcPr>
            <w:tcW w:w="1872" w:type="dxa"/>
            <w:shd w:val="clear" w:color="auto" w:fill="F4F7FA"/>
            <w:tcMar>
              <w:top w:w="80" w:type="dxa"/>
              <w:left w:w="100" w:type="dxa"/>
              <w:bottom w:w="80" w:type="dxa"/>
              <w:right w:w="100" w:type="dxa"/>
            </w:tcMar>
          </w:tcPr>
          <w:p w14:paraId="74B1F268" w14:textId="77777777" w:rsidR="001E53DC" w:rsidRDefault="00000000">
            <w:pPr>
              <w:spacing w:before="40" w:after="40" w:line="252" w:lineRule="auto"/>
            </w:pPr>
            <w:r>
              <w:rPr>
                <w:sz w:val="18"/>
              </w:rPr>
              <w:t>Clay Texture, Cation Exchange Capacity, indirect P &amp; K</w:t>
            </w:r>
          </w:p>
        </w:tc>
      </w:tr>
      <w:tr w:rsidR="001E53DC" w14:paraId="68481F79" w14:textId="77777777">
        <w:trPr>
          <w:jc w:val="center"/>
        </w:trPr>
        <w:tc>
          <w:tcPr>
            <w:tcW w:w="1728" w:type="dxa"/>
            <w:shd w:val="clear" w:color="auto" w:fill="FFFFFF"/>
            <w:tcMar>
              <w:top w:w="80" w:type="dxa"/>
              <w:left w:w="100" w:type="dxa"/>
              <w:bottom w:w="80" w:type="dxa"/>
              <w:right w:w="100" w:type="dxa"/>
            </w:tcMar>
          </w:tcPr>
          <w:p w14:paraId="3BE66867" w14:textId="77777777" w:rsidR="001E53DC" w:rsidRDefault="00000000">
            <w:pPr>
              <w:spacing w:before="40" w:after="40" w:line="252" w:lineRule="auto"/>
            </w:pPr>
            <w:r>
              <w:rPr>
                <w:sz w:val="18"/>
              </w:rPr>
              <w:t>2305 – 2320 nm</w:t>
            </w:r>
          </w:p>
        </w:tc>
        <w:tc>
          <w:tcPr>
            <w:tcW w:w="3168" w:type="dxa"/>
            <w:shd w:val="clear" w:color="auto" w:fill="FFFFFF"/>
            <w:tcMar>
              <w:top w:w="80" w:type="dxa"/>
              <w:left w:w="100" w:type="dxa"/>
              <w:bottom w:w="80" w:type="dxa"/>
              <w:right w:w="100" w:type="dxa"/>
            </w:tcMar>
          </w:tcPr>
          <w:p w14:paraId="11401648" w14:textId="77777777" w:rsidR="001E53DC" w:rsidRDefault="00000000">
            <w:pPr>
              <w:spacing w:before="40" w:after="40" w:line="252" w:lineRule="auto"/>
            </w:pPr>
            <w:r>
              <w:rPr>
                <w:sz w:val="18"/>
              </w:rPr>
              <w:t>Combination of C-H stretching and C-H deformation / C=O carbonyl</w:t>
            </w:r>
          </w:p>
        </w:tc>
        <w:tc>
          <w:tcPr>
            <w:tcW w:w="2592" w:type="dxa"/>
            <w:shd w:val="clear" w:color="auto" w:fill="FFFFFF"/>
            <w:tcMar>
              <w:top w:w="80" w:type="dxa"/>
              <w:left w:w="100" w:type="dxa"/>
              <w:bottom w:w="80" w:type="dxa"/>
              <w:right w:w="100" w:type="dxa"/>
            </w:tcMar>
          </w:tcPr>
          <w:p w14:paraId="62A379FB" w14:textId="77777777" w:rsidR="001E53DC" w:rsidRDefault="00000000">
            <w:pPr>
              <w:spacing w:before="40" w:after="40" w:line="252" w:lineRule="auto"/>
            </w:pPr>
            <w:r>
              <w:rPr>
                <w:sz w:val="18"/>
              </w:rPr>
              <w:t>Humic macromolecules, mature organic matter</w:t>
            </w:r>
          </w:p>
        </w:tc>
        <w:tc>
          <w:tcPr>
            <w:tcW w:w="1872" w:type="dxa"/>
            <w:shd w:val="clear" w:color="auto" w:fill="FFFFFF"/>
            <w:tcMar>
              <w:top w:w="80" w:type="dxa"/>
              <w:left w:w="100" w:type="dxa"/>
              <w:bottom w:w="80" w:type="dxa"/>
              <w:right w:w="100" w:type="dxa"/>
            </w:tcMar>
          </w:tcPr>
          <w:p w14:paraId="348B8A5F" w14:textId="77777777" w:rsidR="001E53DC" w:rsidRDefault="00000000">
            <w:pPr>
              <w:spacing w:before="40" w:after="40" w:line="252" w:lineRule="auto"/>
            </w:pPr>
            <w:r>
              <w:rPr>
                <w:sz w:val="18"/>
              </w:rPr>
              <w:t>Soil Organic Carbon (SECONDARY DIAGNOSTIC SOC PEAK)</w:t>
            </w:r>
          </w:p>
        </w:tc>
      </w:tr>
    </w:tbl>
    <w:p w14:paraId="31EC514E" w14:textId="77777777" w:rsidR="001E53DC" w:rsidRDefault="001E53DC">
      <w:pPr>
        <w:spacing w:after="240"/>
      </w:pPr>
    </w:p>
    <w:p w14:paraId="51F7E9D6" w14:textId="77777777" w:rsidR="001E53DC" w:rsidRDefault="00000000">
      <w:pPr>
        <w:pStyle w:val="Heading1"/>
      </w:pPr>
      <w:r>
        <w:rPr>
          <w:color w:val="003366"/>
        </w:rPr>
        <w:lastRenderedPageBreak/>
        <w:t>4. Matrix Interferences: Soil Moisture &amp; Optical Path Scattering</w:t>
      </w:r>
    </w:p>
    <w:p w14:paraId="2ED2A20A" w14:textId="77777777" w:rsidR="001E53DC" w:rsidRDefault="00000000">
      <w:r>
        <w:t>A central finding of this literature survey is that the gap between laboratory accuracy and field operational utility stems almost entirely from environmental matrix interferences. In field spectrometers and UAV hyperspectral imagery, two physical phenomena degrade spectral signals:</w:t>
      </w:r>
    </w:p>
    <w:p w14:paraId="619F37AB" w14:textId="77777777" w:rsidR="001E53DC" w:rsidRDefault="00000000">
      <w:pPr>
        <w:pStyle w:val="Heading2"/>
      </w:pPr>
      <w:r>
        <w:t>4.1 Moisture Interference Dynamics &amp; Refractive Index Matching</w:t>
      </w:r>
    </w:p>
    <w:p w14:paraId="34277363" w14:textId="77777777" w:rsidR="001E53DC" w:rsidRDefault="00000000">
      <w:r>
        <w:t>Water is an extraordinarily potent optical absorber in the near-infrared. Beyond generating dominant absorption troughs at 1410 nm and 1920 nm that dwarf nearby C-H and N-H signals, water alters the physical scattering mechanics of the soil surface. When soil is dry, quartz and mineral grains (refractive index n_mineral approx 1.54) are surrounded by air (n_air = 1.00). According to Fresnel's reflection law:</w:t>
      </w:r>
    </w:p>
    <w:p w14:paraId="688275C1" w14:textId="77777777" w:rsidR="001E53DC" w:rsidRDefault="00000000">
      <w:r>
        <w:t xml:space="preserve">    R_Fresnel = ((n_mineral - n_medium) / (n_mineral + n_medium))^2</w:t>
      </w:r>
    </w:p>
    <w:p w14:paraId="6FEC5051" w14:textId="77777777" w:rsidR="001E53DC" w:rsidRDefault="00000000">
      <w:r>
        <w:t>In dry soil, R_Fresnel = ((1.54 - 1.00)/(1.54 + 1.00))^2 = (0.54 / 2.54)^2 approx 4.5%. However, when moisture infiltrates the soil pores, water (n_water approx 1.33) replaces air around the grain interfaces. The Fresnel reflection drops to ((1.54 - 1.33)/(1.54 + 1.33))^2 = (0.21 / 2.87)^2 approx 0.54%—an 88% reduction in interfacial boundary reflection. Consequently, photons penetrate deeper into the moist particle bulk rather than reflecting back to the sensor. This causes a massive, non-linear downward collapse of the entire reflectance curve across the 400 – 2500 nm spectrum (albedo depression), obscuring subtle chemical absorption features.</w:t>
      </w:r>
    </w:p>
    <w:p w14:paraId="57D22025" w14:textId="77777777" w:rsidR="001E53DC" w:rsidRDefault="00000000">
      <w:pPr>
        <w:pStyle w:val="Heading2"/>
      </w:pPr>
      <w:r>
        <w:t>4.2 Particle Size &amp; Physical Scatter Variations</w:t>
      </w:r>
    </w:p>
    <w:p w14:paraId="33281ADC" w14:textId="77777777" w:rsidR="001E53DC" w:rsidRDefault="00000000">
      <w:r>
        <w:t>Soils vary widely in particle size distribution, from coarse sandy loams (&gt; 50 um) to heavy clay soils (&lt; 2 um). Coarse particles induce longer mean optical path lengths and lower overall reflectance. Conversely, fine clay particles multiply the density of scattering surfaces per unit volume, creating an additive upward baseline tilt. In field-scale UAV mapping, micro-topographical roughness, solar illumination angles, and soil clod geometry induce severe multiplicative and additive baseline shifts that completely derail uncalibrated machine learning models.</w:t>
      </w:r>
    </w:p>
    <w:tbl>
      <w:tblPr>
        <w:tblW w:w="0" w:type="auto"/>
        <w:jc w:val="center"/>
        <w:tblLayout w:type="fixed"/>
        <w:tblLook w:val="04A0" w:firstRow="1" w:lastRow="0" w:firstColumn="1" w:lastColumn="0" w:noHBand="0" w:noVBand="1"/>
      </w:tblPr>
      <w:tblGrid>
        <w:gridCol w:w="9360"/>
      </w:tblGrid>
      <w:tr w:rsidR="001E53DC" w14:paraId="7415FAEA" w14:textId="77777777">
        <w:trPr>
          <w:jc w:val="center"/>
        </w:trPr>
        <w:tc>
          <w:tcPr>
            <w:tcW w:w="9360" w:type="dxa"/>
            <w:tcBorders>
              <w:left w:val="single" w:sz="36" w:space="0" w:color="003366"/>
            </w:tcBorders>
            <w:shd w:val="clear" w:color="auto" w:fill="F2F6FA"/>
            <w:tcMar>
              <w:top w:w="140" w:type="dxa"/>
              <w:left w:w="180" w:type="dxa"/>
              <w:bottom w:w="140" w:type="dxa"/>
              <w:right w:w="140" w:type="dxa"/>
            </w:tcMar>
          </w:tcPr>
          <w:p w14:paraId="249B4796" w14:textId="77777777" w:rsidR="001E53DC" w:rsidRDefault="00000000">
            <w:pPr>
              <w:spacing w:before="40" w:after="40"/>
            </w:pPr>
            <w:r>
              <w:rPr>
                <w:b/>
                <w:color w:val="003366"/>
                <w:sz w:val="20"/>
              </w:rPr>
              <w:t>■ THE CORE INNOVATION MANDATE</w:t>
            </w:r>
            <w:r>
              <w:rPr>
                <w:b/>
                <w:color w:val="003366"/>
                <w:sz w:val="20"/>
              </w:rPr>
              <w:br/>
            </w:r>
            <w:r>
              <w:rPr>
                <w:i/>
                <w:color w:val="28323C"/>
                <w:sz w:val="20"/>
              </w:rPr>
              <w:t>Because soil moisture and particle scattering induce non-linear baseline collapse, treating raw or simply smoothed spectra with standard neural networks forces the model to memorize moisture-dependent albedo levels rather than chemical bond depths. Neutralizing moisture interference requires specialized mathematical preprocessing—specifically Upper Convex Hull Continuum Removal and Asymmetric Baseline Drift Correction—prior to convolutional feature extraction.</w:t>
            </w:r>
          </w:p>
        </w:tc>
      </w:tr>
    </w:tbl>
    <w:p w14:paraId="0A47D068" w14:textId="77777777" w:rsidR="001E53DC" w:rsidRDefault="001E53DC">
      <w:pPr>
        <w:spacing w:after="80"/>
      </w:pPr>
    </w:p>
    <w:p w14:paraId="0012E0C1" w14:textId="77777777" w:rsidR="001E53DC" w:rsidRDefault="00000000">
      <w:pPr>
        <w:pStyle w:val="Heading1"/>
      </w:pPr>
      <w:r>
        <w:rPr>
          <w:color w:val="003366"/>
        </w:rPr>
        <w:t>5. State of the Art in Spectral Preprocessing Methodologies</w:t>
      </w:r>
    </w:p>
    <w:p w14:paraId="6F44FDB7" w14:textId="77777777" w:rsidR="001E53DC" w:rsidRDefault="00000000">
      <w:r>
        <w:t xml:space="preserve">Chemometric literature demonstrates that the mathematical preprocessing pipeline is frequently more decisive in determining final predictive accuracy than the choice of regression model architecture. An </w:t>
      </w:r>
      <w:r>
        <w:lastRenderedPageBreak/>
        <w:t>optimal pipeline sequentially eliminates high-frequency instrument noise, multiplicative particle scatter, baseline drift, and broad moisture albedo shifts:</w:t>
      </w:r>
    </w:p>
    <w:p w14:paraId="44C638C3" w14:textId="77777777" w:rsidR="001E53DC" w:rsidRDefault="00000000">
      <w:pPr>
        <w:pStyle w:val="Heading2"/>
      </w:pPr>
      <w:r>
        <w:t>5.1 Savitzky-Golay (SG) Polynomial Filtering</w:t>
      </w:r>
    </w:p>
    <w:p w14:paraId="037C6BE2" w14:textId="77777777" w:rsidR="001E53DC" w:rsidRDefault="00000000">
      <w:r>
        <w:t>Savitzky-Golay filtering (Savitzky &amp; Golay, 1964) fits a localized polynomial of degree p over an odd moving window of 2m+1 channels via unweighted least-squares projection. Unlike naive boxcar or Gaussian filters that attenuate diagnostic peak amplitudes and broaden full-width-at-half-maximum (FWHM), SG filtering preserves true peak curvatures. When configured with derivative orders (d=1 or d=2), it eliminates linear and quadratic baseline offsets and resolves overlapping overtones, although excessive derivative orders amplify high-frequency detector noise.</w:t>
      </w:r>
    </w:p>
    <w:p w14:paraId="574364D0" w14:textId="77777777" w:rsidR="001E53DC" w:rsidRDefault="00000000">
      <w:pPr>
        <w:pStyle w:val="Heading2"/>
      </w:pPr>
      <w:r>
        <w:t>5.2 Scatter Correction: Standard Normal Variate (SNV) vs Multiplicative Scatter Correction (MSC)</w:t>
      </w:r>
    </w:p>
    <w:p w14:paraId="4F7F63BE" w14:textId="77777777" w:rsidR="001E53DC" w:rsidRDefault="00000000">
      <w:r>
        <w:t>Standard Normal Variate (SNV) scales each spectrum individually by subtracting its own mean and dividing by its standard deviation across all bands: x_snv = (x - mean(x)) / std(x). It requires no external reference spectrum and effectively scales out varying particle size path lengths. Multiplicative Scatter Correction (MSC) fits a linear regression between each sample spectrum and the mean reference spectrum of the training cohort: x_i = a_i + b_i * x_ref + e_i. While MSC explicitly decouples additive shift (a_i) from multiplicative slope (b_i), SNV is computationally preferred in edge and field deployments because it is computed sample-wise without relying on pre-stored reference statistics.</w:t>
      </w:r>
    </w:p>
    <w:p w14:paraId="6522443E" w14:textId="77777777" w:rsidR="001E53DC" w:rsidRDefault="00000000">
      <w:pPr>
        <w:pStyle w:val="Heading2"/>
      </w:pPr>
      <w:r>
        <w:t>5.3 Baseline Drift Removal: Asymmetric Least Squares (ALS) &amp; airPLS</w:t>
      </w:r>
    </w:p>
    <w:p w14:paraId="6EA0DEA7" w14:textId="77777777" w:rsidR="001E53DC" w:rsidRDefault="00000000">
      <w:r>
        <w:t>To eliminate non-linear curving baseline drift induced by instrument temperature fluctuations and soil albedo slopes, Eilers and Boelens (2005) introduced Asymmetric Least Squares (ALS). ALS minimizes an objective function balancing fidelity to data with a second-difference curvature penalty: F = sum(w_i * (y_i - z_i)^2) + lambda * sum((Delta^2 z_i)^2). By assigning asymmetric weights w_i = p for y_i &gt; z_i and w_i = 1 - p for y_i &lt;= z_i with p &lt;&lt; 0.5 (e.g. p = 0.001), the estimated baseline z is forced to wrap smoothly along the lower envelope of the spectrum. Zhang et al. (2010) enhanced this into airPLS (Adaptive Iteratively Reweighted Penalized Least Squares), dynamically updating weights with exponential penalties on negative residuals, achieving automated baseline convergence without manual asymmetry parameter tuning.</w:t>
      </w:r>
    </w:p>
    <w:p w14:paraId="2C8AAE98" w14:textId="77777777" w:rsidR="001E53DC" w:rsidRDefault="00000000">
      <w:pPr>
        <w:pStyle w:val="Heading2"/>
      </w:pPr>
      <w:r>
        <w:t>5.4 Upper Convex Hull Continuum Removal: The Moisture Neutralizer</w:t>
      </w:r>
    </w:p>
    <w:p w14:paraId="5F58D5DB" w14:textId="77777777" w:rsidR="001E53DC" w:rsidRDefault="00000000">
      <w:r>
        <w:t>Continuum Removal (Clark &amp; Roush, 1984) is the definitive optical technique for isolating true absorption band depth from variable background albedo. An upper convex hull is fitted over the reflectance spectrum by identifying local reflectance maxima across wavebands such that the hull envelope C(lambda) completely encloses all spectral points from above. The continuum-removed spectrum R_c(lambda) is computed by pointwise division: R_c(lambda) = R(lambda) / C(lambda). Because local non-absorbing maxima are normalized to 1.0, broad baseline depressions and soil moisture scattering shifts are completely cancelled, leaving isolated absorption pits whose depths (1 - R_c) correlate directly with analyte concentration under modified Beer-Lambert relationships.</w:t>
      </w:r>
    </w:p>
    <w:p w14:paraId="6E112E30" w14:textId="77777777" w:rsidR="001E53DC" w:rsidRDefault="00000000">
      <w:pPr>
        <w:pStyle w:val="Heading1"/>
      </w:pPr>
      <w:r>
        <w:rPr>
          <w:color w:val="003366"/>
        </w:rPr>
        <w:lastRenderedPageBreak/>
        <w:t>6. Evolution of Machine Learning &amp; Deep Learning Chemometric Estimators</w:t>
      </w:r>
    </w:p>
    <w:p w14:paraId="2425DC67" w14:textId="77777777" w:rsidR="001E53DC" w:rsidRDefault="00000000">
      <w:r>
        <w:t>Over the past three decades, soil spectroscopic modeling has progressed across three distinct algorithmic paradigms:</w:t>
      </w:r>
    </w:p>
    <w:p w14:paraId="5B8523B9" w14:textId="77777777" w:rsidR="001E53DC" w:rsidRDefault="00000000">
      <w:pPr>
        <w:pStyle w:val="Heading2"/>
      </w:pPr>
      <w:r>
        <w:t>6.1 Era 1: Linear Latent Projections (PLSR and PCR)</w:t>
      </w:r>
    </w:p>
    <w:p w14:paraId="1DB854EA" w14:textId="77777777" w:rsidR="001E53DC" w:rsidRDefault="00000000">
      <w:r>
        <w:t>Partial Least Squares Regression (PLSR) (Wold et al., 2001) has served as the universal benchmark in soil chemometrics. PLSR decomposes the predictor spectral matrix X and target matrix Y into orthogonal latent score components (T and U) that maximize their shared covariance. By projecting hundreds of collinear spectral channels into 10 to 20 orthogonal latent variables, PLSR mitigates matrix inversion singularities. However, PLSR is fundamentally constrained by its linear assumption. While it performs satisfactorily on directly active Organic Carbon in dry laboratory soils (R^2 approx 0.75 – 0.82), it degrades severely on spectrally indirect targets like Available Phosphorus (P) and Potassium (K), typically yielding R^2 &lt; 0.40 and RPD &lt; 1.4 (Unsatisfactory).</w:t>
      </w:r>
    </w:p>
    <w:p w14:paraId="439E4D47" w14:textId="77777777" w:rsidR="001E53DC" w:rsidRDefault="00000000">
      <w:pPr>
        <w:pStyle w:val="Heading2"/>
      </w:pPr>
      <w:r>
        <w:t>6.2 Era 2: Shallow Non-Linear Machine Learning (SVR, RF, XGBoost)</w:t>
      </w:r>
    </w:p>
    <w:p w14:paraId="2B078672" w14:textId="77777777" w:rsidR="001E53DC" w:rsidRDefault="00000000">
      <w:r>
        <w:t>Support Vector Regression (SVR) and Random Forest Regression (RFR) introduced non-linear kernel transformations and decision tree bagging to capture non-linear matrix interactions. SVR with a Radial Basis Function (RBF) kernel projects spectra into infinite-dimensional Hilbert spaces, fitting optimal hyperplanes bounded by an epsilon-insensitive loss zone. While SVR outperforms PLSR, its training complexity scales with the square of the sample size O(n^2), rendering it computationally intractable on continental datasets like LUCAS (19,000+ samples). Random Forest ensembles de-correlated decision trees, offering robustness to outliers, but treats spectral bands as isolated independent columns, ignoring the sequential continuity of absorption curves.</w:t>
      </w:r>
    </w:p>
    <w:p w14:paraId="5ABD7B3C" w14:textId="77777777" w:rsidR="001E53DC" w:rsidRDefault="00000000">
      <w:pPr>
        <w:pStyle w:val="Heading2"/>
      </w:pPr>
      <w:r>
        <w:t>6.3 Era 3: Deep 1D Convolutional Neural Networks (1D-CNN)</w:t>
      </w:r>
    </w:p>
    <w:p w14:paraId="322D9300" w14:textId="77777777" w:rsidR="001E53DC" w:rsidRDefault="00000000">
      <w:r>
        <w:t>In 2019, Padarian et al. and Veres et al. demonstrated that 1D-CNNs represent the ideal inductive bias for continuous physical spectroscopy. A Vis-NIR spectrum is a continuous 1D physical waveform where diagnostic information is encoded in localized peak shapes, absorption slopes, and harmonic overtones. A 1D convolutional kernel applies learnable filters that glide along the wavelength axis: y_i = sigma(sum(W_k * x_{i+k}) + b). Local receptive fields naturally identify characteristic multi-band dip contours; weight sharing drastically restricts parameter explosion; and hierarchical pooling aggregates localized chemical overtones into global property predictions. A 1D-CNN achieves superior generalization with orders of magnitude fewer parameters than fully connected multi-layer perceptrons.</w:t>
      </w:r>
    </w:p>
    <w:p w14:paraId="196D378D" w14:textId="77777777" w:rsidR="001E53DC" w:rsidRDefault="00000000">
      <w:pPr>
        <w:pStyle w:val="Heading2"/>
      </w:pPr>
      <w:r>
        <w:t>6.4 Era 4: Hybrid Sequence Models (Transformer-CNN)</w:t>
      </w:r>
    </w:p>
    <w:p w14:paraId="0DF8D9D1" w14:textId="77777777" w:rsidR="001E53DC" w:rsidRDefault="00000000">
      <w:r>
        <w:t>Most recently, Cao et al. (Agronomy 2024) introduced a hybrid architecture combining a Multi-Head Self-Attention Transformer with a 1D-CNN. While 1D-CNNs excel at localized feature extraction, the Transformer's self-attention mechanism models long-range multi-band dependencies across the entire 400 – 2500 nm range simultaneously. However, as analyzed in Section 9, this architectural complexity incurs substantial computational overhead that impedes edge UAV deployment.</w:t>
      </w:r>
    </w:p>
    <w:p w14:paraId="1EC8E63E" w14:textId="77777777" w:rsidR="001E53DC" w:rsidRDefault="00000000">
      <w:pPr>
        <w:pStyle w:val="Heading1"/>
      </w:pPr>
      <w:r>
        <w:rPr>
          <w:color w:val="003366"/>
        </w:rPr>
        <w:lastRenderedPageBreak/>
        <w:t>7. Spatial Autocorrelation &amp; The Geospatial Data Leakage Dilemma</w:t>
      </w:r>
    </w:p>
    <w:p w14:paraId="1C359EA9" w14:textId="77777777" w:rsidR="001E53DC" w:rsidRDefault="00000000">
      <w:r>
        <w:t>A critical methodological deficiency pervading published machine learning soil literature is the uncritical use of random K-Fold cross-validation. In 2021, Wadoux et al. published a landmark paper in Ecological Modelling exposing the widespread inflation of reported model accuracies caused by spatial autocorrelation data leakage.</w:t>
      </w:r>
    </w:p>
    <w:p w14:paraId="50146D78" w14:textId="77777777" w:rsidR="001E53DC" w:rsidRDefault="00000000">
      <w:r>
        <w:t>According to Tobler's First Law of Geography, spatial soil properties are continuous across geography. Samples collected in proximity share common parent material, topography, and climatic weathering. When a continental soil dataset like LUCAS is partitioned using standard random splits or random K-Fold CV, neighboring samples collected from the same agricultural field (&lt; 1 km apart) are arbitrarily divided between the training set and the validation set. The deep neural network easily memorizes the geographic neighborhood signature rather than learning true soil diffuse reflectance physics. This yields artificially inflated validation scores (e.g. R^2 &gt; 0.94) that collapse completely (R^2 drops to 0.60 – 0.65) when the model is transferred to an unseen geographic region.</w:t>
      </w:r>
    </w:p>
    <w:p w14:paraId="3AB877A6" w14:textId="77777777" w:rsidR="001E53DC" w:rsidRDefault="00000000">
      <w:r>
        <w:t>To enforce true out-of-region generalizability, Spatial Block Cross-Validation (SpatialBlockCV) must be implemented. In SpatialBlockCV, geographic coordinates (Latitude, Longitude) are clustered into discrete spatial blocks (e.g., 50 km x 50 km grids using spatial KMeans). Entire spatial blocks are withheld as validation folds, guaranteeing that training and validation sets are geographically separated and ensuring zero spatial autocorrelation leakage.</w:t>
      </w:r>
    </w:p>
    <w:p w14:paraId="51D2FA17" w14:textId="77777777" w:rsidR="001E53DC" w:rsidRDefault="00000000">
      <w:r>
        <w:br w:type="page"/>
      </w:r>
    </w:p>
    <w:p w14:paraId="25D11594" w14:textId="77777777" w:rsidR="001E53DC" w:rsidRDefault="00000000">
      <w:pPr>
        <w:pStyle w:val="Heading1"/>
      </w:pPr>
      <w:r>
        <w:rPr>
          <w:color w:val="003366"/>
        </w:rPr>
        <w:lastRenderedPageBreak/>
        <w:t>8. Exhaustive 25-Paper Comparative Literature Taxonomy Table</w:t>
      </w:r>
    </w:p>
    <w:p w14:paraId="6135A4B5" w14:textId="77777777" w:rsidR="001E53DC" w:rsidRDefault="00000000">
      <w:r>
        <w:t>The following multi-page comparative taxonomy benchmarks 25 seminal and recent studies (2002 – 2024), evaluating datasets, target parameters, preprocessing pipelines, model architectures, validation protocols, and reported predictive metrics:</w:t>
      </w:r>
    </w:p>
    <w:tbl>
      <w:tblPr>
        <w:tblW w:w="0" w:type="auto"/>
        <w:jc w:val="center"/>
        <w:tblLook w:val="04A0" w:firstRow="1" w:lastRow="0" w:firstColumn="1" w:lastColumn="0" w:noHBand="0" w:noVBand="1"/>
      </w:tblPr>
      <w:tblGrid>
        <w:gridCol w:w="1488"/>
        <w:gridCol w:w="1405"/>
        <w:gridCol w:w="1745"/>
        <w:gridCol w:w="1652"/>
        <w:gridCol w:w="1523"/>
        <w:gridCol w:w="1747"/>
      </w:tblGrid>
      <w:tr w:rsidR="001E53DC" w14:paraId="43AFB71F" w14:textId="77777777">
        <w:trPr>
          <w:jc w:val="center"/>
        </w:trPr>
        <w:tc>
          <w:tcPr>
            <w:tcW w:w="1584" w:type="dxa"/>
            <w:shd w:val="clear" w:color="auto" w:fill="003366"/>
            <w:tcMar>
              <w:top w:w="80" w:type="dxa"/>
              <w:left w:w="100" w:type="dxa"/>
              <w:bottom w:w="80" w:type="dxa"/>
              <w:right w:w="100" w:type="dxa"/>
            </w:tcMar>
          </w:tcPr>
          <w:p w14:paraId="61FC9AB4" w14:textId="77777777" w:rsidR="001E53DC" w:rsidRDefault="00000000">
            <w:pPr>
              <w:spacing w:before="40" w:after="40" w:line="252" w:lineRule="auto"/>
            </w:pPr>
            <w:r>
              <w:rPr>
                <w:b/>
                <w:color w:val="FFFFFF"/>
                <w:sz w:val="19"/>
              </w:rPr>
              <w:t>Authors &amp; Year</w:t>
            </w:r>
          </w:p>
        </w:tc>
        <w:tc>
          <w:tcPr>
            <w:tcW w:w="1440" w:type="dxa"/>
            <w:shd w:val="clear" w:color="auto" w:fill="003366"/>
            <w:tcMar>
              <w:top w:w="80" w:type="dxa"/>
              <w:left w:w="100" w:type="dxa"/>
              <w:bottom w:w="80" w:type="dxa"/>
              <w:right w:w="100" w:type="dxa"/>
            </w:tcMar>
          </w:tcPr>
          <w:p w14:paraId="32C7DB42" w14:textId="77777777" w:rsidR="001E53DC" w:rsidRDefault="00000000">
            <w:pPr>
              <w:spacing w:before="40" w:after="40" w:line="252" w:lineRule="auto"/>
            </w:pPr>
            <w:r>
              <w:rPr>
                <w:b/>
                <w:color w:val="FFFFFF"/>
                <w:sz w:val="19"/>
              </w:rPr>
              <w:t>Dataset &amp; Scale</w:t>
            </w:r>
          </w:p>
        </w:tc>
        <w:tc>
          <w:tcPr>
            <w:tcW w:w="1872" w:type="dxa"/>
            <w:shd w:val="clear" w:color="auto" w:fill="003366"/>
            <w:tcMar>
              <w:top w:w="80" w:type="dxa"/>
              <w:left w:w="100" w:type="dxa"/>
              <w:bottom w:w="80" w:type="dxa"/>
              <w:right w:w="100" w:type="dxa"/>
            </w:tcMar>
          </w:tcPr>
          <w:p w14:paraId="38335416" w14:textId="77777777" w:rsidR="001E53DC" w:rsidRDefault="00000000">
            <w:pPr>
              <w:spacing w:before="40" w:after="40" w:line="252" w:lineRule="auto"/>
            </w:pPr>
            <w:r>
              <w:rPr>
                <w:b/>
                <w:color w:val="FFFFFF"/>
                <w:sz w:val="19"/>
              </w:rPr>
              <w:t>Target Properties</w:t>
            </w:r>
          </w:p>
        </w:tc>
        <w:tc>
          <w:tcPr>
            <w:tcW w:w="1728" w:type="dxa"/>
            <w:shd w:val="clear" w:color="auto" w:fill="003366"/>
            <w:tcMar>
              <w:top w:w="80" w:type="dxa"/>
              <w:left w:w="100" w:type="dxa"/>
              <w:bottom w:w="80" w:type="dxa"/>
              <w:right w:w="100" w:type="dxa"/>
            </w:tcMar>
          </w:tcPr>
          <w:p w14:paraId="242D930E" w14:textId="77777777" w:rsidR="001E53DC" w:rsidRDefault="00000000">
            <w:pPr>
              <w:spacing w:before="40" w:after="40" w:line="252" w:lineRule="auto"/>
            </w:pPr>
            <w:r>
              <w:rPr>
                <w:b/>
                <w:color w:val="FFFFFF"/>
                <w:sz w:val="19"/>
              </w:rPr>
              <w:t>Preprocessing Pipeline</w:t>
            </w:r>
          </w:p>
        </w:tc>
        <w:tc>
          <w:tcPr>
            <w:tcW w:w="1584" w:type="dxa"/>
            <w:shd w:val="clear" w:color="auto" w:fill="003366"/>
            <w:tcMar>
              <w:top w:w="80" w:type="dxa"/>
              <w:left w:w="100" w:type="dxa"/>
              <w:bottom w:w="80" w:type="dxa"/>
              <w:right w:w="100" w:type="dxa"/>
            </w:tcMar>
          </w:tcPr>
          <w:p w14:paraId="036F495F" w14:textId="77777777" w:rsidR="001E53DC" w:rsidRDefault="00000000">
            <w:pPr>
              <w:spacing w:before="40" w:after="40" w:line="252" w:lineRule="auto"/>
            </w:pPr>
            <w:r>
              <w:rPr>
                <w:b/>
                <w:color w:val="FFFFFF"/>
                <w:sz w:val="19"/>
              </w:rPr>
              <w:t>Model Architecture</w:t>
            </w:r>
          </w:p>
        </w:tc>
        <w:tc>
          <w:tcPr>
            <w:tcW w:w="1872" w:type="dxa"/>
            <w:shd w:val="clear" w:color="auto" w:fill="003366"/>
            <w:tcMar>
              <w:top w:w="80" w:type="dxa"/>
              <w:left w:w="100" w:type="dxa"/>
              <w:bottom w:w="80" w:type="dxa"/>
              <w:right w:w="100" w:type="dxa"/>
            </w:tcMar>
          </w:tcPr>
          <w:p w14:paraId="5F5E6759" w14:textId="77777777" w:rsidR="001E53DC" w:rsidRDefault="00000000">
            <w:pPr>
              <w:spacing w:before="40" w:after="40" w:line="252" w:lineRule="auto"/>
            </w:pPr>
            <w:r>
              <w:rPr>
                <w:b/>
                <w:color w:val="FFFFFF"/>
                <w:sz w:val="19"/>
              </w:rPr>
              <w:t>Key Results &amp; RPD Tier</w:t>
            </w:r>
          </w:p>
        </w:tc>
      </w:tr>
      <w:tr w:rsidR="001E53DC" w14:paraId="1B5DC08A" w14:textId="77777777">
        <w:trPr>
          <w:jc w:val="center"/>
        </w:trPr>
        <w:tc>
          <w:tcPr>
            <w:tcW w:w="1584" w:type="dxa"/>
            <w:shd w:val="clear" w:color="auto" w:fill="F4F7FA"/>
            <w:tcMar>
              <w:top w:w="80" w:type="dxa"/>
              <w:left w:w="100" w:type="dxa"/>
              <w:bottom w:w="80" w:type="dxa"/>
              <w:right w:w="100" w:type="dxa"/>
            </w:tcMar>
          </w:tcPr>
          <w:p w14:paraId="4710E86B" w14:textId="77777777" w:rsidR="001E53DC" w:rsidRDefault="00000000">
            <w:pPr>
              <w:spacing w:before="40" w:after="40" w:line="252" w:lineRule="auto"/>
            </w:pPr>
            <w:r>
              <w:rPr>
                <w:sz w:val="18"/>
              </w:rPr>
              <w:t>Cao et al. (2024)</w:t>
            </w:r>
            <w:r>
              <w:rPr>
                <w:sz w:val="18"/>
              </w:rPr>
              <w:br/>
              <w:t>[Base Benchmark]</w:t>
            </w:r>
          </w:p>
        </w:tc>
        <w:tc>
          <w:tcPr>
            <w:tcW w:w="1440" w:type="dxa"/>
            <w:shd w:val="clear" w:color="auto" w:fill="F4F7FA"/>
            <w:tcMar>
              <w:top w:w="80" w:type="dxa"/>
              <w:left w:w="100" w:type="dxa"/>
              <w:bottom w:w="80" w:type="dxa"/>
              <w:right w:w="100" w:type="dxa"/>
            </w:tcMar>
          </w:tcPr>
          <w:p w14:paraId="6EB127A3" w14:textId="77777777" w:rsidR="001E53DC" w:rsidRDefault="00000000">
            <w:pPr>
              <w:spacing w:before="40" w:after="40" w:line="252" w:lineRule="auto"/>
            </w:pPr>
            <w:r>
              <w:rPr>
                <w:sz w:val="18"/>
              </w:rPr>
              <w:t>LUCAS 2009 EU</w:t>
            </w:r>
            <w:r>
              <w:rPr>
                <w:sz w:val="18"/>
              </w:rPr>
              <w:br/>
              <w:t>(19,036 samples)</w:t>
            </w:r>
          </w:p>
        </w:tc>
        <w:tc>
          <w:tcPr>
            <w:tcW w:w="1872" w:type="dxa"/>
            <w:shd w:val="clear" w:color="auto" w:fill="F4F7FA"/>
            <w:tcMar>
              <w:top w:w="80" w:type="dxa"/>
              <w:left w:w="100" w:type="dxa"/>
              <w:bottom w:w="80" w:type="dxa"/>
              <w:right w:w="100" w:type="dxa"/>
            </w:tcMar>
          </w:tcPr>
          <w:p w14:paraId="1D4A7F18" w14:textId="77777777" w:rsidR="001E53DC" w:rsidRDefault="00000000">
            <w:pPr>
              <w:spacing w:before="40" w:after="40" w:line="252" w:lineRule="auto"/>
            </w:pPr>
            <w:r>
              <w:rPr>
                <w:sz w:val="18"/>
              </w:rPr>
              <w:t>OC, N, P, K, pH, Clay, Silt, Sand, CaCO3, CEC (11 targets)</w:t>
            </w:r>
          </w:p>
        </w:tc>
        <w:tc>
          <w:tcPr>
            <w:tcW w:w="1728" w:type="dxa"/>
            <w:shd w:val="clear" w:color="auto" w:fill="F4F7FA"/>
            <w:tcMar>
              <w:top w:w="80" w:type="dxa"/>
              <w:left w:w="100" w:type="dxa"/>
              <w:bottom w:w="80" w:type="dxa"/>
              <w:right w:w="100" w:type="dxa"/>
            </w:tcMar>
          </w:tcPr>
          <w:p w14:paraId="4DFA7E54" w14:textId="77777777" w:rsidR="001E53DC" w:rsidRDefault="00000000">
            <w:pPr>
              <w:spacing w:before="40" w:after="40" w:line="252" w:lineRule="auto"/>
            </w:pPr>
            <w:r>
              <w:rPr>
                <w:sz w:val="18"/>
              </w:rPr>
              <w:t>Savitzky-Golay (11-pt) + 1st deriv; downsampled to 200 bands</w:t>
            </w:r>
          </w:p>
        </w:tc>
        <w:tc>
          <w:tcPr>
            <w:tcW w:w="1584" w:type="dxa"/>
            <w:shd w:val="clear" w:color="auto" w:fill="F4F7FA"/>
            <w:tcMar>
              <w:top w:w="80" w:type="dxa"/>
              <w:left w:w="100" w:type="dxa"/>
              <w:bottom w:w="80" w:type="dxa"/>
              <w:right w:w="100" w:type="dxa"/>
            </w:tcMar>
          </w:tcPr>
          <w:p w14:paraId="1DCD48B7" w14:textId="77777777" w:rsidR="001E53DC" w:rsidRDefault="00000000">
            <w:pPr>
              <w:spacing w:before="40" w:after="40" w:line="252" w:lineRule="auto"/>
            </w:pPr>
            <w:r>
              <w:rPr>
                <w:sz w:val="18"/>
              </w:rPr>
              <w:t>Parallel Transformer-CNN vs ResNet18, LSTM, SVR, PLSR</w:t>
            </w:r>
          </w:p>
        </w:tc>
        <w:tc>
          <w:tcPr>
            <w:tcW w:w="1872" w:type="dxa"/>
            <w:shd w:val="clear" w:color="auto" w:fill="F4F7FA"/>
            <w:tcMar>
              <w:top w:w="80" w:type="dxa"/>
              <w:left w:w="100" w:type="dxa"/>
              <w:bottom w:w="80" w:type="dxa"/>
              <w:right w:w="100" w:type="dxa"/>
            </w:tcMar>
          </w:tcPr>
          <w:p w14:paraId="676B530B" w14:textId="77777777" w:rsidR="001E53DC" w:rsidRDefault="00000000">
            <w:pPr>
              <w:spacing w:before="40" w:after="40" w:line="252" w:lineRule="auto"/>
            </w:pPr>
            <w:r>
              <w:rPr>
                <w:sz w:val="18"/>
              </w:rPr>
              <w:t>OC: R²=0.94, RPD=3.65 (A)</w:t>
            </w:r>
            <w:r>
              <w:rPr>
                <w:sz w:val="18"/>
              </w:rPr>
              <w:br/>
              <w:t>N: R²=0.94, RPD=3.42 (A)</w:t>
            </w:r>
            <w:r>
              <w:rPr>
                <w:sz w:val="18"/>
              </w:rPr>
              <w:br/>
              <w:t>P: R²=0.81, RPD=2.05 (C)</w:t>
            </w:r>
            <w:r>
              <w:rPr>
                <w:sz w:val="18"/>
              </w:rPr>
              <w:br/>
              <w:t>K: R²=0.77, RPD=2.08 (C)</w:t>
            </w:r>
          </w:p>
        </w:tc>
      </w:tr>
      <w:tr w:rsidR="001E53DC" w14:paraId="1EA86B5E" w14:textId="77777777">
        <w:trPr>
          <w:jc w:val="center"/>
        </w:trPr>
        <w:tc>
          <w:tcPr>
            <w:tcW w:w="1584" w:type="dxa"/>
            <w:shd w:val="clear" w:color="auto" w:fill="FFFFFF"/>
            <w:tcMar>
              <w:top w:w="80" w:type="dxa"/>
              <w:left w:w="100" w:type="dxa"/>
              <w:bottom w:w="80" w:type="dxa"/>
              <w:right w:w="100" w:type="dxa"/>
            </w:tcMar>
          </w:tcPr>
          <w:p w14:paraId="76B0250D" w14:textId="77777777" w:rsidR="001E53DC" w:rsidRDefault="00000000">
            <w:pPr>
              <w:spacing w:before="40" w:after="40" w:line="252" w:lineRule="auto"/>
            </w:pPr>
            <w:r>
              <w:rPr>
                <w:sz w:val="18"/>
              </w:rPr>
              <w:t>Padarian et al. (2019)</w:t>
            </w:r>
          </w:p>
        </w:tc>
        <w:tc>
          <w:tcPr>
            <w:tcW w:w="1440" w:type="dxa"/>
            <w:shd w:val="clear" w:color="auto" w:fill="FFFFFF"/>
            <w:tcMar>
              <w:top w:w="80" w:type="dxa"/>
              <w:left w:w="100" w:type="dxa"/>
              <w:bottom w:w="80" w:type="dxa"/>
              <w:right w:w="100" w:type="dxa"/>
            </w:tcMar>
          </w:tcPr>
          <w:p w14:paraId="5E8A6965" w14:textId="77777777" w:rsidR="001E53DC" w:rsidRDefault="00000000">
            <w:pPr>
              <w:spacing w:before="40" w:after="40" w:line="252" w:lineRule="auto"/>
            </w:pPr>
            <w:r>
              <w:rPr>
                <w:sz w:val="18"/>
              </w:rPr>
              <w:t>LUCAS Topsoil</w:t>
            </w:r>
            <w:r>
              <w:rPr>
                <w:sz w:val="18"/>
              </w:rPr>
              <w:br/>
              <w:t>(19,019 samples)</w:t>
            </w:r>
          </w:p>
        </w:tc>
        <w:tc>
          <w:tcPr>
            <w:tcW w:w="1872" w:type="dxa"/>
            <w:shd w:val="clear" w:color="auto" w:fill="FFFFFF"/>
            <w:tcMar>
              <w:top w:w="80" w:type="dxa"/>
              <w:left w:w="100" w:type="dxa"/>
              <w:bottom w:w="80" w:type="dxa"/>
              <w:right w:w="100" w:type="dxa"/>
            </w:tcMar>
          </w:tcPr>
          <w:p w14:paraId="7EFA2353" w14:textId="77777777" w:rsidR="001E53DC" w:rsidRDefault="00000000">
            <w:pPr>
              <w:spacing w:before="40" w:after="40" w:line="252" w:lineRule="auto"/>
            </w:pPr>
            <w:r>
              <w:rPr>
                <w:sz w:val="18"/>
              </w:rPr>
              <w:t>SOC, Clay, Sand, pH, CEC</w:t>
            </w:r>
          </w:p>
        </w:tc>
        <w:tc>
          <w:tcPr>
            <w:tcW w:w="1728" w:type="dxa"/>
            <w:shd w:val="clear" w:color="auto" w:fill="FFFFFF"/>
            <w:tcMar>
              <w:top w:w="80" w:type="dxa"/>
              <w:left w:w="100" w:type="dxa"/>
              <w:bottom w:w="80" w:type="dxa"/>
              <w:right w:w="100" w:type="dxa"/>
            </w:tcMar>
          </w:tcPr>
          <w:p w14:paraId="5D2A2CF9" w14:textId="77777777" w:rsidR="001E53DC" w:rsidRDefault="00000000">
            <w:pPr>
              <w:spacing w:before="40" w:after="40" w:line="252" w:lineRule="auto"/>
            </w:pPr>
            <w:r>
              <w:rPr>
                <w:sz w:val="18"/>
              </w:rPr>
              <w:t>Continuum removal, SNV, Absorbance transform</w:t>
            </w:r>
          </w:p>
        </w:tc>
        <w:tc>
          <w:tcPr>
            <w:tcW w:w="1584" w:type="dxa"/>
            <w:shd w:val="clear" w:color="auto" w:fill="FFFFFF"/>
            <w:tcMar>
              <w:top w:w="80" w:type="dxa"/>
              <w:left w:w="100" w:type="dxa"/>
              <w:bottom w:w="80" w:type="dxa"/>
              <w:right w:w="100" w:type="dxa"/>
            </w:tcMar>
          </w:tcPr>
          <w:p w14:paraId="360C362F" w14:textId="77777777" w:rsidR="001E53DC" w:rsidRDefault="00000000">
            <w:pPr>
              <w:spacing w:before="40" w:after="40" w:line="252" w:lineRule="auto"/>
            </w:pPr>
            <w:r>
              <w:rPr>
                <w:sz w:val="18"/>
              </w:rPr>
              <w:t>Multi-task 1D-CNN vs PLSR</w:t>
            </w:r>
          </w:p>
        </w:tc>
        <w:tc>
          <w:tcPr>
            <w:tcW w:w="1872" w:type="dxa"/>
            <w:shd w:val="clear" w:color="auto" w:fill="FFFFFF"/>
            <w:tcMar>
              <w:top w:w="80" w:type="dxa"/>
              <w:left w:w="100" w:type="dxa"/>
              <w:bottom w:w="80" w:type="dxa"/>
              <w:right w:w="100" w:type="dxa"/>
            </w:tcMar>
          </w:tcPr>
          <w:p w14:paraId="0D8767DE" w14:textId="77777777" w:rsidR="001E53DC" w:rsidRDefault="00000000">
            <w:pPr>
              <w:spacing w:before="40" w:after="40" w:line="252" w:lineRule="auto"/>
            </w:pPr>
            <w:r>
              <w:rPr>
                <w:sz w:val="18"/>
              </w:rPr>
              <w:t>SOC: R²=0.81, RMSE=7.2 g/kg</w:t>
            </w:r>
            <w:r>
              <w:rPr>
                <w:sz w:val="18"/>
              </w:rPr>
              <w:br/>
              <w:t>Clay: R²=0.85 (Tier B)</w:t>
            </w:r>
            <w:r>
              <w:rPr>
                <w:sz w:val="18"/>
              </w:rPr>
              <w:br/>
              <w:t>Multi-task joint learning superior</w:t>
            </w:r>
          </w:p>
        </w:tc>
      </w:tr>
      <w:tr w:rsidR="001E53DC" w14:paraId="45137C92" w14:textId="77777777">
        <w:trPr>
          <w:jc w:val="center"/>
        </w:trPr>
        <w:tc>
          <w:tcPr>
            <w:tcW w:w="1584" w:type="dxa"/>
            <w:shd w:val="clear" w:color="auto" w:fill="F4F7FA"/>
            <w:tcMar>
              <w:top w:w="80" w:type="dxa"/>
              <w:left w:w="100" w:type="dxa"/>
              <w:bottom w:w="80" w:type="dxa"/>
              <w:right w:w="100" w:type="dxa"/>
            </w:tcMar>
          </w:tcPr>
          <w:p w14:paraId="3E2BC612" w14:textId="77777777" w:rsidR="001E53DC" w:rsidRDefault="00000000">
            <w:pPr>
              <w:spacing w:before="40" w:after="40" w:line="252" w:lineRule="auto"/>
            </w:pPr>
            <w:r>
              <w:rPr>
                <w:sz w:val="18"/>
              </w:rPr>
              <w:t>Veres et al. (2015)</w:t>
            </w:r>
          </w:p>
        </w:tc>
        <w:tc>
          <w:tcPr>
            <w:tcW w:w="1440" w:type="dxa"/>
            <w:shd w:val="clear" w:color="auto" w:fill="F4F7FA"/>
            <w:tcMar>
              <w:top w:w="80" w:type="dxa"/>
              <w:left w:w="100" w:type="dxa"/>
              <w:bottom w:w="80" w:type="dxa"/>
              <w:right w:w="100" w:type="dxa"/>
            </w:tcMar>
          </w:tcPr>
          <w:p w14:paraId="305A80F9" w14:textId="77777777" w:rsidR="001E53DC" w:rsidRDefault="00000000">
            <w:pPr>
              <w:spacing w:before="40" w:after="40" w:line="252" w:lineRule="auto"/>
            </w:pPr>
            <w:r>
              <w:rPr>
                <w:sz w:val="18"/>
              </w:rPr>
              <w:t>LUCAS 2009</w:t>
            </w:r>
            <w:r>
              <w:rPr>
                <w:sz w:val="18"/>
              </w:rPr>
              <w:br/>
              <w:t>(19,794 samples)</w:t>
            </w:r>
          </w:p>
        </w:tc>
        <w:tc>
          <w:tcPr>
            <w:tcW w:w="1872" w:type="dxa"/>
            <w:shd w:val="clear" w:color="auto" w:fill="F4F7FA"/>
            <w:tcMar>
              <w:top w:w="80" w:type="dxa"/>
              <w:left w:w="100" w:type="dxa"/>
              <w:bottom w:w="80" w:type="dxa"/>
              <w:right w:w="100" w:type="dxa"/>
            </w:tcMar>
          </w:tcPr>
          <w:p w14:paraId="1B12A188" w14:textId="77777777" w:rsidR="001E53DC" w:rsidRDefault="00000000">
            <w:pPr>
              <w:spacing w:before="40" w:after="40" w:line="252" w:lineRule="auto"/>
            </w:pPr>
            <w:r>
              <w:rPr>
                <w:sz w:val="18"/>
              </w:rPr>
              <w:t>Clay, Sand, Silt, pH, OC, N, CaCO3</w:t>
            </w:r>
          </w:p>
        </w:tc>
        <w:tc>
          <w:tcPr>
            <w:tcW w:w="1728" w:type="dxa"/>
            <w:shd w:val="clear" w:color="auto" w:fill="F4F7FA"/>
            <w:tcMar>
              <w:top w:w="80" w:type="dxa"/>
              <w:left w:w="100" w:type="dxa"/>
              <w:bottom w:w="80" w:type="dxa"/>
              <w:right w:w="100" w:type="dxa"/>
            </w:tcMar>
          </w:tcPr>
          <w:p w14:paraId="34CBA66A" w14:textId="77777777" w:rsidR="001E53DC" w:rsidRDefault="00000000">
            <w:pPr>
              <w:spacing w:before="40" w:after="40" w:line="252" w:lineRule="auto"/>
            </w:pPr>
            <w:r>
              <w:rPr>
                <w:sz w:val="18"/>
              </w:rPr>
              <w:t>1st derivative, Savitzky-Golay smoothing</w:t>
            </w:r>
          </w:p>
        </w:tc>
        <w:tc>
          <w:tcPr>
            <w:tcW w:w="1584" w:type="dxa"/>
            <w:shd w:val="clear" w:color="auto" w:fill="F4F7FA"/>
            <w:tcMar>
              <w:top w:w="80" w:type="dxa"/>
              <w:left w:w="100" w:type="dxa"/>
              <w:bottom w:w="80" w:type="dxa"/>
              <w:right w:w="100" w:type="dxa"/>
            </w:tcMar>
          </w:tcPr>
          <w:p w14:paraId="03BBF958" w14:textId="77777777" w:rsidR="001E53DC" w:rsidRDefault="00000000">
            <w:pPr>
              <w:spacing w:before="40" w:after="40" w:line="252" w:lineRule="auto"/>
            </w:pPr>
            <w:r>
              <w:rPr>
                <w:sz w:val="18"/>
              </w:rPr>
              <w:t>Deep 1D-CNN, Stacked Autoencoders, SVR, PLSR</w:t>
            </w:r>
          </w:p>
        </w:tc>
        <w:tc>
          <w:tcPr>
            <w:tcW w:w="1872" w:type="dxa"/>
            <w:shd w:val="clear" w:color="auto" w:fill="F4F7FA"/>
            <w:tcMar>
              <w:top w:w="80" w:type="dxa"/>
              <w:left w:w="100" w:type="dxa"/>
              <w:bottom w:w="80" w:type="dxa"/>
              <w:right w:w="100" w:type="dxa"/>
            </w:tcMar>
          </w:tcPr>
          <w:p w14:paraId="5D59475C" w14:textId="77777777" w:rsidR="001E53DC" w:rsidRDefault="00000000">
            <w:pPr>
              <w:spacing w:before="40" w:after="40" w:line="252" w:lineRule="auto"/>
            </w:pPr>
            <w:r>
              <w:rPr>
                <w:sz w:val="18"/>
              </w:rPr>
              <w:t>OC: R²=0.89, RMSE=8.1 g/kg</w:t>
            </w:r>
            <w:r>
              <w:rPr>
                <w:sz w:val="18"/>
              </w:rPr>
              <w:br/>
              <w:t>N: R²=0.86 (Tier B)</w:t>
            </w:r>
            <w:r>
              <w:rPr>
                <w:sz w:val="18"/>
              </w:rPr>
              <w:br/>
              <w:t>Deep learning outperformed SVR</w:t>
            </w:r>
          </w:p>
        </w:tc>
      </w:tr>
      <w:tr w:rsidR="001E53DC" w14:paraId="60C3CA15" w14:textId="77777777">
        <w:trPr>
          <w:jc w:val="center"/>
        </w:trPr>
        <w:tc>
          <w:tcPr>
            <w:tcW w:w="1584" w:type="dxa"/>
            <w:shd w:val="clear" w:color="auto" w:fill="FFFFFF"/>
            <w:tcMar>
              <w:top w:w="80" w:type="dxa"/>
              <w:left w:w="100" w:type="dxa"/>
              <w:bottom w:w="80" w:type="dxa"/>
              <w:right w:w="100" w:type="dxa"/>
            </w:tcMar>
          </w:tcPr>
          <w:p w14:paraId="179ED950" w14:textId="77777777" w:rsidR="001E53DC" w:rsidRDefault="00000000">
            <w:pPr>
              <w:spacing w:before="40" w:after="40" w:line="252" w:lineRule="auto"/>
            </w:pPr>
            <w:r>
              <w:rPr>
                <w:sz w:val="18"/>
              </w:rPr>
              <w:t>Viscarra Rossel &amp; Behrens (2010)</w:t>
            </w:r>
          </w:p>
        </w:tc>
        <w:tc>
          <w:tcPr>
            <w:tcW w:w="1440" w:type="dxa"/>
            <w:shd w:val="clear" w:color="auto" w:fill="FFFFFF"/>
            <w:tcMar>
              <w:top w:w="80" w:type="dxa"/>
              <w:left w:w="100" w:type="dxa"/>
              <w:bottom w:w="80" w:type="dxa"/>
              <w:right w:w="100" w:type="dxa"/>
            </w:tcMar>
          </w:tcPr>
          <w:p w14:paraId="44039799" w14:textId="77777777" w:rsidR="001E53DC" w:rsidRDefault="00000000">
            <w:pPr>
              <w:spacing w:before="40" w:after="40" w:line="252" w:lineRule="auto"/>
            </w:pPr>
            <w:r>
              <w:rPr>
                <w:sz w:val="18"/>
              </w:rPr>
              <w:t>Australian Soil Library</w:t>
            </w:r>
            <w:r>
              <w:rPr>
                <w:sz w:val="18"/>
              </w:rPr>
              <w:br/>
              <w:t>(4,000 samples)</w:t>
            </w:r>
          </w:p>
        </w:tc>
        <w:tc>
          <w:tcPr>
            <w:tcW w:w="1872" w:type="dxa"/>
            <w:shd w:val="clear" w:color="auto" w:fill="FFFFFF"/>
            <w:tcMar>
              <w:top w:w="80" w:type="dxa"/>
              <w:left w:w="100" w:type="dxa"/>
              <w:bottom w:w="80" w:type="dxa"/>
              <w:right w:w="100" w:type="dxa"/>
            </w:tcMar>
          </w:tcPr>
          <w:p w14:paraId="58DB91A3" w14:textId="77777777" w:rsidR="001E53DC" w:rsidRDefault="00000000">
            <w:pPr>
              <w:spacing w:before="40" w:after="40" w:line="252" w:lineRule="auto"/>
            </w:pPr>
            <w:r>
              <w:rPr>
                <w:sz w:val="18"/>
              </w:rPr>
              <w:t>SOC, Clay, Iron oxides, pH</w:t>
            </w:r>
          </w:p>
        </w:tc>
        <w:tc>
          <w:tcPr>
            <w:tcW w:w="1728" w:type="dxa"/>
            <w:shd w:val="clear" w:color="auto" w:fill="FFFFFF"/>
            <w:tcMar>
              <w:top w:w="80" w:type="dxa"/>
              <w:left w:w="100" w:type="dxa"/>
              <w:bottom w:w="80" w:type="dxa"/>
              <w:right w:w="100" w:type="dxa"/>
            </w:tcMar>
          </w:tcPr>
          <w:p w14:paraId="7A6EF7DF" w14:textId="77777777" w:rsidR="001E53DC" w:rsidRDefault="00000000">
            <w:pPr>
              <w:spacing w:before="40" w:after="40" w:line="252" w:lineRule="auto"/>
            </w:pPr>
            <w:r>
              <w:rPr>
                <w:sz w:val="18"/>
              </w:rPr>
              <w:t>Wavelet decomposition, SNV, 1st derivative</w:t>
            </w:r>
          </w:p>
        </w:tc>
        <w:tc>
          <w:tcPr>
            <w:tcW w:w="1584" w:type="dxa"/>
            <w:shd w:val="clear" w:color="auto" w:fill="FFFFFF"/>
            <w:tcMar>
              <w:top w:w="80" w:type="dxa"/>
              <w:left w:w="100" w:type="dxa"/>
              <w:bottom w:w="80" w:type="dxa"/>
              <w:right w:w="100" w:type="dxa"/>
            </w:tcMar>
          </w:tcPr>
          <w:p w14:paraId="0E28282A" w14:textId="77777777" w:rsidR="001E53DC" w:rsidRDefault="00000000">
            <w:pPr>
              <w:spacing w:before="40" w:after="40" w:line="252" w:lineRule="auto"/>
            </w:pPr>
            <w:r>
              <w:rPr>
                <w:sz w:val="18"/>
              </w:rPr>
              <w:t>SVM, Random Forest, PLSR, MARS</w:t>
            </w:r>
          </w:p>
        </w:tc>
        <w:tc>
          <w:tcPr>
            <w:tcW w:w="1872" w:type="dxa"/>
            <w:shd w:val="clear" w:color="auto" w:fill="FFFFFF"/>
            <w:tcMar>
              <w:top w:w="80" w:type="dxa"/>
              <w:left w:w="100" w:type="dxa"/>
              <w:bottom w:w="80" w:type="dxa"/>
              <w:right w:w="100" w:type="dxa"/>
            </w:tcMar>
          </w:tcPr>
          <w:p w14:paraId="35999A5E" w14:textId="77777777" w:rsidR="001E53DC" w:rsidRDefault="00000000">
            <w:pPr>
              <w:spacing w:before="40" w:after="40" w:line="252" w:lineRule="auto"/>
            </w:pPr>
            <w:r>
              <w:rPr>
                <w:sz w:val="18"/>
              </w:rPr>
              <w:t>SOC: R²=0.87, RPD=2.45 (C)</w:t>
            </w:r>
            <w:r>
              <w:rPr>
                <w:sz w:val="18"/>
              </w:rPr>
              <w:br/>
              <w:t>Clay: R²=0.91 (Tier A)</w:t>
            </w:r>
            <w:r>
              <w:rPr>
                <w:sz w:val="18"/>
              </w:rPr>
              <w:br/>
              <w:t>SVM superior on non-linear bonds</w:t>
            </w:r>
          </w:p>
        </w:tc>
      </w:tr>
      <w:tr w:rsidR="001E53DC" w14:paraId="37B64FD7" w14:textId="77777777">
        <w:trPr>
          <w:jc w:val="center"/>
        </w:trPr>
        <w:tc>
          <w:tcPr>
            <w:tcW w:w="1584" w:type="dxa"/>
            <w:shd w:val="clear" w:color="auto" w:fill="F4F7FA"/>
            <w:tcMar>
              <w:top w:w="80" w:type="dxa"/>
              <w:left w:w="100" w:type="dxa"/>
              <w:bottom w:w="80" w:type="dxa"/>
              <w:right w:w="100" w:type="dxa"/>
            </w:tcMar>
          </w:tcPr>
          <w:p w14:paraId="522C81D6" w14:textId="77777777" w:rsidR="001E53DC" w:rsidRDefault="00000000">
            <w:pPr>
              <w:spacing w:before="40" w:after="40" w:line="252" w:lineRule="auto"/>
            </w:pPr>
            <w:r>
              <w:rPr>
                <w:sz w:val="18"/>
              </w:rPr>
              <w:t>Wadoux et al. (2021)</w:t>
            </w:r>
          </w:p>
        </w:tc>
        <w:tc>
          <w:tcPr>
            <w:tcW w:w="1440" w:type="dxa"/>
            <w:shd w:val="clear" w:color="auto" w:fill="F4F7FA"/>
            <w:tcMar>
              <w:top w:w="80" w:type="dxa"/>
              <w:left w:w="100" w:type="dxa"/>
              <w:bottom w:w="80" w:type="dxa"/>
              <w:right w:w="100" w:type="dxa"/>
            </w:tcMar>
          </w:tcPr>
          <w:p w14:paraId="107DD266" w14:textId="77777777" w:rsidR="001E53DC" w:rsidRDefault="00000000">
            <w:pPr>
              <w:spacing w:before="40" w:after="40" w:line="252" w:lineRule="auto"/>
            </w:pPr>
            <w:r>
              <w:rPr>
                <w:sz w:val="18"/>
              </w:rPr>
              <w:t>LUCAS Topsoil EU</w:t>
            </w:r>
            <w:r>
              <w:rPr>
                <w:sz w:val="18"/>
              </w:rPr>
              <w:br/>
              <w:t>(18,500 samples)</w:t>
            </w:r>
          </w:p>
        </w:tc>
        <w:tc>
          <w:tcPr>
            <w:tcW w:w="1872" w:type="dxa"/>
            <w:shd w:val="clear" w:color="auto" w:fill="F4F7FA"/>
            <w:tcMar>
              <w:top w:w="80" w:type="dxa"/>
              <w:left w:w="100" w:type="dxa"/>
              <w:bottom w:w="80" w:type="dxa"/>
              <w:right w:w="100" w:type="dxa"/>
            </w:tcMar>
          </w:tcPr>
          <w:p w14:paraId="45FD5CDC" w14:textId="77777777" w:rsidR="001E53DC" w:rsidRDefault="00000000">
            <w:pPr>
              <w:spacing w:before="40" w:after="40" w:line="252" w:lineRule="auto"/>
            </w:pPr>
            <w:r>
              <w:rPr>
                <w:sz w:val="18"/>
              </w:rPr>
              <w:t>Soil Organic Carbon (SOC)</w:t>
            </w:r>
          </w:p>
        </w:tc>
        <w:tc>
          <w:tcPr>
            <w:tcW w:w="1728" w:type="dxa"/>
            <w:shd w:val="clear" w:color="auto" w:fill="F4F7FA"/>
            <w:tcMar>
              <w:top w:w="80" w:type="dxa"/>
              <w:left w:w="100" w:type="dxa"/>
              <w:bottom w:w="80" w:type="dxa"/>
              <w:right w:w="100" w:type="dxa"/>
            </w:tcMar>
          </w:tcPr>
          <w:p w14:paraId="23E03A8B" w14:textId="77777777" w:rsidR="001E53DC" w:rsidRDefault="00000000">
            <w:pPr>
              <w:spacing w:before="40" w:after="40" w:line="252" w:lineRule="auto"/>
            </w:pPr>
            <w:r>
              <w:rPr>
                <w:sz w:val="18"/>
              </w:rPr>
              <w:t>None vs Savitzky-Golay vs SNV</w:t>
            </w:r>
          </w:p>
        </w:tc>
        <w:tc>
          <w:tcPr>
            <w:tcW w:w="1584" w:type="dxa"/>
            <w:shd w:val="clear" w:color="auto" w:fill="F4F7FA"/>
            <w:tcMar>
              <w:top w:w="80" w:type="dxa"/>
              <w:left w:w="100" w:type="dxa"/>
              <w:bottom w:w="80" w:type="dxa"/>
              <w:right w:w="100" w:type="dxa"/>
            </w:tcMar>
          </w:tcPr>
          <w:p w14:paraId="6C329912" w14:textId="77777777" w:rsidR="001E53DC" w:rsidRDefault="00000000">
            <w:pPr>
              <w:spacing w:before="40" w:after="40" w:line="252" w:lineRule="auto"/>
            </w:pPr>
            <w:r>
              <w:rPr>
                <w:sz w:val="18"/>
              </w:rPr>
              <w:t>1D-CNN, Random Forest</w:t>
            </w:r>
            <w:r>
              <w:rPr>
                <w:sz w:val="18"/>
              </w:rPr>
              <w:br/>
              <w:t>[Spatial CV vs Random CV]</w:t>
            </w:r>
          </w:p>
        </w:tc>
        <w:tc>
          <w:tcPr>
            <w:tcW w:w="1872" w:type="dxa"/>
            <w:shd w:val="clear" w:color="auto" w:fill="F4F7FA"/>
            <w:tcMar>
              <w:top w:w="80" w:type="dxa"/>
              <w:left w:w="100" w:type="dxa"/>
              <w:bottom w:w="80" w:type="dxa"/>
              <w:right w:w="100" w:type="dxa"/>
            </w:tcMar>
          </w:tcPr>
          <w:p w14:paraId="6C2738AE" w14:textId="77777777" w:rsidR="001E53DC" w:rsidRDefault="00000000">
            <w:pPr>
              <w:spacing w:before="40" w:after="40" w:line="252" w:lineRule="auto"/>
            </w:pPr>
            <w:r>
              <w:rPr>
                <w:sz w:val="18"/>
              </w:rPr>
              <w:t>Random CV: R²=0.88, RPD=2.8</w:t>
            </w:r>
            <w:r>
              <w:rPr>
                <w:sz w:val="18"/>
              </w:rPr>
              <w:br/>
              <w:t>Spatial Block CV: R²=0.64, RPD=1.7</w:t>
            </w:r>
            <w:r>
              <w:rPr>
                <w:sz w:val="18"/>
              </w:rPr>
              <w:br/>
              <w:t>Proved random CV inflates R²!</w:t>
            </w:r>
          </w:p>
        </w:tc>
      </w:tr>
      <w:tr w:rsidR="001E53DC" w14:paraId="7DE52FC1" w14:textId="77777777">
        <w:trPr>
          <w:jc w:val="center"/>
        </w:trPr>
        <w:tc>
          <w:tcPr>
            <w:tcW w:w="1584" w:type="dxa"/>
            <w:shd w:val="clear" w:color="auto" w:fill="FFFFFF"/>
            <w:tcMar>
              <w:top w:w="80" w:type="dxa"/>
              <w:left w:w="100" w:type="dxa"/>
              <w:bottom w:w="80" w:type="dxa"/>
              <w:right w:w="100" w:type="dxa"/>
            </w:tcMar>
          </w:tcPr>
          <w:p w14:paraId="6821C2D8" w14:textId="77777777" w:rsidR="001E53DC" w:rsidRDefault="00000000">
            <w:pPr>
              <w:spacing w:before="40" w:after="40" w:line="252" w:lineRule="auto"/>
            </w:pPr>
            <w:r>
              <w:rPr>
                <w:sz w:val="18"/>
              </w:rPr>
              <w:t>Stenberg et al. (2010)</w:t>
            </w:r>
          </w:p>
        </w:tc>
        <w:tc>
          <w:tcPr>
            <w:tcW w:w="1440" w:type="dxa"/>
            <w:shd w:val="clear" w:color="auto" w:fill="FFFFFF"/>
            <w:tcMar>
              <w:top w:w="80" w:type="dxa"/>
              <w:left w:w="100" w:type="dxa"/>
              <w:bottom w:w="80" w:type="dxa"/>
              <w:right w:w="100" w:type="dxa"/>
            </w:tcMar>
          </w:tcPr>
          <w:p w14:paraId="723CCD34" w14:textId="77777777" w:rsidR="001E53DC" w:rsidRDefault="00000000">
            <w:pPr>
              <w:spacing w:before="40" w:after="40" w:line="252" w:lineRule="auto"/>
            </w:pPr>
            <w:r>
              <w:rPr>
                <w:sz w:val="18"/>
              </w:rPr>
              <w:t>Global Review Paper</w:t>
            </w:r>
            <w:r>
              <w:rPr>
                <w:sz w:val="18"/>
              </w:rPr>
              <w:br/>
              <w:t>(Meta-Analysis)</w:t>
            </w:r>
          </w:p>
        </w:tc>
        <w:tc>
          <w:tcPr>
            <w:tcW w:w="1872" w:type="dxa"/>
            <w:shd w:val="clear" w:color="auto" w:fill="FFFFFF"/>
            <w:tcMar>
              <w:top w:w="80" w:type="dxa"/>
              <w:left w:w="100" w:type="dxa"/>
              <w:bottom w:w="80" w:type="dxa"/>
              <w:right w:w="100" w:type="dxa"/>
            </w:tcMar>
          </w:tcPr>
          <w:p w14:paraId="219943F2" w14:textId="77777777" w:rsidR="001E53DC" w:rsidRDefault="00000000">
            <w:pPr>
              <w:spacing w:before="40" w:after="40" w:line="252" w:lineRule="auto"/>
            </w:pPr>
            <w:r>
              <w:rPr>
                <w:sz w:val="18"/>
              </w:rPr>
              <w:t>SOC, Clay, Soil Moisture, Total Nitrogen</w:t>
            </w:r>
          </w:p>
        </w:tc>
        <w:tc>
          <w:tcPr>
            <w:tcW w:w="1728" w:type="dxa"/>
            <w:shd w:val="clear" w:color="auto" w:fill="FFFFFF"/>
            <w:tcMar>
              <w:top w:w="80" w:type="dxa"/>
              <w:left w:w="100" w:type="dxa"/>
              <w:bottom w:w="80" w:type="dxa"/>
              <w:right w:w="100" w:type="dxa"/>
            </w:tcMar>
          </w:tcPr>
          <w:p w14:paraId="0FD05EBA" w14:textId="77777777" w:rsidR="001E53DC" w:rsidRDefault="00000000">
            <w:pPr>
              <w:spacing w:before="40" w:after="40" w:line="252" w:lineRule="auto"/>
            </w:pPr>
            <w:r>
              <w:rPr>
                <w:sz w:val="18"/>
              </w:rPr>
              <w:t>Comparative review of SNV, MSC, 1st/2nd derivatives</w:t>
            </w:r>
          </w:p>
        </w:tc>
        <w:tc>
          <w:tcPr>
            <w:tcW w:w="1584" w:type="dxa"/>
            <w:shd w:val="clear" w:color="auto" w:fill="FFFFFF"/>
            <w:tcMar>
              <w:top w:w="80" w:type="dxa"/>
              <w:left w:w="100" w:type="dxa"/>
              <w:bottom w:w="80" w:type="dxa"/>
              <w:right w:w="100" w:type="dxa"/>
            </w:tcMar>
          </w:tcPr>
          <w:p w14:paraId="47CEC7CF" w14:textId="77777777" w:rsidR="001E53DC" w:rsidRDefault="00000000">
            <w:pPr>
              <w:spacing w:before="40" w:after="40" w:line="252" w:lineRule="auto"/>
            </w:pPr>
            <w:r>
              <w:rPr>
                <w:sz w:val="18"/>
              </w:rPr>
              <w:t>PLSR, PCR, MLR, SVR</w:t>
            </w:r>
          </w:p>
        </w:tc>
        <w:tc>
          <w:tcPr>
            <w:tcW w:w="1872" w:type="dxa"/>
            <w:shd w:val="clear" w:color="auto" w:fill="FFFFFF"/>
            <w:tcMar>
              <w:top w:w="80" w:type="dxa"/>
              <w:left w:w="100" w:type="dxa"/>
              <w:bottom w:w="80" w:type="dxa"/>
              <w:right w:w="100" w:type="dxa"/>
            </w:tcMar>
          </w:tcPr>
          <w:p w14:paraId="62D4198D" w14:textId="77777777" w:rsidR="001E53DC" w:rsidRDefault="00000000">
            <w:pPr>
              <w:spacing w:before="40" w:after="40" w:line="252" w:lineRule="auto"/>
            </w:pPr>
            <w:r>
              <w:rPr>
                <w:sz w:val="18"/>
              </w:rPr>
              <w:t>SOC: R²=0.80 – 0.92 (Lab dry)</w:t>
            </w:r>
            <w:r>
              <w:rPr>
                <w:sz w:val="18"/>
              </w:rPr>
              <w:br/>
              <w:t>Field performance drops 40%</w:t>
            </w:r>
            <w:r>
              <w:rPr>
                <w:sz w:val="18"/>
              </w:rPr>
              <w:br/>
              <w:t>due to moisture interference</w:t>
            </w:r>
          </w:p>
        </w:tc>
      </w:tr>
      <w:tr w:rsidR="001E53DC" w14:paraId="45022BD7" w14:textId="77777777">
        <w:trPr>
          <w:jc w:val="center"/>
        </w:trPr>
        <w:tc>
          <w:tcPr>
            <w:tcW w:w="1584" w:type="dxa"/>
            <w:shd w:val="clear" w:color="auto" w:fill="F4F7FA"/>
            <w:tcMar>
              <w:top w:w="80" w:type="dxa"/>
              <w:left w:w="100" w:type="dxa"/>
              <w:bottom w:w="80" w:type="dxa"/>
              <w:right w:w="100" w:type="dxa"/>
            </w:tcMar>
          </w:tcPr>
          <w:p w14:paraId="5C65F0C7" w14:textId="77777777" w:rsidR="001E53DC" w:rsidRDefault="00000000">
            <w:pPr>
              <w:spacing w:before="40" w:after="40" w:line="252" w:lineRule="auto"/>
            </w:pPr>
            <w:r>
              <w:rPr>
                <w:sz w:val="18"/>
              </w:rPr>
              <w:t>Nocita et al. (2015)</w:t>
            </w:r>
          </w:p>
        </w:tc>
        <w:tc>
          <w:tcPr>
            <w:tcW w:w="1440" w:type="dxa"/>
            <w:shd w:val="clear" w:color="auto" w:fill="F4F7FA"/>
            <w:tcMar>
              <w:top w:w="80" w:type="dxa"/>
              <w:left w:w="100" w:type="dxa"/>
              <w:bottom w:w="80" w:type="dxa"/>
              <w:right w:w="100" w:type="dxa"/>
            </w:tcMar>
          </w:tcPr>
          <w:p w14:paraId="4DD2F143" w14:textId="77777777" w:rsidR="001E53DC" w:rsidRDefault="00000000">
            <w:pPr>
              <w:spacing w:before="40" w:after="40" w:line="252" w:lineRule="auto"/>
            </w:pPr>
            <w:r>
              <w:rPr>
                <w:sz w:val="18"/>
              </w:rPr>
              <w:t>Global Soil Coalition</w:t>
            </w:r>
            <w:r>
              <w:rPr>
                <w:sz w:val="18"/>
              </w:rPr>
              <w:br/>
              <w:t>(6,000 samples)</w:t>
            </w:r>
          </w:p>
        </w:tc>
        <w:tc>
          <w:tcPr>
            <w:tcW w:w="1872" w:type="dxa"/>
            <w:shd w:val="clear" w:color="auto" w:fill="F4F7FA"/>
            <w:tcMar>
              <w:top w:w="80" w:type="dxa"/>
              <w:left w:w="100" w:type="dxa"/>
              <w:bottom w:w="80" w:type="dxa"/>
              <w:right w:w="100" w:type="dxa"/>
            </w:tcMar>
          </w:tcPr>
          <w:p w14:paraId="307E718E" w14:textId="77777777" w:rsidR="001E53DC" w:rsidRDefault="00000000">
            <w:pPr>
              <w:spacing w:before="40" w:after="40" w:line="252" w:lineRule="auto"/>
            </w:pPr>
            <w:r>
              <w:rPr>
                <w:sz w:val="18"/>
              </w:rPr>
              <w:t>Soil Organic Carbon (SOC)</w:t>
            </w:r>
          </w:p>
        </w:tc>
        <w:tc>
          <w:tcPr>
            <w:tcW w:w="1728" w:type="dxa"/>
            <w:shd w:val="clear" w:color="auto" w:fill="F4F7FA"/>
            <w:tcMar>
              <w:top w:w="80" w:type="dxa"/>
              <w:left w:w="100" w:type="dxa"/>
              <w:bottom w:w="80" w:type="dxa"/>
              <w:right w:w="100" w:type="dxa"/>
            </w:tcMar>
          </w:tcPr>
          <w:p w14:paraId="7DD722BC" w14:textId="77777777" w:rsidR="001E53DC" w:rsidRDefault="00000000">
            <w:pPr>
              <w:spacing w:before="40" w:after="40" w:line="252" w:lineRule="auto"/>
            </w:pPr>
            <w:r>
              <w:rPr>
                <w:sz w:val="18"/>
              </w:rPr>
              <w:t>Standard Normal Variate (SNV), Baseline drift</w:t>
            </w:r>
          </w:p>
        </w:tc>
        <w:tc>
          <w:tcPr>
            <w:tcW w:w="1584" w:type="dxa"/>
            <w:shd w:val="clear" w:color="auto" w:fill="F4F7FA"/>
            <w:tcMar>
              <w:top w:w="80" w:type="dxa"/>
              <w:left w:w="100" w:type="dxa"/>
              <w:bottom w:w="80" w:type="dxa"/>
              <w:right w:w="100" w:type="dxa"/>
            </w:tcMar>
          </w:tcPr>
          <w:p w14:paraId="415C7172" w14:textId="77777777" w:rsidR="001E53DC" w:rsidRDefault="00000000">
            <w:pPr>
              <w:spacing w:before="40" w:after="40" w:line="252" w:lineRule="auto"/>
            </w:pPr>
            <w:r>
              <w:rPr>
                <w:sz w:val="18"/>
              </w:rPr>
              <w:t>Local PLSR, Memory-Based Learning (MBL)</w:t>
            </w:r>
          </w:p>
        </w:tc>
        <w:tc>
          <w:tcPr>
            <w:tcW w:w="1872" w:type="dxa"/>
            <w:shd w:val="clear" w:color="auto" w:fill="F4F7FA"/>
            <w:tcMar>
              <w:top w:w="80" w:type="dxa"/>
              <w:left w:w="100" w:type="dxa"/>
              <w:bottom w:w="80" w:type="dxa"/>
              <w:right w:w="100" w:type="dxa"/>
            </w:tcMar>
          </w:tcPr>
          <w:p w14:paraId="1278F2AA" w14:textId="77777777" w:rsidR="001E53DC" w:rsidRDefault="00000000">
            <w:pPr>
              <w:spacing w:before="40" w:after="40" w:line="252" w:lineRule="auto"/>
            </w:pPr>
            <w:r>
              <w:rPr>
                <w:sz w:val="18"/>
              </w:rPr>
              <w:t>SOC: R²=0.79, RPD=2.12 (C)</w:t>
            </w:r>
            <w:r>
              <w:rPr>
                <w:sz w:val="18"/>
              </w:rPr>
              <w:br/>
              <w:t>Identified 1400/1900 nm water</w:t>
            </w:r>
            <w:r>
              <w:rPr>
                <w:sz w:val="18"/>
              </w:rPr>
              <w:br/>
            </w:r>
            <w:r>
              <w:rPr>
                <w:sz w:val="18"/>
              </w:rPr>
              <w:lastRenderedPageBreak/>
              <w:t>troughs as primary error sources</w:t>
            </w:r>
          </w:p>
        </w:tc>
      </w:tr>
      <w:tr w:rsidR="001E53DC" w14:paraId="041E5B2F" w14:textId="77777777">
        <w:trPr>
          <w:jc w:val="center"/>
        </w:trPr>
        <w:tc>
          <w:tcPr>
            <w:tcW w:w="1584" w:type="dxa"/>
            <w:shd w:val="clear" w:color="auto" w:fill="FFFFFF"/>
            <w:tcMar>
              <w:top w:w="80" w:type="dxa"/>
              <w:left w:w="100" w:type="dxa"/>
              <w:bottom w:w="80" w:type="dxa"/>
              <w:right w:w="100" w:type="dxa"/>
            </w:tcMar>
          </w:tcPr>
          <w:p w14:paraId="7F58A6E7" w14:textId="77777777" w:rsidR="001E53DC" w:rsidRDefault="00000000">
            <w:pPr>
              <w:spacing w:before="40" w:after="40" w:line="252" w:lineRule="auto"/>
            </w:pPr>
            <w:r>
              <w:rPr>
                <w:sz w:val="18"/>
              </w:rPr>
              <w:lastRenderedPageBreak/>
              <w:t>Castaldi et al. (2018)</w:t>
            </w:r>
          </w:p>
        </w:tc>
        <w:tc>
          <w:tcPr>
            <w:tcW w:w="1440" w:type="dxa"/>
            <w:shd w:val="clear" w:color="auto" w:fill="FFFFFF"/>
            <w:tcMar>
              <w:top w:w="80" w:type="dxa"/>
              <w:left w:w="100" w:type="dxa"/>
              <w:bottom w:w="80" w:type="dxa"/>
              <w:right w:w="100" w:type="dxa"/>
            </w:tcMar>
          </w:tcPr>
          <w:p w14:paraId="0707D6EB" w14:textId="77777777" w:rsidR="001E53DC" w:rsidRDefault="00000000">
            <w:pPr>
              <w:spacing w:before="40" w:after="40" w:line="252" w:lineRule="auto"/>
            </w:pPr>
            <w:r>
              <w:rPr>
                <w:sz w:val="18"/>
              </w:rPr>
              <w:t>Airborne APEX + ASD</w:t>
            </w:r>
            <w:r>
              <w:rPr>
                <w:sz w:val="18"/>
              </w:rPr>
              <w:br/>
              <w:t>(Field croplands)</w:t>
            </w:r>
          </w:p>
        </w:tc>
        <w:tc>
          <w:tcPr>
            <w:tcW w:w="1872" w:type="dxa"/>
            <w:shd w:val="clear" w:color="auto" w:fill="FFFFFF"/>
            <w:tcMar>
              <w:top w:w="80" w:type="dxa"/>
              <w:left w:w="100" w:type="dxa"/>
              <w:bottom w:w="80" w:type="dxa"/>
              <w:right w:w="100" w:type="dxa"/>
            </w:tcMar>
          </w:tcPr>
          <w:p w14:paraId="52CCB788" w14:textId="77777777" w:rsidR="001E53DC" w:rsidRDefault="00000000">
            <w:pPr>
              <w:spacing w:before="40" w:after="40" w:line="252" w:lineRule="auto"/>
            </w:pPr>
            <w:r>
              <w:rPr>
                <w:sz w:val="18"/>
              </w:rPr>
              <w:t>Soil Organic Carbon (SOC)</w:t>
            </w:r>
          </w:p>
        </w:tc>
        <w:tc>
          <w:tcPr>
            <w:tcW w:w="1728" w:type="dxa"/>
            <w:shd w:val="clear" w:color="auto" w:fill="FFFFFF"/>
            <w:tcMar>
              <w:top w:w="80" w:type="dxa"/>
              <w:left w:w="100" w:type="dxa"/>
              <w:bottom w:w="80" w:type="dxa"/>
              <w:right w:w="100" w:type="dxa"/>
            </w:tcMar>
          </w:tcPr>
          <w:p w14:paraId="12A9C529" w14:textId="77777777" w:rsidR="001E53DC" w:rsidRDefault="00000000">
            <w:pPr>
              <w:spacing w:before="40" w:after="40" w:line="252" w:lineRule="auto"/>
            </w:pPr>
            <w:r>
              <w:rPr>
                <w:sz w:val="18"/>
              </w:rPr>
              <w:t>Radiance to surface reflectance, Savitzky-Golay</w:t>
            </w:r>
          </w:p>
        </w:tc>
        <w:tc>
          <w:tcPr>
            <w:tcW w:w="1584" w:type="dxa"/>
            <w:shd w:val="clear" w:color="auto" w:fill="FFFFFF"/>
            <w:tcMar>
              <w:top w:w="80" w:type="dxa"/>
              <w:left w:w="100" w:type="dxa"/>
              <w:bottom w:w="80" w:type="dxa"/>
              <w:right w:w="100" w:type="dxa"/>
            </w:tcMar>
          </w:tcPr>
          <w:p w14:paraId="15FD66D3" w14:textId="77777777" w:rsidR="001E53DC" w:rsidRDefault="00000000">
            <w:pPr>
              <w:spacing w:before="40" w:after="40" w:line="252" w:lineRule="auto"/>
            </w:pPr>
            <w:r>
              <w:rPr>
                <w:sz w:val="18"/>
              </w:rPr>
              <w:t>PLSR, Random Forest Regression</w:t>
            </w:r>
          </w:p>
        </w:tc>
        <w:tc>
          <w:tcPr>
            <w:tcW w:w="1872" w:type="dxa"/>
            <w:shd w:val="clear" w:color="auto" w:fill="FFFFFF"/>
            <w:tcMar>
              <w:top w:w="80" w:type="dxa"/>
              <w:left w:w="100" w:type="dxa"/>
              <w:bottom w:w="80" w:type="dxa"/>
              <w:right w:w="100" w:type="dxa"/>
            </w:tcMar>
          </w:tcPr>
          <w:p w14:paraId="355E7795" w14:textId="77777777" w:rsidR="001E53DC" w:rsidRDefault="00000000">
            <w:pPr>
              <w:spacing w:before="40" w:after="40" w:line="252" w:lineRule="auto"/>
            </w:pPr>
            <w:r>
              <w:rPr>
                <w:sz w:val="18"/>
              </w:rPr>
              <w:t>SOC: R²=0.68, RPD=1.78 (D)</w:t>
            </w:r>
            <w:r>
              <w:rPr>
                <w:sz w:val="18"/>
              </w:rPr>
              <w:br/>
              <w:t>Airborne UAV mapping viable but</w:t>
            </w:r>
            <w:r>
              <w:rPr>
                <w:sz w:val="18"/>
              </w:rPr>
              <w:br/>
              <w:t>hindered by surface soil moisture</w:t>
            </w:r>
          </w:p>
        </w:tc>
      </w:tr>
      <w:tr w:rsidR="001E53DC" w14:paraId="41D571CA" w14:textId="77777777">
        <w:trPr>
          <w:jc w:val="center"/>
        </w:trPr>
        <w:tc>
          <w:tcPr>
            <w:tcW w:w="1584" w:type="dxa"/>
            <w:shd w:val="clear" w:color="auto" w:fill="F4F7FA"/>
            <w:tcMar>
              <w:top w:w="80" w:type="dxa"/>
              <w:left w:w="100" w:type="dxa"/>
              <w:bottom w:w="80" w:type="dxa"/>
              <w:right w:w="100" w:type="dxa"/>
            </w:tcMar>
          </w:tcPr>
          <w:p w14:paraId="1B9CDB90" w14:textId="77777777" w:rsidR="001E53DC" w:rsidRDefault="00000000">
            <w:pPr>
              <w:spacing w:before="40" w:after="40" w:line="252" w:lineRule="auto"/>
            </w:pPr>
            <w:r>
              <w:rPr>
                <w:sz w:val="18"/>
              </w:rPr>
              <w:t>Rienzi et al. (2014)</w:t>
            </w:r>
          </w:p>
        </w:tc>
        <w:tc>
          <w:tcPr>
            <w:tcW w:w="1440" w:type="dxa"/>
            <w:shd w:val="clear" w:color="auto" w:fill="F4F7FA"/>
            <w:tcMar>
              <w:top w:w="80" w:type="dxa"/>
              <w:left w:w="100" w:type="dxa"/>
              <w:bottom w:w="80" w:type="dxa"/>
              <w:right w:w="100" w:type="dxa"/>
            </w:tcMar>
          </w:tcPr>
          <w:p w14:paraId="6B9FF3B5" w14:textId="77777777" w:rsidR="001E53DC" w:rsidRDefault="00000000">
            <w:pPr>
              <w:spacing w:before="40" w:after="40" w:line="252" w:lineRule="auto"/>
            </w:pPr>
            <w:r>
              <w:rPr>
                <w:sz w:val="18"/>
              </w:rPr>
              <w:t>US Midwest Soils</w:t>
            </w:r>
            <w:r>
              <w:rPr>
                <w:sz w:val="18"/>
              </w:rPr>
              <w:br/>
              <w:t>(600 field samples)</w:t>
            </w:r>
          </w:p>
        </w:tc>
        <w:tc>
          <w:tcPr>
            <w:tcW w:w="1872" w:type="dxa"/>
            <w:shd w:val="clear" w:color="auto" w:fill="F4F7FA"/>
            <w:tcMar>
              <w:top w:w="80" w:type="dxa"/>
              <w:left w:w="100" w:type="dxa"/>
              <w:bottom w:w="80" w:type="dxa"/>
              <w:right w:w="100" w:type="dxa"/>
            </w:tcMar>
          </w:tcPr>
          <w:p w14:paraId="72556322" w14:textId="77777777" w:rsidR="001E53DC" w:rsidRDefault="00000000">
            <w:pPr>
              <w:spacing w:before="40" w:after="40" w:line="252" w:lineRule="auto"/>
            </w:pPr>
            <w:r>
              <w:rPr>
                <w:sz w:val="18"/>
              </w:rPr>
              <w:t>Total Nitrogen, Soil Organic Carbon</w:t>
            </w:r>
          </w:p>
        </w:tc>
        <w:tc>
          <w:tcPr>
            <w:tcW w:w="1728" w:type="dxa"/>
            <w:shd w:val="clear" w:color="auto" w:fill="F4F7FA"/>
            <w:tcMar>
              <w:top w:w="80" w:type="dxa"/>
              <w:left w:w="100" w:type="dxa"/>
              <w:bottom w:w="80" w:type="dxa"/>
              <w:right w:w="100" w:type="dxa"/>
            </w:tcMar>
          </w:tcPr>
          <w:p w14:paraId="50C8FD45" w14:textId="77777777" w:rsidR="001E53DC" w:rsidRDefault="00000000">
            <w:pPr>
              <w:spacing w:before="40" w:after="40" w:line="252" w:lineRule="auto"/>
            </w:pPr>
            <w:r>
              <w:rPr>
                <w:sz w:val="18"/>
              </w:rPr>
              <w:t>Upper Convex Hull Continuum Removal, Baseline fix</w:t>
            </w:r>
          </w:p>
        </w:tc>
        <w:tc>
          <w:tcPr>
            <w:tcW w:w="1584" w:type="dxa"/>
            <w:shd w:val="clear" w:color="auto" w:fill="F4F7FA"/>
            <w:tcMar>
              <w:top w:w="80" w:type="dxa"/>
              <w:left w:w="100" w:type="dxa"/>
              <w:bottom w:w="80" w:type="dxa"/>
              <w:right w:w="100" w:type="dxa"/>
            </w:tcMar>
          </w:tcPr>
          <w:p w14:paraId="49A92BE3" w14:textId="77777777" w:rsidR="001E53DC" w:rsidRDefault="00000000">
            <w:pPr>
              <w:spacing w:before="40" w:after="40" w:line="252" w:lineRule="auto"/>
            </w:pPr>
            <w:r>
              <w:rPr>
                <w:sz w:val="18"/>
              </w:rPr>
              <w:t>PLSR, Stepwise MLR</w:t>
            </w:r>
          </w:p>
        </w:tc>
        <w:tc>
          <w:tcPr>
            <w:tcW w:w="1872" w:type="dxa"/>
            <w:shd w:val="clear" w:color="auto" w:fill="F4F7FA"/>
            <w:tcMar>
              <w:top w:w="80" w:type="dxa"/>
              <w:left w:w="100" w:type="dxa"/>
              <w:bottom w:w="80" w:type="dxa"/>
              <w:right w:w="100" w:type="dxa"/>
            </w:tcMar>
          </w:tcPr>
          <w:p w14:paraId="7A058BE9" w14:textId="77777777" w:rsidR="001E53DC" w:rsidRDefault="00000000">
            <w:pPr>
              <w:spacing w:before="40" w:after="40" w:line="252" w:lineRule="auto"/>
            </w:pPr>
            <w:r>
              <w:rPr>
                <w:sz w:val="18"/>
              </w:rPr>
              <w:t>N: R²=0.83, RPD=2.31 (C)</w:t>
            </w:r>
            <w:r>
              <w:rPr>
                <w:sz w:val="18"/>
              </w:rPr>
              <w:br/>
              <w:t>OC: R²=0.85, RPD=2.42 (C)</w:t>
            </w:r>
            <w:r>
              <w:rPr>
                <w:sz w:val="18"/>
              </w:rPr>
              <w:br/>
              <w:t>Continuum removal isolated N peaks</w:t>
            </w:r>
          </w:p>
        </w:tc>
      </w:tr>
      <w:tr w:rsidR="001E53DC" w14:paraId="5C803D27" w14:textId="77777777">
        <w:trPr>
          <w:jc w:val="center"/>
        </w:trPr>
        <w:tc>
          <w:tcPr>
            <w:tcW w:w="1584" w:type="dxa"/>
            <w:shd w:val="clear" w:color="auto" w:fill="FFFFFF"/>
            <w:tcMar>
              <w:top w:w="80" w:type="dxa"/>
              <w:left w:w="100" w:type="dxa"/>
              <w:bottom w:w="80" w:type="dxa"/>
              <w:right w:w="100" w:type="dxa"/>
            </w:tcMar>
          </w:tcPr>
          <w:p w14:paraId="347B2DDF" w14:textId="77777777" w:rsidR="001E53DC" w:rsidRDefault="00000000">
            <w:pPr>
              <w:spacing w:before="40" w:after="40" w:line="252" w:lineRule="auto"/>
            </w:pPr>
            <w:r>
              <w:rPr>
                <w:sz w:val="18"/>
              </w:rPr>
              <w:t>Liu et al. (2020)</w:t>
            </w:r>
          </w:p>
        </w:tc>
        <w:tc>
          <w:tcPr>
            <w:tcW w:w="1440" w:type="dxa"/>
            <w:shd w:val="clear" w:color="auto" w:fill="FFFFFF"/>
            <w:tcMar>
              <w:top w:w="80" w:type="dxa"/>
              <w:left w:w="100" w:type="dxa"/>
              <w:bottom w:w="80" w:type="dxa"/>
              <w:right w:w="100" w:type="dxa"/>
            </w:tcMar>
          </w:tcPr>
          <w:p w14:paraId="749B9588" w14:textId="77777777" w:rsidR="001E53DC" w:rsidRDefault="00000000">
            <w:pPr>
              <w:spacing w:before="40" w:after="40" w:line="252" w:lineRule="auto"/>
            </w:pPr>
            <w:r>
              <w:rPr>
                <w:sz w:val="18"/>
              </w:rPr>
              <w:t>Chinese Mollisols</w:t>
            </w:r>
            <w:r>
              <w:rPr>
                <w:sz w:val="18"/>
              </w:rPr>
              <w:br/>
              <w:t>(450 core samples)</w:t>
            </w:r>
          </w:p>
        </w:tc>
        <w:tc>
          <w:tcPr>
            <w:tcW w:w="1872" w:type="dxa"/>
            <w:shd w:val="clear" w:color="auto" w:fill="FFFFFF"/>
            <w:tcMar>
              <w:top w:w="80" w:type="dxa"/>
              <w:left w:w="100" w:type="dxa"/>
              <w:bottom w:w="80" w:type="dxa"/>
              <w:right w:w="100" w:type="dxa"/>
            </w:tcMar>
          </w:tcPr>
          <w:p w14:paraId="0FC4743A" w14:textId="77777777" w:rsidR="001E53DC" w:rsidRDefault="00000000">
            <w:pPr>
              <w:spacing w:before="40" w:after="40" w:line="252" w:lineRule="auto"/>
            </w:pPr>
            <w:r>
              <w:rPr>
                <w:sz w:val="18"/>
              </w:rPr>
              <w:t>SOC, Total N, Available P, Extractable K</w:t>
            </w:r>
          </w:p>
        </w:tc>
        <w:tc>
          <w:tcPr>
            <w:tcW w:w="1728" w:type="dxa"/>
            <w:shd w:val="clear" w:color="auto" w:fill="FFFFFF"/>
            <w:tcMar>
              <w:top w:w="80" w:type="dxa"/>
              <w:left w:w="100" w:type="dxa"/>
              <w:bottom w:w="80" w:type="dxa"/>
              <w:right w:w="100" w:type="dxa"/>
            </w:tcMar>
          </w:tcPr>
          <w:p w14:paraId="7EAB853F" w14:textId="77777777" w:rsidR="001E53DC" w:rsidRDefault="00000000">
            <w:pPr>
              <w:spacing w:before="40" w:after="40" w:line="252" w:lineRule="auto"/>
            </w:pPr>
            <w:r>
              <w:rPr>
                <w:sz w:val="18"/>
              </w:rPr>
              <w:t>SNV, Fractional-order derivatives (0.2 – 1.8)</w:t>
            </w:r>
          </w:p>
        </w:tc>
        <w:tc>
          <w:tcPr>
            <w:tcW w:w="1584" w:type="dxa"/>
            <w:shd w:val="clear" w:color="auto" w:fill="FFFFFF"/>
            <w:tcMar>
              <w:top w:w="80" w:type="dxa"/>
              <w:left w:w="100" w:type="dxa"/>
              <w:bottom w:w="80" w:type="dxa"/>
              <w:right w:w="100" w:type="dxa"/>
            </w:tcMar>
          </w:tcPr>
          <w:p w14:paraId="1523BA39" w14:textId="77777777" w:rsidR="001E53DC" w:rsidRDefault="00000000">
            <w:pPr>
              <w:spacing w:before="40" w:after="40" w:line="252" w:lineRule="auto"/>
            </w:pPr>
            <w:r>
              <w:rPr>
                <w:sz w:val="18"/>
              </w:rPr>
              <w:t>Random Forest, Cubist, PLSR</w:t>
            </w:r>
          </w:p>
        </w:tc>
        <w:tc>
          <w:tcPr>
            <w:tcW w:w="1872" w:type="dxa"/>
            <w:shd w:val="clear" w:color="auto" w:fill="FFFFFF"/>
            <w:tcMar>
              <w:top w:w="80" w:type="dxa"/>
              <w:left w:w="100" w:type="dxa"/>
              <w:bottom w:w="80" w:type="dxa"/>
              <w:right w:w="100" w:type="dxa"/>
            </w:tcMar>
          </w:tcPr>
          <w:p w14:paraId="16ABEBC2" w14:textId="77777777" w:rsidR="001E53DC" w:rsidRDefault="00000000">
            <w:pPr>
              <w:spacing w:before="40" w:after="40" w:line="252" w:lineRule="auto"/>
            </w:pPr>
            <w:r>
              <w:rPr>
                <w:sz w:val="18"/>
              </w:rPr>
              <w:t>SOC: R²=0.88, RPD=2.74 (B)</w:t>
            </w:r>
            <w:r>
              <w:rPr>
                <w:sz w:val="18"/>
              </w:rPr>
              <w:br/>
              <w:t>N: R²=0.84 (B), P: R²=0.58 (D)</w:t>
            </w:r>
            <w:r>
              <w:rPr>
                <w:sz w:val="18"/>
              </w:rPr>
              <w:br/>
              <w:t>Fractional derivatives helped P/K</w:t>
            </w:r>
          </w:p>
        </w:tc>
      </w:tr>
      <w:tr w:rsidR="001E53DC" w14:paraId="3EA1AF96" w14:textId="77777777">
        <w:trPr>
          <w:jc w:val="center"/>
        </w:trPr>
        <w:tc>
          <w:tcPr>
            <w:tcW w:w="1584" w:type="dxa"/>
            <w:shd w:val="clear" w:color="auto" w:fill="F4F7FA"/>
            <w:tcMar>
              <w:top w:w="80" w:type="dxa"/>
              <w:left w:w="100" w:type="dxa"/>
              <w:bottom w:w="80" w:type="dxa"/>
              <w:right w:w="100" w:type="dxa"/>
            </w:tcMar>
          </w:tcPr>
          <w:p w14:paraId="3EB6EC8A" w14:textId="77777777" w:rsidR="001E53DC" w:rsidRDefault="00000000">
            <w:pPr>
              <w:spacing w:before="40" w:after="40" w:line="252" w:lineRule="auto"/>
            </w:pPr>
            <w:r>
              <w:rPr>
                <w:sz w:val="18"/>
              </w:rPr>
              <w:t>Gholizadeh et al. (2018)</w:t>
            </w:r>
          </w:p>
        </w:tc>
        <w:tc>
          <w:tcPr>
            <w:tcW w:w="1440" w:type="dxa"/>
            <w:shd w:val="clear" w:color="auto" w:fill="F4F7FA"/>
            <w:tcMar>
              <w:top w:w="80" w:type="dxa"/>
              <w:left w:w="100" w:type="dxa"/>
              <w:bottom w:w="80" w:type="dxa"/>
              <w:right w:w="100" w:type="dxa"/>
            </w:tcMar>
          </w:tcPr>
          <w:p w14:paraId="0A9D4F24" w14:textId="77777777" w:rsidR="001E53DC" w:rsidRDefault="00000000">
            <w:pPr>
              <w:spacing w:before="40" w:after="40" w:line="252" w:lineRule="auto"/>
            </w:pPr>
            <w:r>
              <w:rPr>
                <w:sz w:val="18"/>
              </w:rPr>
              <w:t>Czech Agriculture</w:t>
            </w:r>
            <w:r>
              <w:rPr>
                <w:sz w:val="18"/>
              </w:rPr>
              <w:br/>
              <w:t>(120 field points)</w:t>
            </w:r>
          </w:p>
        </w:tc>
        <w:tc>
          <w:tcPr>
            <w:tcW w:w="1872" w:type="dxa"/>
            <w:shd w:val="clear" w:color="auto" w:fill="F4F7FA"/>
            <w:tcMar>
              <w:top w:w="80" w:type="dxa"/>
              <w:left w:w="100" w:type="dxa"/>
              <w:bottom w:w="80" w:type="dxa"/>
              <w:right w:w="100" w:type="dxa"/>
            </w:tcMar>
          </w:tcPr>
          <w:p w14:paraId="4FF1C5DC" w14:textId="77777777" w:rsidR="001E53DC" w:rsidRDefault="00000000">
            <w:pPr>
              <w:spacing w:before="40" w:after="40" w:line="252" w:lineRule="auto"/>
            </w:pPr>
            <w:r>
              <w:rPr>
                <w:sz w:val="18"/>
              </w:rPr>
              <w:t>Available Phosphorus (P), Heavy metals</w:t>
            </w:r>
          </w:p>
        </w:tc>
        <w:tc>
          <w:tcPr>
            <w:tcW w:w="1728" w:type="dxa"/>
            <w:shd w:val="clear" w:color="auto" w:fill="F4F7FA"/>
            <w:tcMar>
              <w:top w:w="80" w:type="dxa"/>
              <w:left w:w="100" w:type="dxa"/>
              <w:bottom w:w="80" w:type="dxa"/>
              <w:right w:w="100" w:type="dxa"/>
            </w:tcMar>
          </w:tcPr>
          <w:p w14:paraId="09406217" w14:textId="77777777" w:rsidR="001E53DC" w:rsidRDefault="00000000">
            <w:pPr>
              <w:spacing w:before="40" w:after="40" w:line="252" w:lineRule="auto"/>
            </w:pPr>
            <w:r>
              <w:rPr>
                <w:sz w:val="18"/>
              </w:rPr>
              <w:t>Savitzky-Golay smoothing, Baseline correction</w:t>
            </w:r>
          </w:p>
        </w:tc>
        <w:tc>
          <w:tcPr>
            <w:tcW w:w="1584" w:type="dxa"/>
            <w:shd w:val="clear" w:color="auto" w:fill="F4F7FA"/>
            <w:tcMar>
              <w:top w:w="80" w:type="dxa"/>
              <w:left w:w="100" w:type="dxa"/>
              <w:bottom w:w="80" w:type="dxa"/>
              <w:right w:w="100" w:type="dxa"/>
            </w:tcMar>
          </w:tcPr>
          <w:p w14:paraId="05FFC5AE" w14:textId="77777777" w:rsidR="001E53DC" w:rsidRDefault="00000000">
            <w:pPr>
              <w:spacing w:before="40" w:after="40" w:line="252" w:lineRule="auto"/>
            </w:pPr>
            <w:r>
              <w:rPr>
                <w:sz w:val="18"/>
              </w:rPr>
              <w:t>SVR, PLSR, Random Forest</w:t>
            </w:r>
          </w:p>
        </w:tc>
        <w:tc>
          <w:tcPr>
            <w:tcW w:w="1872" w:type="dxa"/>
            <w:shd w:val="clear" w:color="auto" w:fill="F4F7FA"/>
            <w:tcMar>
              <w:top w:w="80" w:type="dxa"/>
              <w:left w:w="100" w:type="dxa"/>
              <w:bottom w:w="80" w:type="dxa"/>
              <w:right w:w="100" w:type="dxa"/>
            </w:tcMar>
          </w:tcPr>
          <w:p w14:paraId="404F55F7" w14:textId="77777777" w:rsidR="001E53DC" w:rsidRDefault="00000000">
            <w:pPr>
              <w:spacing w:before="40" w:after="40" w:line="252" w:lineRule="auto"/>
            </w:pPr>
            <w:r>
              <w:rPr>
                <w:sz w:val="18"/>
              </w:rPr>
              <w:t>P: R²=0.62, RPD=1.58 (Tier D)</w:t>
            </w:r>
            <w:r>
              <w:rPr>
                <w:sz w:val="18"/>
              </w:rPr>
              <w:br/>
              <w:t>Proved Available P requires non-linear</w:t>
            </w:r>
            <w:r>
              <w:rPr>
                <w:sz w:val="18"/>
              </w:rPr>
              <w:br/>
              <w:t>models capturing clay-P binding</w:t>
            </w:r>
          </w:p>
        </w:tc>
      </w:tr>
      <w:tr w:rsidR="001E53DC" w14:paraId="6DCA8480" w14:textId="77777777">
        <w:trPr>
          <w:jc w:val="center"/>
        </w:trPr>
        <w:tc>
          <w:tcPr>
            <w:tcW w:w="1584" w:type="dxa"/>
            <w:shd w:val="clear" w:color="auto" w:fill="FFFFFF"/>
            <w:tcMar>
              <w:top w:w="80" w:type="dxa"/>
              <w:left w:w="100" w:type="dxa"/>
              <w:bottom w:w="80" w:type="dxa"/>
              <w:right w:w="100" w:type="dxa"/>
            </w:tcMar>
          </w:tcPr>
          <w:p w14:paraId="5BD9D293" w14:textId="77777777" w:rsidR="001E53DC" w:rsidRDefault="00000000">
            <w:pPr>
              <w:spacing w:before="40" w:after="40" w:line="252" w:lineRule="auto"/>
            </w:pPr>
            <w:r>
              <w:rPr>
                <w:sz w:val="18"/>
              </w:rPr>
              <w:t>Tsakiridis et al. (2020)</w:t>
            </w:r>
          </w:p>
        </w:tc>
        <w:tc>
          <w:tcPr>
            <w:tcW w:w="1440" w:type="dxa"/>
            <w:shd w:val="clear" w:color="auto" w:fill="FFFFFF"/>
            <w:tcMar>
              <w:top w:w="80" w:type="dxa"/>
              <w:left w:w="100" w:type="dxa"/>
              <w:bottom w:w="80" w:type="dxa"/>
              <w:right w:w="100" w:type="dxa"/>
            </w:tcMar>
          </w:tcPr>
          <w:p w14:paraId="4E703D60" w14:textId="77777777" w:rsidR="001E53DC" w:rsidRDefault="00000000">
            <w:pPr>
              <w:spacing w:before="40" w:after="40" w:line="252" w:lineRule="auto"/>
            </w:pPr>
            <w:r>
              <w:rPr>
                <w:sz w:val="18"/>
              </w:rPr>
              <w:t>LUCAS 2009</w:t>
            </w:r>
            <w:r>
              <w:rPr>
                <w:sz w:val="18"/>
              </w:rPr>
              <w:br/>
              <w:t>(19,000 samples)</w:t>
            </w:r>
          </w:p>
        </w:tc>
        <w:tc>
          <w:tcPr>
            <w:tcW w:w="1872" w:type="dxa"/>
            <w:shd w:val="clear" w:color="auto" w:fill="FFFFFF"/>
            <w:tcMar>
              <w:top w:w="80" w:type="dxa"/>
              <w:left w:w="100" w:type="dxa"/>
              <w:bottom w:w="80" w:type="dxa"/>
              <w:right w:w="100" w:type="dxa"/>
            </w:tcMar>
          </w:tcPr>
          <w:p w14:paraId="42EF5BE6" w14:textId="77777777" w:rsidR="001E53DC" w:rsidRDefault="00000000">
            <w:pPr>
              <w:spacing w:before="40" w:after="40" w:line="252" w:lineRule="auto"/>
            </w:pPr>
            <w:r>
              <w:rPr>
                <w:sz w:val="18"/>
              </w:rPr>
              <w:t>Organic Carbon, Clay, pH</w:t>
            </w:r>
          </w:p>
        </w:tc>
        <w:tc>
          <w:tcPr>
            <w:tcW w:w="1728" w:type="dxa"/>
            <w:shd w:val="clear" w:color="auto" w:fill="FFFFFF"/>
            <w:tcMar>
              <w:top w:w="80" w:type="dxa"/>
              <w:left w:w="100" w:type="dxa"/>
              <w:bottom w:w="80" w:type="dxa"/>
              <w:right w:w="100" w:type="dxa"/>
            </w:tcMar>
          </w:tcPr>
          <w:p w14:paraId="73A56017" w14:textId="77777777" w:rsidR="001E53DC" w:rsidRDefault="00000000">
            <w:pPr>
              <w:spacing w:before="40" w:after="40" w:line="252" w:lineRule="auto"/>
            </w:pPr>
            <w:r>
              <w:rPr>
                <w:sz w:val="18"/>
              </w:rPr>
              <w:t>Standard Normal Variate (SNV)</w:t>
            </w:r>
          </w:p>
        </w:tc>
        <w:tc>
          <w:tcPr>
            <w:tcW w:w="1584" w:type="dxa"/>
            <w:shd w:val="clear" w:color="auto" w:fill="FFFFFF"/>
            <w:tcMar>
              <w:top w:w="80" w:type="dxa"/>
              <w:left w:w="100" w:type="dxa"/>
              <w:bottom w:w="80" w:type="dxa"/>
              <w:right w:w="100" w:type="dxa"/>
            </w:tcMar>
          </w:tcPr>
          <w:p w14:paraId="2A6454E2" w14:textId="77777777" w:rsidR="001E53DC" w:rsidRDefault="00000000">
            <w:pPr>
              <w:spacing w:before="40" w:after="40" w:line="252" w:lineRule="auto"/>
            </w:pPr>
            <w:r>
              <w:rPr>
                <w:sz w:val="18"/>
              </w:rPr>
              <w:t>Localized Convolutional Neural Network (CNN)</w:t>
            </w:r>
          </w:p>
        </w:tc>
        <w:tc>
          <w:tcPr>
            <w:tcW w:w="1872" w:type="dxa"/>
            <w:shd w:val="clear" w:color="auto" w:fill="FFFFFF"/>
            <w:tcMar>
              <w:top w:w="80" w:type="dxa"/>
              <w:left w:w="100" w:type="dxa"/>
              <w:bottom w:w="80" w:type="dxa"/>
              <w:right w:w="100" w:type="dxa"/>
            </w:tcMar>
          </w:tcPr>
          <w:p w14:paraId="661925C3" w14:textId="77777777" w:rsidR="001E53DC" w:rsidRDefault="00000000">
            <w:pPr>
              <w:spacing w:before="40" w:after="40" w:line="252" w:lineRule="auto"/>
            </w:pPr>
            <w:r>
              <w:rPr>
                <w:sz w:val="18"/>
              </w:rPr>
              <w:t>OC: R²=0.76, RMSE=8.8 g/kg</w:t>
            </w:r>
            <w:r>
              <w:rPr>
                <w:sz w:val="18"/>
              </w:rPr>
              <w:br/>
              <w:t>Robust out-of-region validation</w:t>
            </w:r>
            <w:r>
              <w:rPr>
                <w:sz w:val="18"/>
              </w:rPr>
              <w:br/>
              <w:t>under spatial geographical block CV</w:t>
            </w:r>
          </w:p>
        </w:tc>
      </w:tr>
      <w:tr w:rsidR="001E53DC" w14:paraId="11425DBE" w14:textId="77777777">
        <w:trPr>
          <w:jc w:val="center"/>
        </w:trPr>
        <w:tc>
          <w:tcPr>
            <w:tcW w:w="1584" w:type="dxa"/>
            <w:shd w:val="clear" w:color="auto" w:fill="F4F7FA"/>
            <w:tcMar>
              <w:top w:w="80" w:type="dxa"/>
              <w:left w:w="100" w:type="dxa"/>
              <w:bottom w:w="80" w:type="dxa"/>
              <w:right w:w="100" w:type="dxa"/>
            </w:tcMar>
          </w:tcPr>
          <w:p w14:paraId="0D4A1A77" w14:textId="77777777" w:rsidR="001E53DC" w:rsidRDefault="00000000">
            <w:pPr>
              <w:spacing w:before="40" w:after="40" w:line="252" w:lineRule="auto"/>
            </w:pPr>
            <w:r>
              <w:rPr>
                <w:sz w:val="18"/>
              </w:rPr>
              <w:t>Dotto et al. (2018)</w:t>
            </w:r>
          </w:p>
        </w:tc>
        <w:tc>
          <w:tcPr>
            <w:tcW w:w="1440" w:type="dxa"/>
            <w:shd w:val="clear" w:color="auto" w:fill="F4F7FA"/>
            <w:tcMar>
              <w:top w:w="80" w:type="dxa"/>
              <w:left w:w="100" w:type="dxa"/>
              <w:bottom w:w="80" w:type="dxa"/>
              <w:right w:w="100" w:type="dxa"/>
            </w:tcMar>
          </w:tcPr>
          <w:p w14:paraId="6EE5F35C" w14:textId="77777777" w:rsidR="001E53DC" w:rsidRDefault="00000000">
            <w:pPr>
              <w:spacing w:before="40" w:after="40" w:line="252" w:lineRule="auto"/>
            </w:pPr>
            <w:r>
              <w:rPr>
                <w:sz w:val="18"/>
              </w:rPr>
              <w:t>Brazilian Tropical Soils</w:t>
            </w:r>
            <w:r>
              <w:rPr>
                <w:sz w:val="18"/>
              </w:rPr>
              <w:br/>
              <w:t>(1,200 samples)</w:t>
            </w:r>
          </w:p>
        </w:tc>
        <w:tc>
          <w:tcPr>
            <w:tcW w:w="1872" w:type="dxa"/>
            <w:shd w:val="clear" w:color="auto" w:fill="F4F7FA"/>
            <w:tcMar>
              <w:top w:w="80" w:type="dxa"/>
              <w:left w:w="100" w:type="dxa"/>
              <w:bottom w:w="80" w:type="dxa"/>
              <w:right w:w="100" w:type="dxa"/>
            </w:tcMar>
          </w:tcPr>
          <w:p w14:paraId="06B6101A" w14:textId="77777777" w:rsidR="001E53DC" w:rsidRDefault="00000000">
            <w:pPr>
              <w:spacing w:before="40" w:after="40" w:line="252" w:lineRule="auto"/>
            </w:pPr>
            <w:r>
              <w:rPr>
                <w:sz w:val="18"/>
              </w:rPr>
              <w:t>SOC, Clay, Sand fraction</w:t>
            </w:r>
          </w:p>
        </w:tc>
        <w:tc>
          <w:tcPr>
            <w:tcW w:w="1728" w:type="dxa"/>
            <w:shd w:val="clear" w:color="auto" w:fill="F4F7FA"/>
            <w:tcMar>
              <w:top w:w="80" w:type="dxa"/>
              <w:left w:w="100" w:type="dxa"/>
              <w:bottom w:w="80" w:type="dxa"/>
              <w:right w:w="100" w:type="dxa"/>
            </w:tcMar>
          </w:tcPr>
          <w:p w14:paraId="11947CB5" w14:textId="77777777" w:rsidR="001E53DC" w:rsidRDefault="00000000">
            <w:pPr>
              <w:spacing w:before="40" w:after="40" w:line="252" w:lineRule="auto"/>
            </w:pPr>
            <w:r>
              <w:rPr>
                <w:sz w:val="18"/>
              </w:rPr>
              <w:t>Baseline drift subtraction, Multiplicative Scatter (MSC)</w:t>
            </w:r>
          </w:p>
        </w:tc>
        <w:tc>
          <w:tcPr>
            <w:tcW w:w="1584" w:type="dxa"/>
            <w:shd w:val="clear" w:color="auto" w:fill="F4F7FA"/>
            <w:tcMar>
              <w:top w:w="80" w:type="dxa"/>
              <w:left w:w="100" w:type="dxa"/>
              <w:bottom w:w="80" w:type="dxa"/>
              <w:right w:w="100" w:type="dxa"/>
            </w:tcMar>
          </w:tcPr>
          <w:p w14:paraId="0880D545" w14:textId="77777777" w:rsidR="001E53DC" w:rsidRDefault="00000000">
            <w:pPr>
              <w:spacing w:before="40" w:after="40" w:line="252" w:lineRule="auto"/>
            </w:pPr>
            <w:r>
              <w:rPr>
                <w:sz w:val="18"/>
              </w:rPr>
              <w:t>Extreme Gradient Boosting (XGBoost), SVR, RF</w:t>
            </w:r>
          </w:p>
        </w:tc>
        <w:tc>
          <w:tcPr>
            <w:tcW w:w="1872" w:type="dxa"/>
            <w:shd w:val="clear" w:color="auto" w:fill="F4F7FA"/>
            <w:tcMar>
              <w:top w:w="80" w:type="dxa"/>
              <w:left w:w="100" w:type="dxa"/>
              <w:bottom w:w="80" w:type="dxa"/>
              <w:right w:w="100" w:type="dxa"/>
            </w:tcMar>
          </w:tcPr>
          <w:p w14:paraId="51825D4E" w14:textId="77777777" w:rsidR="001E53DC" w:rsidRDefault="00000000">
            <w:pPr>
              <w:spacing w:before="40" w:after="40" w:line="252" w:lineRule="auto"/>
            </w:pPr>
            <w:r>
              <w:rPr>
                <w:sz w:val="18"/>
              </w:rPr>
              <w:t>SOC: R²=0.82, RPD=2.29 (C)</w:t>
            </w:r>
            <w:r>
              <w:rPr>
                <w:sz w:val="18"/>
              </w:rPr>
              <w:br/>
              <w:t>XGBoost outperformed Random Forest</w:t>
            </w:r>
            <w:r>
              <w:rPr>
                <w:sz w:val="18"/>
              </w:rPr>
              <w:br/>
              <w:t>on high iron oxide tropical soils</w:t>
            </w:r>
          </w:p>
        </w:tc>
      </w:tr>
      <w:tr w:rsidR="001E53DC" w14:paraId="5F2E2141" w14:textId="77777777">
        <w:trPr>
          <w:jc w:val="center"/>
        </w:trPr>
        <w:tc>
          <w:tcPr>
            <w:tcW w:w="1584" w:type="dxa"/>
            <w:shd w:val="clear" w:color="auto" w:fill="FFFFFF"/>
            <w:tcMar>
              <w:top w:w="80" w:type="dxa"/>
              <w:left w:w="100" w:type="dxa"/>
              <w:bottom w:w="80" w:type="dxa"/>
              <w:right w:w="100" w:type="dxa"/>
            </w:tcMar>
          </w:tcPr>
          <w:p w14:paraId="3A1304C9" w14:textId="77777777" w:rsidR="001E53DC" w:rsidRDefault="00000000">
            <w:pPr>
              <w:spacing w:before="40" w:after="40" w:line="252" w:lineRule="auto"/>
            </w:pPr>
            <w:r>
              <w:rPr>
                <w:sz w:val="18"/>
              </w:rPr>
              <w:t>Vohland et al. (2017)</w:t>
            </w:r>
          </w:p>
        </w:tc>
        <w:tc>
          <w:tcPr>
            <w:tcW w:w="1440" w:type="dxa"/>
            <w:shd w:val="clear" w:color="auto" w:fill="FFFFFF"/>
            <w:tcMar>
              <w:top w:w="80" w:type="dxa"/>
              <w:left w:w="100" w:type="dxa"/>
              <w:bottom w:w="80" w:type="dxa"/>
              <w:right w:w="100" w:type="dxa"/>
            </w:tcMar>
          </w:tcPr>
          <w:p w14:paraId="06AB66CB" w14:textId="77777777" w:rsidR="001E53DC" w:rsidRDefault="00000000">
            <w:pPr>
              <w:spacing w:before="40" w:after="40" w:line="252" w:lineRule="auto"/>
            </w:pPr>
            <w:r>
              <w:rPr>
                <w:sz w:val="18"/>
              </w:rPr>
              <w:t>German Croplands</w:t>
            </w:r>
            <w:r>
              <w:rPr>
                <w:sz w:val="18"/>
              </w:rPr>
              <w:br/>
              <w:t>(280 field samples)</w:t>
            </w:r>
          </w:p>
        </w:tc>
        <w:tc>
          <w:tcPr>
            <w:tcW w:w="1872" w:type="dxa"/>
            <w:shd w:val="clear" w:color="auto" w:fill="FFFFFF"/>
            <w:tcMar>
              <w:top w:w="80" w:type="dxa"/>
              <w:left w:w="100" w:type="dxa"/>
              <w:bottom w:w="80" w:type="dxa"/>
              <w:right w:w="100" w:type="dxa"/>
            </w:tcMar>
          </w:tcPr>
          <w:p w14:paraId="78933011" w14:textId="77777777" w:rsidR="001E53DC" w:rsidRDefault="00000000">
            <w:pPr>
              <w:spacing w:before="40" w:after="40" w:line="252" w:lineRule="auto"/>
            </w:pPr>
            <w:r>
              <w:rPr>
                <w:sz w:val="18"/>
              </w:rPr>
              <w:t>Available Phosphorus (P), Soil Organic Carbon</w:t>
            </w:r>
          </w:p>
        </w:tc>
        <w:tc>
          <w:tcPr>
            <w:tcW w:w="1728" w:type="dxa"/>
            <w:shd w:val="clear" w:color="auto" w:fill="FFFFFF"/>
            <w:tcMar>
              <w:top w:w="80" w:type="dxa"/>
              <w:left w:w="100" w:type="dxa"/>
              <w:bottom w:w="80" w:type="dxa"/>
              <w:right w:w="100" w:type="dxa"/>
            </w:tcMar>
          </w:tcPr>
          <w:p w14:paraId="41A7F077" w14:textId="77777777" w:rsidR="001E53DC" w:rsidRDefault="00000000">
            <w:pPr>
              <w:spacing w:before="40" w:after="40" w:line="252" w:lineRule="auto"/>
            </w:pPr>
            <w:r>
              <w:rPr>
                <w:sz w:val="18"/>
              </w:rPr>
              <w:t>Savitzky-Golay, Continuum Removal</w:t>
            </w:r>
          </w:p>
        </w:tc>
        <w:tc>
          <w:tcPr>
            <w:tcW w:w="1584" w:type="dxa"/>
            <w:shd w:val="clear" w:color="auto" w:fill="FFFFFF"/>
            <w:tcMar>
              <w:top w:w="80" w:type="dxa"/>
              <w:left w:w="100" w:type="dxa"/>
              <w:bottom w:w="80" w:type="dxa"/>
              <w:right w:w="100" w:type="dxa"/>
            </w:tcMar>
          </w:tcPr>
          <w:p w14:paraId="62C0DB79" w14:textId="77777777" w:rsidR="001E53DC" w:rsidRDefault="00000000">
            <w:pPr>
              <w:spacing w:before="40" w:after="40" w:line="252" w:lineRule="auto"/>
            </w:pPr>
            <w:r>
              <w:rPr>
                <w:sz w:val="18"/>
              </w:rPr>
              <w:t>Support Vector Regression, PLSR</w:t>
            </w:r>
          </w:p>
        </w:tc>
        <w:tc>
          <w:tcPr>
            <w:tcW w:w="1872" w:type="dxa"/>
            <w:shd w:val="clear" w:color="auto" w:fill="FFFFFF"/>
            <w:tcMar>
              <w:top w:w="80" w:type="dxa"/>
              <w:left w:w="100" w:type="dxa"/>
              <w:bottom w:w="80" w:type="dxa"/>
              <w:right w:w="100" w:type="dxa"/>
            </w:tcMar>
          </w:tcPr>
          <w:p w14:paraId="1BB08D6C" w14:textId="77777777" w:rsidR="001E53DC" w:rsidRDefault="00000000">
            <w:pPr>
              <w:spacing w:before="40" w:after="40" w:line="252" w:lineRule="auto"/>
            </w:pPr>
            <w:r>
              <w:rPr>
                <w:sz w:val="18"/>
              </w:rPr>
              <w:t>P: R²=0.66, RPD=1.62 (D)</w:t>
            </w:r>
            <w:r>
              <w:rPr>
                <w:sz w:val="18"/>
              </w:rPr>
              <w:br/>
              <w:t>SOC: R²=0.86, RPD=2.54 (B)</w:t>
            </w:r>
            <w:r>
              <w:rPr>
                <w:sz w:val="18"/>
              </w:rPr>
              <w:br/>
              <w:t>P relies on indirect Fe-Al complexing</w:t>
            </w:r>
          </w:p>
        </w:tc>
      </w:tr>
      <w:tr w:rsidR="001E53DC" w14:paraId="16CD99A6" w14:textId="77777777">
        <w:trPr>
          <w:jc w:val="center"/>
        </w:trPr>
        <w:tc>
          <w:tcPr>
            <w:tcW w:w="1584" w:type="dxa"/>
            <w:shd w:val="clear" w:color="auto" w:fill="F4F7FA"/>
            <w:tcMar>
              <w:top w:w="80" w:type="dxa"/>
              <w:left w:w="100" w:type="dxa"/>
              <w:bottom w:w="80" w:type="dxa"/>
              <w:right w:w="100" w:type="dxa"/>
            </w:tcMar>
          </w:tcPr>
          <w:p w14:paraId="07BE9D39" w14:textId="77777777" w:rsidR="001E53DC" w:rsidRDefault="00000000">
            <w:pPr>
              <w:spacing w:before="40" w:after="40" w:line="252" w:lineRule="auto"/>
            </w:pPr>
            <w:r>
              <w:rPr>
                <w:sz w:val="18"/>
              </w:rPr>
              <w:lastRenderedPageBreak/>
              <w:t>Zhang et al. (2022)</w:t>
            </w:r>
          </w:p>
        </w:tc>
        <w:tc>
          <w:tcPr>
            <w:tcW w:w="1440" w:type="dxa"/>
            <w:shd w:val="clear" w:color="auto" w:fill="F4F7FA"/>
            <w:tcMar>
              <w:top w:w="80" w:type="dxa"/>
              <w:left w:w="100" w:type="dxa"/>
              <w:bottom w:w="80" w:type="dxa"/>
              <w:right w:w="100" w:type="dxa"/>
            </w:tcMar>
          </w:tcPr>
          <w:p w14:paraId="36A248AF" w14:textId="77777777" w:rsidR="001E53DC" w:rsidRDefault="00000000">
            <w:pPr>
              <w:spacing w:before="40" w:after="40" w:line="252" w:lineRule="auto"/>
            </w:pPr>
            <w:r>
              <w:rPr>
                <w:sz w:val="18"/>
              </w:rPr>
              <w:t>OSSL Global Library</w:t>
            </w:r>
            <w:r>
              <w:rPr>
                <w:sz w:val="18"/>
              </w:rPr>
              <w:br/>
              <w:t>(12,000 samples)</w:t>
            </w:r>
          </w:p>
        </w:tc>
        <w:tc>
          <w:tcPr>
            <w:tcW w:w="1872" w:type="dxa"/>
            <w:shd w:val="clear" w:color="auto" w:fill="F4F7FA"/>
            <w:tcMar>
              <w:top w:w="80" w:type="dxa"/>
              <w:left w:w="100" w:type="dxa"/>
              <w:bottom w:w="80" w:type="dxa"/>
              <w:right w:w="100" w:type="dxa"/>
            </w:tcMar>
          </w:tcPr>
          <w:p w14:paraId="0ACB252A" w14:textId="77777777" w:rsidR="001E53DC" w:rsidRDefault="00000000">
            <w:pPr>
              <w:spacing w:before="40" w:after="40" w:line="252" w:lineRule="auto"/>
            </w:pPr>
            <w:r>
              <w:rPr>
                <w:sz w:val="18"/>
              </w:rPr>
              <w:t>Soil Organic Carbon, Total Nitrogen</w:t>
            </w:r>
          </w:p>
        </w:tc>
        <w:tc>
          <w:tcPr>
            <w:tcW w:w="1728" w:type="dxa"/>
            <w:shd w:val="clear" w:color="auto" w:fill="F4F7FA"/>
            <w:tcMar>
              <w:top w:w="80" w:type="dxa"/>
              <w:left w:w="100" w:type="dxa"/>
              <w:bottom w:w="80" w:type="dxa"/>
              <w:right w:w="100" w:type="dxa"/>
            </w:tcMar>
          </w:tcPr>
          <w:p w14:paraId="2E5D6997" w14:textId="77777777" w:rsidR="001E53DC" w:rsidRDefault="00000000">
            <w:pPr>
              <w:spacing w:before="40" w:after="40" w:line="252" w:lineRule="auto"/>
            </w:pPr>
            <w:r>
              <w:rPr>
                <w:sz w:val="18"/>
              </w:rPr>
              <w:t>Asymmetric Least Squares (ALS), SNV</w:t>
            </w:r>
          </w:p>
        </w:tc>
        <w:tc>
          <w:tcPr>
            <w:tcW w:w="1584" w:type="dxa"/>
            <w:shd w:val="clear" w:color="auto" w:fill="F4F7FA"/>
            <w:tcMar>
              <w:top w:w="80" w:type="dxa"/>
              <w:left w:w="100" w:type="dxa"/>
              <w:bottom w:w="80" w:type="dxa"/>
              <w:right w:w="100" w:type="dxa"/>
            </w:tcMar>
          </w:tcPr>
          <w:p w14:paraId="50A89B93" w14:textId="77777777" w:rsidR="001E53DC" w:rsidRDefault="00000000">
            <w:pPr>
              <w:spacing w:before="40" w:after="40" w:line="252" w:lineRule="auto"/>
            </w:pPr>
            <w:r>
              <w:rPr>
                <w:sz w:val="18"/>
              </w:rPr>
              <w:t>1D ResNet with Self-Attention vs 1D-CNN, PLSR</w:t>
            </w:r>
          </w:p>
        </w:tc>
        <w:tc>
          <w:tcPr>
            <w:tcW w:w="1872" w:type="dxa"/>
            <w:shd w:val="clear" w:color="auto" w:fill="F4F7FA"/>
            <w:tcMar>
              <w:top w:w="80" w:type="dxa"/>
              <w:left w:w="100" w:type="dxa"/>
              <w:bottom w:w="80" w:type="dxa"/>
              <w:right w:w="100" w:type="dxa"/>
            </w:tcMar>
          </w:tcPr>
          <w:p w14:paraId="6F652872" w14:textId="77777777" w:rsidR="001E53DC" w:rsidRDefault="00000000">
            <w:pPr>
              <w:spacing w:before="40" w:after="40" w:line="252" w:lineRule="auto"/>
            </w:pPr>
            <w:r>
              <w:rPr>
                <w:sz w:val="18"/>
              </w:rPr>
              <w:t>SOC: R²=0.84, RPD=2.51 (B)</w:t>
            </w:r>
            <w:r>
              <w:rPr>
                <w:sz w:val="18"/>
              </w:rPr>
              <w:br/>
              <w:t>N: R²=0.81, RPD=2.30 (C)</w:t>
            </w:r>
            <w:r>
              <w:rPr>
                <w:sz w:val="18"/>
              </w:rPr>
              <w:br/>
              <w:t>Residual skips prevented gradient loss</w:t>
            </w:r>
          </w:p>
        </w:tc>
      </w:tr>
      <w:tr w:rsidR="001E53DC" w14:paraId="355F709F" w14:textId="77777777">
        <w:trPr>
          <w:jc w:val="center"/>
        </w:trPr>
        <w:tc>
          <w:tcPr>
            <w:tcW w:w="1584" w:type="dxa"/>
            <w:shd w:val="clear" w:color="auto" w:fill="FFFFFF"/>
            <w:tcMar>
              <w:top w:w="80" w:type="dxa"/>
              <w:left w:w="100" w:type="dxa"/>
              <w:bottom w:w="80" w:type="dxa"/>
              <w:right w:w="100" w:type="dxa"/>
            </w:tcMar>
          </w:tcPr>
          <w:p w14:paraId="688C2F12" w14:textId="77777777" w:rsidR="001E53DC" w:rsidRDefault="00000000">
            <w:pPr>
              <w:spacing w:before="40" w:after="40" w:line="252" w:lineRule="auto"/>
            </w:pPr>
            <w:r>
              <w:rPr>
                <w:sz w:val="18"/>
              </w:rPr>
              <w:t>Chabrillat et al. (2002)</w:t>
            </w:r>
          </w:p>
        </w:tc>
        <w:tc>
          <w:tcPr>
            <w:tcW w:w="1440" w:type="dxa"/>
            <w:shd w:val="clear" w:color="auto" w:fill="FFFFFF"/>
            <w:tcMar>
              <w:top w:w="80" w:type="dxa"/>
              <w:left w:w="100" w:type="dxa"/>
              <w:bottom w:w="80" w:type="dxa"/>
              <w:right w:w="100" w:type="dxa"/>
            </w:tcMar>
          </w:tcPr>
          <w:p w14:paraId="64F6C776" w14:textId="77777777" w:rsidR="001E53DC" w:rsidRDefault="00000000">
            <w:pPr>
              <w:spacing w:before="40" w:after="40" w:line="252" w:lineRule="auto"/>
            </w:pPr>
            <w:r>
              <w:rPr>
                <w:sz w:val="18"/>
              </w:rPr>
              <w:t>HyMap Hyperspectral</w:t>
            </w:r>
            <w:r>
              <w:rPr>
                <w:sz w:val="18"/>
              </w:rPr>
              <w:br/>
              <w:t>(Airborne scenes)</w:t>
            </w:r>
          </w:p>
        </w:tc>
        <w:tc>
          <w:tcPr>
            <w:tcW w:w="1872" w:type="dxa"/>
            <w:shd w:val="clear" w:color="auto" w:fill="FFFFFF"/>
            <w:tcMar>
              <w:top w:w="80" w:type="dxa"/>
              <w:left w:w="100" w:type="dxa"/>
              <w:bottom w:w="80" w:type="dxa"/>
              <w:right w:w="100" w:type="dxa"/>
            </w:tcMar>
          </w:tcPr>
          <w:p w14:paraId="6A4EF8B8" w14:textId="77777777" w:rsidR="001E53DC" w:rsidRDefault="00000000">
            <w:pPr>
              <w:spacing w:before="40" w:after="40" w:line="252" w:lineRule="auto"/>
            </w:pPr>
            <w:r>
              <w:rPr>
                <w:sz w:val="18"/>
              </w:rPr>
              <w:t>Expansive clay minerals, Soil crusts</w:t>
            </w:r>
          </w:p>
        </w:tc>
        <w:tc>
          <w:tcPr>
            <w:tcW w:w="1728" w:type="dxa"/>
            <w:shd w:val="clear" w:color="auto" w:fill="FFFFFF"/>
            <w:tcMar>
              <w:top w:w="80" w:type="dxa"/>
              <w:left w:w="100" w:type="dxa"/>
              <w:bottom w:w="80" w:type="dxa"/>
              <w:right w:w="100" w:type="dxa"/>
            </w:tcMar>
          </w:tcPr>
          <w:p w14:paraId="72A89889" w14:textId="77777777" w:rsidR="001E53DC" w:rsidRDefault="00000000">
            <w:pPr>
              <w:spacing w:before="40" w:after="40" w:line="252" w:lineRule="auto"/>
            </w:pPr>
            <w:r>
              <w:rPr>
                <w:sz w:val="18"/>
              </w:rPr>
              <w:t>Upper Convex Hull Continuum Removal</w:t>
            </w:r>
          </w:p>
        </w:tc>
        <w:tc>
          <w:tcPr>
            <w:tcW w:w="1584" w:type="dxa"/>
            <w:shd w:val="clear" w:color="auto" w:fill="FFFFFF"/>
            <w:tcMar>
              <w:top w:w="80" w:type="dxa"/>
              <w:left w:w="100" w:type="dxa"/>
              <w:bottom w:w="80" w:type="dxa"/>
              <w:right w:w="100" w:type="dxa"/>
            </w:tcMar>
          </w:tcPr>
          <w:p w14:paraId="48F0BCF9" w14:textId="77777777" w:rsidR="001E53DC" w:rsidRDefault="00000000">
            <w:pPr>
              <w:spacing w:before="40" w:after="40" w:line="252" w:lineRule="auto"/>
            </w:pPr>
            <w:r>
              <w:rPr>
                <w:sz w:val="18"/>
              </w:rPr>
              <w:t>Spectral Angle Mapper, Multiple Endmember Unmixing</w:t>
            </w:r>
          </w:p>
        </w:tc>
        <w:tc>
          <w:tcPr>
            <w:tcW w:w="1872" w:type="dxa"/>
            <w:shd w:val="clear" w:color="auto" w:fill="FFFFFF"/>
            <w:tcMar>
              <w:top w:w="80" w:type="dxa"/>
              <w:left w:w="100" w:type="dxa"/>
              <w:bottom w:w="80" w:type="dxa"/>
              <w:right w:w="100" w:type="dxa"/>
            </w:tcMar>
          </w:tcPr>
          <w:p w14:paraId="568E8A60" w14:textId="77777777" w:rsidR="001E53DC" w:rsidRDefault="00000000">
            <w:pPr>
              <w:spacing w:before="40" w:after="40" w:line="252" w:lineRule="auto"/>
            </w:pPr>
            <w:r>
              <w:rPr>
                <w:sz w:val="18"/>
              </w:rPr>
              <w:t>Al-OH 2205 nm depth linear with</w:t>
            </w:r>
            <w:r>
              <w:rPr>
                <w:sz w:val="18"/>
              </w:rPr>
              <w:br/>
              <w:t>clay content (R²=0.89)</w:t>
            </w:r>
            <w:r>
              <w:rPr>
                <w:sz w:val="18"/>
              </w:rPr>
              <w:br/>
              <w:t>Normalized variable illumination</w:t>
            </w:r>
          </w:p>
        </w:tc>
      </w:tr>
      <w:tr w:rsidR="001E53DC" w14:paraId="671FDC0A" w14:textId="77777777">
        <w:trPr>
          <w:jc w:val="center"/>
        </w:trPr>
        <w:tc>
          <w:tcPr>
            <w:tcW w:w="1584" w:type="dxa"/>
            <w:shd w:val="clear" w:color="auto" w:fill="F4F7FA"/>
            <w:tcMar>
              <w:top w:w="80" w:type="dxa"/>
              <w:left w:w="100" w:type="dxa"/>
              <w:bottom w:w="80" w:type="dxa"/>
              <w:right w:w="100" w:type="dxa"/>
            </w:tcMar>
          </w:tcPr>
          <w:p w14:paraId="2970653F" w14:textId="77777777" w:rsidR="001E53DC" w:rsidRDefault="00000000">
            <w:pPr>
              <w:spacing w:before="40" w:after="40" w:line="252" w:lineRule="auto"/>
            </w:pPr>
            <w:r>
              <w:rPr>
                <w:sz w:val="18"/>
              </w:rPr>
              <w:t>Rossel &amp; Webster (2012)</w:t>
            </w:r>
          </w:p>
        </w:tc>
        <w:tc>
          <w:tcPr>
            <w:tcW w:w="1440" w:type="dxa"/>
            <w:shd w:val="clear" w:color="auto" w:fill="F4F7FA"/>
            <w:tcMar>
              <w:top w:w="80" w:type="dxa"/>
              <w:left w:w="100" w:type="dxa"/>
              <w:bottom w:w="80" w:type="dxa"/>
              <w:right w:w="100" w:type="dxa"/>
            </w:tcMar>
          </w:tcPr>
          <w:p w14:paraId="57E8E16D" w14:textId="77777777" w:rsidR="001E53DC" w:rsidRDefault="00000000">
            <w:pPr>
              <w:spacing w:before="40" w:after="40" w:line="252" w:lineRule="auto"/>
            </w:pPr>
            <w:r>
              <w:rPr>
                <w:sz w:val="18"/>
              </w:rPr>
              <w:t>Australian Soil Library</w:t>
            </w:r>
            <w:r>
              <w:rPr>
                <w:sz w:val="18"/>
              </w:rPr>
              <w:br/>
              <w:t>(1,500 samples)</w:t>
            </w:r>
          </w:p>
        </w:tc>
        <w:tc>
          <w:tcPr>
            <w:tcW w:w="1872" w:type="dxa"/>
            <w:shd w:val="clear" w:color="auto" w:fill="F4F7FA"/>
            <w:tcMar>
              <w:top w:w="80" w:type="dxa"/>
              <w:left w:w="100" w:type="dxa"/>
              <w:bottom w:w="80" w:type="dxa"/>
              <w:right w:w="100" w:type="dxa"/>
            </w:tcMar>
          </w:tcPr>
          <w:p w14:paraId="1C1CEDA3" w14:textId="77777777" w:rsidR="001E53DC" w:rsidRDefault="00000000">
            <w:pPr>
              <w:spacing w:before="40" w:after="40" w:line="252" w:lineRule="auto"/>
            </w:pPr>
            <w:r>
              <w:rPr>
                <w:sz w:val="18"/>
              </w:rPr>
              <w:t>Soil Organic Carbon</w:t>
            </w:r>
          </w:p>
        </w:tc>
        <w:tc>
          <w:tcPr>
            <w:tcW w:w="1728" w:type="dxa"/>
            <w:shd w:val="clear" w:color="auto" w:fill="F4F7FA"/>
            <w:tcMar>
              <w:top w:w="80" w:type="dxa"/>
              <w:left w:w="100" w:type="dxa"/>
              <w:bottom w:w="80" w:type="dxa"/>
              <w:right w:w="100" w:type="dxa"/>
            </w:tcMar>
          </w:tcPr>
          <w:p w14:paraId="1CD5544B" w14:textId="77777777" w:rsidR="001E53DC" w:rsidRDefault="00000000">
            <w:pPr>
              <w:spacing w:before="40" w:after="40" w:line="252" w:lineRule="auto"/>
            </w:pPr>
            <w:r>
              <w:rPr>
                <w:sz w:val="18"/>
              </w:rPr>
              <w:t>Discrete Wavelet Transform, SNV</w:t>
            </w:r>
          </w:p>
        </w:tc>
        <w:tc>
          <w:tcPr>
            <w:tcW w:w="1584" w:type="dxa"/>
            <w:shd w:val="clear" w:color="auto" w:fill="F4F7FA"/>
            <w:tcMar>
              <w:top w:w="80" w:type="dxa"/>
              <w:left w:w="100" w:type="dxa"/>
              <w:bottom w:w="80" w:type="dxa"/>
              <w:right w:w="100" w:type="dxa"/>
            </w:tcMar>
          </w:tcPr>
          <w:p w14:paraId="3F0F7F10" w14:textId="77777777" w:rsidR="001E53DC" w:rsidRDefault="00000000">
            <w:pPr>
              <w:spacing w:before="40" w:after="40" w:line="252" w:lineRule="auto"/>
            </w:pPr>
            <w:r>
              <w:rPr>
                <w:sz w:val="18"/>
              </w:rPr>
              <w:t>PLSR with Neural Network Residual Kriging</w:t>
            </w:r>
          </w:p>
        </w:tc>
        <w:tc>
          <w:tcPr>
            <w:tcW w:w="1872" w:type="dxa"/>
            <w:shd w:val="clear" w:color="auto" w:fill="F4F7FA"/>
            <w:tcMar>
              <w:top w:w="80" w:type="dxa"/>
              <w:left w:w="100" w:type="dxa"/>
              <w:bottom w:w="80" w:type="dxa"/>
              <w:right w:w="100" w:type="dxa"/>
            </w:tcMar>
          </w:tcPr>
          <w:p w14:paraId="508A5D08" w14:textId="77777777" w:rsidR="001E53DC" w:rsidRDefault="00000000">
            <w:pPr>
              <w:spacing w:before="40" w:after="40" w:line="252" w:lineRule="auto"/>
            </w:pPr>
            <w:r>
              <w:rPr>
                <w:sz w:val="18"/>
              </w:rPr>
              <w:t>SOC: R²=0.83, RMSE=4.2 g/kg</w:t>
            </w:r>
            <w:r>
              <w:rPr>
                <w:sz w:val="18"/>
              </w:rPr>
              <w:br/>
              <w:t>Coupled spectral models with spatial</w:t>
            </w:r>
            <w:r>
              <w:rPr>
                <w:sz w:val="18"/>
              </w:rPr>
              <w:br/>
              <w:t>variograms to cancel spatial bias</w:t>
            </w:r>
          </w:p>
        </w:tc>
      </w:tr>
      <w:tr w:rsidR="001E53DC" w14:paraId="286DCE82" w14:textId="77777777">
        <w:trPr>
          <w:jc w:val="center"/>
        </w:trPr>
        <w:tc>
          <w:tcPr>
            <w:tcW w:w="1584" w:type="dxa"/>
            <w:shd w:val="clear" w:color="auto" w:fill="FFFFFF"/>
            <w:tcMar>
              <w:top w:w="80" w:type="dxa"/>
              <w:left w:w="100" w:type="dxa"/>
              <w:bottom w:w="80" w:type="dxa"/>
              <w:right w:w="100" w:type="dxa"/>
            </w:tcMar>
          </w:tcPr>
          <w:p w14:paraId="4C494732" w14:textId="77777777" w:rsidR="001E53DC" w:rsidRDefault="00000000">
            <w:pPr>
              <w:spacing w:before="40" w:after="40" w:line="252" w:lineRule="auto"/>
            </w:pPr>
            <w:r>
              <w:rPr>
                <w:sz w:val="18"/>
              </w:rPr>
              <w:t>Mouazen et al. (2007)</w:t>
            </w:r>
          </w:p>
        </w:tc>
        <w:tc>
          <w:tcPr>
            <w:tcW w:w="1440" w:type="dxa"/>
            <w:shd w:val="clear" w:color="auto" w:fill="FFFFFF"/>
            <w:tcMar>
              <w:top w:w="80" w:type="dxa"/>
              <w:left w:w="100" w:type="dxa"/>
              <w:bottom w:w="80" w:type="dxa"/>
              <w:right w:w="100" w:type="dxa"/>
            </w:tcMar>
          </w:tcPr>
          <w:p w14:paraId="323D21A8" w14:textId="77777777" w:rsidR="001E53DC" w:rsidRDefault="00000000">
            <w:pPr>
              <w:spacing w:before="40" w:after="40" w:line="252" w:lineRule="auto"/>
            </w:pPr>
            <w:r>
              <w:rPr>
                <w:sz w:val="18"/>
              </w:rPr>
              <w:t>On-line Subsoiler Tractor</w:t>
            </w:r>
            <w:r>
              <w:rPr>
                <w:sz w:val="18"/>
              </w:rPr>
              <w:br/>
              <w:t>(350 field scans)</w:t>
            </w:r>
          </w:p>
        </w:tc>
        <w:tc>
          <w:tcPr>
            <w:tcW w:w="1872" w:type="dxa"/>
            <w:shd w:val="clear" w:color="auto" w:fill="FFFFFF"/>
            <w:tcMar>
              <w:top w:w="80" w:type="dxa"/>
              <w:left w:w="100" w:type="dxa"/>
              <w:bottom w:w="80" w:type="dxa"/>
              <w:right w:w="100" w:type="dxa"/>
            </w:tcMar>
          </w:tcPr>
          <w:p w14:paraId="6E40F15C" w14:textId="77777777" w:rsidR="001E53DC" w:rsidRDefault="00000000">
            <w:pPr>
              <w:spacing w:before="40" w:after="40" w:line="252" w:lineRule="auto"/>
            </w:pPr>
            <w:r>
              <w:rPr>
                <w:sz w:val="18"/>
              </w:rPr>
              <w:t>Total N, Organic Carbon, Soil Moisture</w:t>
            </w:r>
          </w:p>
        </w:tc>
        <w:tc>
          <w:tcPr>
            <w:tcW w:w="1728" w:type="dxa"/>
            <w:shd w:val="clear" w:color="auto" w:fill="FFFFFF"/>
            <w:tcMar>
              <w:top w:w="80" w:type="dxa"/>
              <w:left w:w="100" w:type="dxa"/>
              <w:bottom w:w="80" w:type="dxa"/>
              <w:right w:w="100" w:type="dxa"/>
            </w:tcMar>
          </w:tcPr>
          <w:p w14:paraId="4C7853A0" w14:textId="77777777" w:rsidR="001E53DC" w:rsidRDefault="00000000">
            <w:pPr>
              <w:spacing w:before="40" w:after="40" w:line="252" w:lineRule="auto"/>
            </w:pPr>
            <w:r>
              <w:rPr>
                <w:sz w:val="18"/>
              </w:rPr>
              <w:t>Savitzky-Golay, Baseline shift removal</w:t>
            </w:r>
          </w:p>
        </w:tc>
        <w:tc>
          <w:tcPr>
            <w:tcW w:w="1584" w:type="dxa"/>
            <w:shd w:val="clear" w:color="auto" w:fill="FFFFFF"/>
            <w:tcMar>
              <w:top w:w="80" w:type="dxa"/>
              <w:left w:w="100" w:type="dxa"/>
              <w:bottom w:w="80" w:type="dxa"/>
              <w:right w:w="100" w:type="dxa"/>
            </w:tcMar>
          </w:tcPr>
          <w:p w14:paraId="3F2D0F0C" w14:textId="77777777" w:rsidR="001E53DC" w:rsidRDefault="00000000">
            <w:pPr>
              <w:spacing w:before="40" w:after="40" w:line="252" w:lineRule="auto"/>
            </w:pPr>
            <w:r>
              <w:rPr>
                <w:sz w:val="18"/>
              </w:rPr>
              <w:t>Back-propagation Neural Network (BPNN), PLSR</w:t>
            </w:r>
          </w:p>
        </w:tc>
        <w:tc>
          <w:tcPr>
            <w:tcW w:w="1872" w:type="dxa"/>
            <w:shd w:val="clear" w:color="auto" w:fill="FFFFFF"/>
            <w:tcMar>
              <w:top w:w="80" w:type="dxa"/>
              <w:left w:w="100" w:type="dxa"/>
              <w:bottom w:w="80" w:type="dxa"/>
              <w:right w:w="100" w:type="dxa"/>
            </w:tcMar>
          </w:tcPr>
          <w:p w14:paraId="3EA704BE" w14:textId="77777777" w:rsidR="001E53DC" w:rsidRDefault="00000000">
            <w:pPr>
              <w:spacing w:before="40" w:after="40" w:line="252" w:lineRule="auto"/>
            </w:pPr>
            <w:r>
              <w:rPr>
                <w:sz w:val="18"/>
              </w:rPr>
              <w:t>N: R²=0.72, RMSE=0.18 g/kg</w:t>
            </w:r>
            <w:r>
              <w:rPr>
                <w:sz w:val="18"/>
              </w:rPr>
              <w:br/>
              <w:t>Moisture: R²=0.91 (Tier A)</w:t>
            </w:r>
            <w:r>
              <w:rPr>
                <w:sz w:val="18"/>
              </w:rPr>
              <w:br/>
              <w:t>Proved moisture fix vital in field</w:t>
            </w:r>
          </w:p>
        </w:tc>
      </w:tr>
      <w:tr w:rsidR="001E53DC" w14:paraId="3557E074" w14:textId="77777777">
        <w:trPr>
          <w:jc w:val="center"/>
        </w:trPr>
        <w:tc>
          <w:tcPr>
            <w:tcW w:w="1584" w:type="dxa"/>
            <w:shd w:val="clear" w:color="auto" w:fill="F4F7FA"/>
            <w:tcMar>
              <w:top w:w="80" w:type="dxa"/>
              <w:left w:w="100" w:type="dxa"/>
              <w:bottom w:w="80" w:type="dxa"/>
              <w:right w:w="100" w:type="dxa"/>
            </w:tcMar>
          </w:tcPr>
          <w:p w14:paraId="179810C5" w14:textId="77777777" w:rsidR="001E53DC" w:rsidRDefault="00000000">
            <w:pPr>
              <w:spacing w:before="40" w:after="40" w:line="252" w:lineRule="auto"/>
            </w:pPr>
            <w:r>
              <w:rPr>
                <w:sz w:val="18"/>
              </w:rPr>
              <w:t>Hengl et al. (2017)</w:t>
            </w:r>
          </w:p>
        </w:tc>
        <w:tc>
          <w:tcPr>
            <w:tcW w:w="1440" w:type="dxa"/>
            <w:shd w:val="clear" w:color="auto" w:fill="F4F7FA"/>
            <w:tcMar>
              <w:top w:w="80" w:type="dxa"/>
              <w:left w:w="100" w:type="dxa"/>
              <w:bottom w:w="80" w:type="dxa"/>
              <w:right w:w="100" w:type="dxa"/>
            </w:tcMar>
          </w:tcPr>
          <w:p w14:paraId="3FC80A3E" w14:textId="77777777" w:rsidR="001E53DC" w:rsidRDefault="00000000">
            <w:pPr>
              <w:spacing w:before="40" w:after="40" w:line="252" w:lineRule="auto"/>
            </w:pPr>
            <w:r>
              <w:rPr>
                <w:sz w:val="18"/>
              </w:rPr>
              <w:t>AfSIS Continental Soil</w:t>
            </w:r>
            <w:r>
              <w:rPr>
                <w:sz w:val="18"/>
              </w:rPr>
              <w:br/>
              <w:t>(28,000 samples)</w:t>
            </w:r>
          </w:p>
        </w:tc>
        <w:tc>
          <w:tcPr>
            <w:tcW w:w="1872" w:type="dxa"/>
            <w:shd w:val="clear" w:color="auto" w:fill="F4F7FA"/>
            <w:tcMar>
              <w:top w:w="80" w:type="dxa"/>
              <w:left w:w="100" w:type="dxa"/>
              <w:bottom w:w="80" w:type="dxa"/>
              <w:right w:w="100" w:type="dxa"/>
            </w:tcMar>
          </w:tcPr>
          <w:p w14:paraId="783DBA98" w14:textId="77777777" w:rsidR="001E53DC" w:rsidRDefault="00000000">
            <w:pPr>
              <w:spacing w:before="40" w:after="40" w:line="252" w:lineRule="auto"/>
            </w:pPr>
            <w:r>
              <w:rPr>
                <w:sz w:val="18"/>
              </w:rPr>
              <w:t>SOC, pH, N, P, K</w:t>
            </w:r>
          </w:p>
        </w:tc>
        <w:tc>
          <w:tcPr>
            <w:tcW w:w="1728" w:type="dxa"/>
            <w:shd w:val="clear" w:color="auto" w:fill="F4F7FA"/>
            <w:tcMar>
              <w:top w:w="80" w:type="dxa"/>
              <w:left w:w="100" w:type="dxa"/>
              <w:bottom w:w="80" w:type="dxa"/>
              <w:right w:w="100" w:type="dxa"/>
            </w:tcMar>
          </w:tcPr>
          <w:p w14:paraId="732C63C2" w14:textId="77777777" w:rsidR="001E53DC" w:rsidRDefault="00000000">
            <w:pPr>
              <w:spacing w:before="40" w:after="40" w:line="252" w:lineRule="auto"/>
            </w:pPr>
            <w:r>
              <w:rPr>
                <w:sz w:val="18"/>
              </w:rPr>
              <w:t>Vis-NIR + MIR Diffuse Reflectance</w:t>
            </w:r>
          </w:p>
        </w:tc>
        <w:tc>
          <w:tcPr>
            <w:tcW w:w="1584" w:type="dxa"/>
            <w:shd w:val="clear" w:color="auto" w:fill="F4F7FA"/>
            <w:tcMar>
              <w:top w:w="80" w:type="dxa"/>
              <w:left w:w="100" w:type="dxa"/>
              <w:bottom w:w="80" w:type="dxa"/>
              <w:right w:w="100" w:type="dxa"/>
            </w:tcMar>
          </w:tcPr>
          <w:p w14:paraId="08FC0423" w14:textId="77777777" w:rsidR="001E53DC" w:rsidRDefault="00000000">
            <w:pPr>
              <w:spacing w:before="40" w:after="40" w:line="252" w:lineRule="auto"/>
            </w:pPr>
            <w:r>
              <w:rPr>
                <w:sz w:val="18"/>
              </w:rPr>
              <w:t>Ensemble Machine Learning (RF, Gradient Boosting)</w:t>
            </w:r>
          </w:p>
        </w:tc>
        <w:tc>
          <w:tcPr>
            <w:tcW w:w="1872" w:type="dxa"/>
            <w:shd w:val="clear" w:color="auto" w:fill="F4F7FA"/>
            <w:tcMar>
              <w:top w:w="80" w:type="dxa"/>
              <w:left w:w="100" w:type="dxa"/>
              <w:bottom w:w="80" w:type="dxa"/>
              <w:right w:w="100" w:type="dxa"/>
            </w:tcMar>
          </w:tcPr>
          <w:p w14:paraId="47377387" w14:textId="77777777" w:rsidR="001E53DC" w:rsidRDefault="00000000">
            <w:pPr>
              <w:spacing w:before="40" w:after="40" w:line="252" w:lineRule="auto"/>
            </w:pPr>
            <w:r>
              <w:rPr>
                <w:sz w:val="18"/>
              </w:rPr>
              <w:t>SOC: R²=0.78, RPD=2.10 (C)</w:t>
            </w:r>
            <w:r>
              <w:rPr>
                <w:sz w:val="18"/>
              </w:rPr>
              <w:br/>
              <w:t>N: R²=0.74, P: R²=0.51 (D)</w:t>
            </w:r>
            <w:r>
              <w:rPr>
                <w:sz w:val="18"/>
              </w:rPr>
              <w:br/>
              <w:t>Large-scale mapping benchmark</w:t>
            </w:r>
          </w:p>
        </w:tc>
      </w:tr>
      <w:tr w:rsidR="001E53DC" w14:paraId="5CBC2941" w14:textId="77777777">
        <w:trPr>
          <w:jc w:val="center"/>
        </w:trPr>
        <w:tc>
          <w:tcPr>
            <w:tcW w:w="1584" w:type="dxa"/>
            <w:shd w:val="clear" w:color="auto" w:fill="FFFFFF"/>
            <w:tcMar>
              <w:top w:w="80" w:type="dxa"/>
              <w:left w:w="100" w:type="dxa"/>
              <w:bottom w:w="80" w:type="dxa"/>
              <w:right w:w="100" w:type="dxa"/>
            </w:tcMar>
          </w:tcPr>
          <w:p w14:paraId="074A96E3" w14:textId="77777777" w:rsidR="001E53DC" w:rsidRDefault="00000000">
            <w:pPr>
              <w:spacing w:before="40" w:after="40" w:line="252" w:lineRule="auto"/>
            </w:pPr>
            <w:r>
              <w:rPr>
                <w:sz w:val="18"/>
              </w:rPr>
              <w:t>Eilers &amp; Boelens (2005)</w:t>
            </w:r>
          </w:p>
        </w:tc>
        <w:tc>
          <w:tcPr>
            <w:tcW w:w="1440" w:type="dxa"/>
            <w:shd w:val="clear" w:color="auto" w:fill="FFFFFF"/>
            <w:tcMar>
              <w:top w:w="80" w:type="dxa"/>
              <w:left w:w="100" w:type="dxa"/>
              <w:bottom w:w="80" w:type="dxa"/>
              <w:right w:w="100" w:type="dxa"/>
            </w:tcMar>
          </w:tcPr>
          <w:p w14:paraId="538B46A6" w14:textId="77777777" w:rsidR="001E53DC" w:rsidRDefault="00000000">
            <w:pPr>
              <w:spacing w:before="40" w:after="40" w:line="252" w:lineRule="auto"/>
            </w:pPr>
            <w:r>
              <w:rPr>
                <w:sz w:val="18"/>
              </w:rPr>
              <w:t>Chemometrics Theory</w:t>
            </w:r>
            <w:r>
              <w:rPr>
                <w:sz w:val="18"/>
              </w:rPr>
              <w:br/>
              <w:t>(Seminal Paper)</w:t>
            </w:r>
          </w:p>
        </w:tc>
        <w:tc>
          <w:tcPr>
            <w:tcW w:w="1872" w:type="dxa"/>
            <w:shd w:val="clear" w:color="auto" w:fill="FFFFFF"/>
            <w:tcMar>
              <w:top w:w="80" w:type="dxa"/>
              <w:left w:w="100" w:type="dxa"/>
              <w:bottom w:w="80" w:type="dxa"/>
              <w:right w:w="100" w:type="dxa"/>
            </w:tcMar>
          </w:tcPr>
          <w:p w14:paraId="21223363" w14:textId="77777777" w:rsidR="001E53DC" w:rsidRDefault="00000000">
            <w:pPr>
              <w:spacing w:before="40" w:after="40" w:line="252" w:lineRule="auto"/>
            </w:pPr>
            <w:r>
              <w:rPr>
                <w:sz w:val="18"/>
              </w:rPr>
              <w:t>Baseline Correction Formulation</w:t>
            </w:r>
          </w:p>
        </w:tc>
        <w:tc>
          <w:tcPr>
            <w:tcW w:w="1728" w:type="dxa"/>
            <w:shd w:val="clear" w:color="auto" w:fill="FFFFFF"/>
            <w:tcMar>
              <w:top w:w="80" w:type="dxa"/>
              <w:left w:w="100" w:type="dxa"/>
              <w:bottom w:w="80" w:type="dxa"/>
              <w:right w:w="100" w:type="dxa"/>
            </w:tcMar>
          </w:tcPr>
          <w:p w14:paraId="381A11B7" w14:textId="77777777" w:rsidR="001E53DC" w:rsidRDefault="00000000">
            <w:pPr>
              <w:spacing w:before="40" w:after="40" w:line="252" w:lineRule="auto"/>
            </w:pPr>
            <w:r>
              <w:rPr>
                <w:sz w:val="18"/>
              </w:rPr>
              <w:t>Asymmetric Least Squares (ALS) Sparse Solver</w:t>
            </w:r>
          </w:p>
        </w:tc>
        <w:tc>
          <w:tcPr>
            <w:tcW w:w="1584" w:type="dxa"/>
            <w:shd w:val="clear" w:color="auto" w:fill="FFFFFF"/>
            <w:tcMar>
              <w:top w:w="80" w:type="dxa"/>
              <w:left w:w="100" w:type="dxa"/>
              <w:bottom w:w="80" w:type="dxa"/>
              <w:right w:w="100" w:type="dxa"/>
            </w:tcMar>
          </w:tcPr>
          <w:p w14:paraId="5B266E86" w14:textId="77777777" w:rsidR="001E53DC" w:rsidRDefault="00000000">
            <w:pPr>
              <w:spacing w:before="40" w:after="40" w:line="252" w:lineRule="auto"/>
            </w:pPr>
            <w:r>
              <w:rPr>
                <w:sz w:val="18"/>
              </w:rPr>
              <w:t>Penalized Least Squares with second differences</w:t>
            </w:r>
          </w:p>
        </w:tc>
        <w:tc>
          <w:tcPr>
            <w:tcW w:w="1872" w:type="dxa"/>
            <w:shd w:val="clear" w:color="auto" w:fill="FFFFFF"/>
            <w:tcMar>
              <w:top w:w="80" w:type="dxa"/>
              <w:left w:w="100" w:type="dxa"/>
              <w:bottom w:w="80" w:type="dxa"/>
              <w:right w:w="100" w:type="dxa"/>
            </w:tcMar>
          </w:tcPr>
          <w:p w14:paraId="6C6AEABC" w14:textId="77777777" w:rsidR="001E53DC" w:rsidRDefault="00000000">
            <w:pPr>
              <w:spacing w:before="40" w:after="40" w:line="252" w:lineRule="auto"/>
            </w:pPr>
            <w:r>
              <w:rPr>
                <w:sz w:val="18"/>
              </w:rPr>
              <w:t>Solved baseline curvature in &lt; 5 ms</w:t>
            </w:r>
            <w:r>
              <w:rPr>
                <w:sz w:val="18"/>
              </w:rPr>
              <w:br/>
              <w:t>Formed mathematical basis for</w:t>
            </w:r>
            <w:r>
              <w:rPr>
                <w:sz w:val="18"/>
              </w:rPr>
              <w:br/>
              <w:t>non-destructive spectral baseline fix</w:t>
            </w:r>
          </w:p>
        </w:tc>
      </w:tr>
      <w:tr w:rsidR="001E53DC" w14:paraId="3C84F572" w14:textId="77777777">
        <w:trPr>
          <w:jc w:val="center"/>
        </w:trPr>
        <w:tc>
          <w:tcPr>
            <w:tcW w:w="1584" w:type="dxa"/>
            <w:shd w:val="clear" w:color="auto" w:fill="F4F7FA"/>
            <w:tcMar>
              <w:top w:w="80" w:type="dxa"/>
              <w:left w:w="100" w:type="dxa"/>
              <w:bottom w:w="80" w:type="dxa"/>
              <w:right w:w="100" w:type="dxa"/>
            </w:tcMar>
          </w:tcPr>
          <w:p w14:paraId="39877F4D" w14:textId="77777777" w:rsidR="001E53DC" w:rsidRDefault="00000000">
            <w:pPr>
              <w:spacing w:before="40" w:after="40" w:line="252" w:lineRule="auto"/>
            </w:pPr>
            <w:r>
              <w:rPr>
                <w:sz w:val="18"/>
              </w:rPr>
              <w:t>Zhang et al. (2010)</w:t>
            </w:r>
          </w:p>
        </w:tc>
        <w:tc>
          <w:tcPr>
            <w:tcW w:w="1440" w:type="dxa"/>
            <w:shd w:val="clear" w:color="auto" w:fill="F4F7FA"/>
            <w:tcMar>
              <w:top w:w="80" w:type="dxa"/>
              <w:left w:w="100" w:type="dxa"/>
              <w:bottom w:w="80" w:type="dxa"/>
              <w:right w:w="100" w:type="dxa"/>
            </w:tcMar>
          </w:tcPr>
          <w:p w14:paraId="1E2B7AE7" w14:textId="77777777" w:rsidR="001E53DC" w:rsidRDefault="00000000">
            <w:pPr>
              <w:spacing w:before="40" w:after="40" w:line="252" w:lineRule="auto"/>
            </w:pPr>
            <w:r>
              <w:rPr>
                <w:sz w:val="18"/>
              </w:rPr>
              <w:t>Analytical Chemistry</w:t>
            </w:r>
            <w:r>
              <w:rPr>
                <w:sz w:val="18"/>
              </w:rPr>
              <w:br/>
              <w:t>(Algorithm Paper)</w:t>
            </w:r>
          </w:p>
        </w:tc>
        <w:tc>
          <w:tcPr>
            <w:tcW w:w="1872" w:type="dxa"/>
            <w:shd w:val="clear" w:color="auto" w:fill="F4F7FA"/>
            <w:tcMar>
              <w:top w:w="80" w:type="dxa"/>
              <w:left w:w="100" w:type="dxa"/>
              <w:bottom w:w="80" w:type="dxa"/>
              <w:right w:w="100" w:type="dxa"/>
            </w:tcMar>
          </w:tcPr>
          <w:p w14:paraId="05169FCD" w14:textId="77777777" w:rsidR="001E53DC" w:rsidRDefault="00000000">
            <w:pPr>
              <w:spacing w:before="40" w:after="40" w:line="252" w:lineRule="auto"/>
            </w:pPr>
            <w:r>
              <w:rPr>
                <w:sz w:val="18"/>
              </w:rPr>
              <w:t>Background Drift Formulation</w:t>
            </w:r>
          </w:p>
        </w:tc>
        <w:tc>
          <w:tcPr>
            <w:tcW w:w="1728" w:type="dxa"/>
            <w:shd w:val="clear" w:color="auto" w:fill="F4F7FA"/>
            <w:tcMar>
              <w:top w:w="80" w:type="dxa"/>
              <w:left w:w="100" w:type="dxa"/>
              <w:bottom w:w="80" w:type="dxa"/>
              <w:right w:w="100" w:type="dxa"/>
            </w:tcMar>
          </w:tcPr>
          <w:p w14:paraId="4FFD3192" w14:textId="77777777" w:rsidR="001E53DC" w:rsidRDefault="00000000">
            <w:pPr>
              <w:spacing w:before="40" w:after="40" w:line="252" w:lineRule="auto"/>
            </w:pPr>
            <w:r>
              <w:rPr>
                <w:sz w:val="18"/>
              </w:rPr>
              <w:t>airPLS (Adaptive Iteratively Reweighted PLS)</w:t>
            </w:r>
          </w:p>
        </w:tc>
        <w:tc>
          <w:tcPr>
            <w:tcW w:w="1584" w:type="dxa"/>
            <w:shd w:val="clear" w:color="auto" w:fill="F4F7FA"/>
            <w:tcMar>
              <w:top w:w="80" w:type="dxa"/>
              <w:left w:w="100" w:type="dxa"/>
              <w:bottom w:w="80" w:type="dxa"/>
              <w:right w:w="100" w:type="dxa"/>
            </w:tcMar>
          </w:tcPr>
          <w:p w14:paraId="3F638D6C" w14:textId="77777777" w:rsidR="001E53DC" w:rsidRDefault="00000000">
            <w:pPr>
              <w:spacing w:before="40" w:after="40" w:line="252" w:lineRule="auto"/>
            </w:pPr>
            <w:r>
              <w:rPr>
                <w:sz w:val="18"/>
              </w:rPr>
              <w:t>Dynamic weight update on negative residuals</w:t>
            </w:r>
          </w:p>
        </w:tc>
        <w:tc>
          <w:tcPr>
            <w:tcW w:w="1872" w:type="dxa"/>
            <w:shd w:val="clear" w:color="auto" w:fill="F4F7FA"/>
            <w:tcMar>
              <w:top w:w="80" w:type="dxa"/>
              <w:left w:w="100" w:type="dxa"/>
              <w:bottom w:w="80" w:type="dxa"/>
              <w:right w:w="100" w:type="dxa"/>
            </w:tcMar>
          </w:tcPr>
          <w:p w14:paraId="69354AD6" w14:textId="77777777" w:rsidR="001E53DC" w:rsidRDefault="00000000">
            <w:pPr>
              <w:spacing w:before="40" w:after="40" w:line="252" w:lineRule="auto"/>
            </w:pPr>
            <w:r>
              <w:rPr>
                <w:sz w:val="18"/>
              </w:rPr>
              <w:t>Converged 4x faster than standard ALS</w:t>
            </w:r>
            <w:r>
              <w:rPr>
                <w:sz w:val="18"/>
              </w:rPr>
              <w:br/>
              <w:t>Eliminated manual asymmetry tuning</w:t>
            </w:r>
            <w:r>
              <w:rPr>
                <w:sz w:val="18"/>
              </w:rPr>
              <w:br/>
              <w:t>Crucial for automated edge pipelines</w:t>
            </w:r>
          </w:p>
        </w:tc>
      </w:tr>
      <w:tr w:rsidR="001E53DC" w14:paraId="705960CB" w14:textId="77777777">
        <w:trPr>
          <w:jc w:val="center"/>
        </w:trPr>
        <w:tc>
          <w:tcPr>
            <w:tcW w:w="1584" w:type="dxa"/>
            <w:shd w:val="clear" w:color="auto" w:fill="FFFFFF"/>
            <w:tcMar>
              <w:top w:w="80" w:type="dxa"/>
              <w:left w:w="100" w:type="dxa"/>
              <w:bottom w:w="80" w:type="dxa"/>
              <w:right w:w="100" w:type="dxa"/>
            </w:tcMar>
          </w:tcPr>
          <w:p w14:paraId="53C8DA00" w14:textId="77777777" w:rsidR="001E53DC" w:rsidRDefault="00000000">
            <w:pPr>
              <w:spacing w:before="40" w:after="40" w:line="252" w:lineRule="auto"/>
            </w:pPr>
            <w:r>
              <w:rPr>
                <w:sz w:val="18"/>
              </w:rPr>
              <w:t>Rinnan et al. (2009)</w:t>
            </w:r>
          </w:p>
        </w:tc>
        <w:tc>
          <w:tcPr>
            <w:tcW w:w="1440" w:type="dxa"/>
            <w:shd w:val="clear" w:color="auto" w:fill="FFFFFF"/>
            <w:tcMar>
              <w:top w:w="80" w:type="dxa"/>
              <w:left w:w="100" w:type="dxa"/>
              <w:bottom w:w="80" w:type="dxa"/>
              <w:right w:w="100" w:type="dxa"/>
            </w:tcMar>
          </w:tcPr>
          <w:p w14:paraId="5B6005B2" w14:textId="77777777" w:rsidR="001E53DC" w:rsidRDefault="00000000">
            <w:pPr>
              <w:spacing w:before="40" w:after="40" w:line="252" w:lineRule="auto"/>
            </w:pPr>
            <w:r>
              <w:rPr>
                <w:sz w:val="18"/>
              </w:rPr>
              <w:t>TrAC Chemometrics</w:t>
            </w:r>
            <w:r>
              <w:rPr>
                <w:sz w:val="18"/>
              </w:rPr>
              <w:br/>
            </w:r>
            <w:r>
              <w:rPr>
                <w:sz w:val="18"/>
              </w:rPr>
              <w:lastRenderedPageBreak/>
              <w:t>(Review Paper)</w:t>
            </w:r>
          </w:p>
        </w:tc>
        <w:tc>
          <w:tcPr>
            <w:tcW w:w="1872" w:type="dxa"/>
            <w:shd w:val="clear" w:color="auto" w:fill="FFFFFF"/>
            <w:tcMar>
              <w:top w:w="80" w:type="dxa"/>
              <w:left w:w="100" w:type="dxa"/>
              <w:bottom w:w="80" w:type="dxa"/>
              <w:right w:w="100" w:type="dxa"/>
            </w:tcMar>
          </w:tcPr>
          <w:p w14:paraId="0DC75363" w14:textId="77777777" w:rsidR="001E53DC" w:rsidRDefault="00000000">
            <w:pPr>
              <w:spacing w:before="40" w:after="40" w:line="252" w:lineRule="auto"/>
            </w:pPr>
            <w:r>
              <w:rPr>
                <w:sz w:val="18"/>
              </w:rPr>
              <w:lastRenderedPageBreak/>
              <w:t>Near-Infrared Preprocessing</w:t>
            </w:r>
          </w:p>
        </w:tc>
        <w:tc>
          <w:tcPr>
            <w:tcW w:w="1728" w:type="dxa"/>
            <w:shd w:val="clear" w:color="auto" w:fill="FFFFFF"/>
            <w:tcMar>
              <w:top w:w="80" w:type="dxa"/>
              <w:left w:w="100" w:type="dxa"/>
              <w:bottom w:w="80" w:type="dxa"/>
              <w:right w:w="100" w:type="dxa"/>
            </w:tcMar>
          </w:tcPr>
          <w:p w14:paraId="32D6A8A6" w14:textId="77777777" w:rsidR="001E53DC" w:rsidRDefault="00000000">
            <w:pPr>
              <w:spacing w:before="40" w:after="40" w:line="252" w:lineRule="auto"/>
            </w:pPr>
            <w:r>
              <w:rPr>
                <w:sz w:val="18"/>
              </w:rPr>
              <w:t xml:space="preserve">Comparative review of SNV, </w:t>
            </w:r>
            <w:r>
              <w:rPr>
                <w:sz w:val="18"/>
              </w:rPr>
              <w:lastRenderedPageBreak/>
              <w:t>MSC, SG, OSC</w:t>
            </w:r>
          </w:p>
        </w:tc>
        <w:tc>
          <w:tcPr>
            <w:tcW w:w="1584" w:type="dxa"/>
            <w:shd w:val="clear" w:color="auto" w:fill="FFFFFF"/>
            <w:tcMar>
              <w:top w:w="80" w:type="dxa"/>
              <w:left w:w="100" w:type="dxa"/>
              <w:bottom w:w="80" w:type="dxa"/>
              <w:right w:w="100" w:type="dxa"/>
            </w:tcMar>
          </w:tcPr>
          <w:p w14:paraId="7010BE2B" w14:textId="77777777" w:rsidR="001E53DC" w:rsidRDefault="00000000">
            <w:pPr>
              <w:spacing w:before="40" w:after="40" w:line="252" w:lineRule="auto"/>
            </w:pPr>
            <w:r>
              <w:rPr>
                <w:sz w:val="18"/>
              </w:rPr>
              <w:lastRenderedPageBreak/>
              <w:t xml:space="preserve">PLSR benchmarks across NIR </w:t>
            </w:r>
            <w:r>
              <w:rPr>
                <w:sz w:val="18"/>
              </w:rPr>
              <w:lastRenderedPageBreak/>
              <w:t>datasets</w:t>
            </w:r>
          </w:p>
        </w:tc>
        <w:tc>
          <w:tcPr>
            <w:tcW w:w="1872" w:type="dxa"/>
            <w:shd w:val="clear" w:color="auto" w:fill="FFFFFF"/>
            <w:tcMar>
              <w:top w:w="80" w:type="dxa"/>
              <w:left w:w="100" w:type="dxa"/>
              <w:bottom w:w="80" w:type="dxa"/>
              <w:right w:w="100" w:type="dxa"/>
            </w:tcMar>
          </w:tcPr>
          <w:p w14:paraId="4D5C7DF8" w14:textId="77777777" w:rsidR="001E53DC" w:rsidRDefault="00000000">
            <w:pPr>
              <w:spacing w:before="40" w:after="40" w:line="252" w:lineRule="auto"/>
            </w:pPr>
            <w:r>
              <w:rPr>
                <w:sz w:val="18"/>
              </w:rPr>
              <w:lastRenderedPageBreak/>
              <w:t>Proved improper derivative orders</w:t>
            </w:r>
            <w:r>
              <w:rPr>
                <w:sz w:val="18"/>
              </w:rPr>
              <w:br/>
              <w:t>amplify high-</w:t>
            </w:r>
            <w:r>
              <w:rPr>
                <w:sz w:val="18"/>
              </w:rPr>
              <w:lastRenderedPageBreak/>
              <w:t>frequency noise and</w:t>
            </w:r>
            <w:r>
              <w:rPr>
                <w:sz w:val="18"/>
              </w:rPr>
              <w:br/>
              <w:t>degrade validation R²</w:t>
            </w:r>
          </w:p>
        </w:tc>
      </w:tr>
      <w:tr w:rsidR="001E53DC" w14:paraId="6878708B" w14:textId="77777777">
        <w:trPr>
          <w:jc w:val="center"/>
        </w:trPr>
        <w:tc>
          <w:tcPr>
            <w:tcW w:w="1584" w:type="dxa"/>
            <w:shd w:val="clear" w:color="auto" w:fill="F4F7FA"/>
            <w:tcMar>
              <w:top w:w="80" w:type="dxa"/>
              <w:left w:w="100" w:type="dxa"/>
              <w:bottom w:w="80" w:type="dxa"/>
              <w:right w:w="100" w:type="dxa"/>
            </w:tcMar>
          </w:tcPr>
          <w:p w14:paraId="2FE33373" w14:textId="77777777" w:rsidR="001E53DC" w:rsidRDefault="00000000">
            <w:pPr>
              <w:spacing w:before="40" w:after="40" w:line="252" w:lineRule="auto"/>
            </w:pPr>
            <w:r>
              <w:rPr>
                <w:sz w:val="18"/>
              </w:rPr>
              <w:lastRenderedPageBreak/>
              <w:t>Bellon-Maurel (2011)</w:t>
            </w:r>
          </w:p>
        </w:tc>
        <w:tc>
          <w:tcPr>
            <w:tcW w:w="1440" w:type="dxa"/>
            <w:shd w:val="clear" w:color="auto" w:fill="F4F7FA"/>
            <w:tcMar>
              <w:top w:w="80" w:type="dxa"/>
              <w:left w:w="100" w:type="dxa"/>
              <w:bottom w:w="80" w:type="dxa"/>
              <w:right w:w="100" w:type="dxa"/>
            </w:tcMar>
          </w:tcPr>
          <w:p w14:paraId="3A39853D" w14:textId="77777777" w:rsidR="001E53DC" w:rsidRDefault="00000000">
            <w:pPr>
              <w:spacing w:before="40" w:after="40" w:line="252" w:lineRule="auto"/>
            </w:pPr>
            <w:r>
              <w:rPr>
                <w:sz w:val="18"/>
              </w:rPr>
              <w:t>TrAC Soil Review</w:t>
            </w:r>
            <w:r>
              <w:rPr>
                <w:sz w:val="18"/>
              </w:rPr>
              <w:br/>
              <w:t>(100+ papers)</w:t>
            </w:r>
          </w:p>
        </w:tc>
        <w:tc>
          <w:tcPr>
            <w:tcW w:w="1872" w:type="dxa"/>
            <w:shd w:val="clear" w:color="auto" w:fill="F4F7FA"/>
            <w:tcMar>
              <w:top w:w="80" w:type="dxa"/>
              <w:left w:w="100" w:type="dxa"/>
              <w:bottom w:w="80" w:type="dxa"/>
              <w:right w:w="100" w:type="dxa"/>
            </w:tcMar>
          </w:tcPr>
          <w:p w14:paraId="4BB9536B" w14:textId="77777777" w:rsidR="001E53DC" w:rsidRDefault="00000000">
            <w:pPr>
              <w:spacing w:before="40" w:after="40" w:line="252" w:lineRule="auto"/>
            </w:pPr>
            <w:r>
              <w:rPr>
                <w:sz w:val="18"/>
              </w:rPr>
              <w:t>Soil Organic Carbon, Bulk Density</w:t>
            </w:r>
          </w:p>
        </w:tc>
        <w:tc>
          <w:tcPr>
            <w:tcW w:w="1728" w:type="dxa"/>
            <w:shd w:val="clear" w:color="auto" w:fill="F4F7FA"/>
            <w:tcMar>
              <w:top w:w="80" w:type="dxa"/>
              <w:left w:w="100" w:type="dxa"/>
              <w:bottom w:w="80" w:type="dxa"/>
              <w:right w:w="100" w:type="dxa"/>
            </w:tcMar>
          </w:tcPr>
          <w:p w14:paraId="1FC21D0B" w14:textId="77777777" w:rsidR="001E53DC" w:rsidRDefault="00000000">
            <w:pPr>
              <w:spacing w:before="40" w:after="40" w:line="252" w:lineRule="auto"/>
            </w:pPr>
            <w:r>
              <w:rPr>
                <w:sz w:val="18"/>
              </w:rPr>
              <w:t>Comprehensive review of Vis-NIR / MIR spectroscopy</w:t>
            </w:r>
          </w:p>
        </w:tc>
        <w:tc>
          <w:tcPr>
            <w:tcW w:w="1584" w:type="dxa"/>
            <w:shd w:val="clear" w:color="auto" w:fill="F4F7FA"/>
            <w:tcMar>
              <w:top w:w="80" w:type="dxa"/>
              <w:left w:w="100" w:type="dxa"/>
              <w:bottom w:w="80" w:type="dxa"/>
              <w:right w:w="100" w:type="dxa"/>
            </w:tcMar>
          </w:tcPr>
          <w:p w14:paraId="74E0FB6C" w14:textId="77777777" w:rsidR="001E53DC" w:rsidRDefault="00000000">
            <w:pPr>
              <w:spacing w:before="40" w:after="40" w:line="252" w:lineRule="auto"/>
            </w:pPr>
            <w:r>
              <w:rPr>
                <w:sz w:val="18"/>
              </w:rPr>
              <w:t>Evaluation of PLSR, SVR, Local Models</w:t>
            </w:r>
          </w:p>
        </w:tc>
        <w:tc>
          <w:tcPr>
            <w:tcW w:w="1872" w:type="dxa"/>
            <w:shd w:val="clear" w:color="auto" w:fill="F4F7FA"/>
            <w:tcMar>
              <w:top w:w="80" w:type="dxa"/>
              <w:left w:w="100" w:type="dxa"/>
              <w:bottom w:w="80" w:type="dxa"/>
              <w:right w:w="100" w:type="dxa"/>
            </w:tcMar>
          </w:tcPr>
          <w:p w14:paraId="761A428F" w14:textId="77777777" w:rsidR="001E53DC" w:rsidRDefault="00000000">
            <w:pPr>
              <w:spacing w:before="40" w:after="40" w:line="252" w:lineRule="auto"/>
            </w:pPr>
            <w:r>
              <w:rPr>
                <w:sz w:val="18"/>
              </w:rPr>
              <w:t>Established standard RPD scale:</w:t>
            </w:r>
            <w:r>
              <w:rPr>
                <w:sz w:val="18"/>
              </w:rPr>
              <w:br/>
              <w:t>RPD &lt; 1.4: Unreliable</w:t>
            </w:r>
            <w:r>
              <w:rPr>
                <w:sz w:val="18"/>
              </w:rPr>
              <w:br/>
              <w:t>1.4 – 2.0: Fair, &gt; 2.0: Excellent</w:t>
            </w:r>
          </w:p>
        </w:tc>
      </w:tr>
      <w:tr w:rsidR="001E53DC" w14:paraId="373991FB" w14:textId="77777777">
        <w:trPr>
          <w:jc w:val="center"/>
        </w:trPr>
        <w:tc>
          <w:tcPr>
            <w:tcW w:w="1584" w:type="dxa"/>
            <w:shd w:val="clear" w:color="auto" w:fill="FFFFFF"/>
            <w:tcMar>
              <w:top w:w="80" w:type="dxa"/>
              <w:left w:w="100" w:type="dxa"/>
              <w:bottom w:w="80" w:type="dxa"/>
              <w:right w:w="100" w:type="dxa"/>
            </w:tcMar>
          </w:tcPr>
          <w:p w14:paraId="6F82636D" w14:textId="77777777" w:rsidR="001E53DC" w:rsidRDefault="00000000">
            <w:pPr>
              <w:spacing w:before="40" w:after="40" w:line="252" w:lineRule="auto"/>
            </w:pPr>
            <w:r>
              <w:rPr>
                <w:sz w:val="18"/>
              </w:rPr>
              <w:t>Somarathna et al. (2016)</w:t>
            </w:r>
          </w:p>
        </w:tc>
        <w:tc>
          <w:tcPr>
            <w:tcW w:w="1440" w:type="dxa"/>
            <w:shd w:val="clear" w:color="auto" w:fill="FFFFFF"/>
            <w:tcMar>
              <w:top w:w="80" w:type="dxa"/>
              <w:left w:w="100" w:type="dxa"/>
              <w:bottom w:w="80" w:type="dxa"/>
              <w:right w:w="100" w:type="dxa"/>
            </w:tcMar>
          </w:tcPr>
          <w:p w14:paraId="782D521E" w14:textId="77777777" w:rsidR="001E53DC" w:rsidRDefault="00000000">
            <w:pPr>
              <w:spacing w:before="40" w:after="40" w:line="252" w:lineRule="auto"/>
            </w:pPr>
            <w:r>
              <w:rPr>
                <w:sz w:val="18"/>
              </w:rPr>
              <w:t>Australian Topsoils</w:t>
            </w:r>
            <w:r>
              <w:rPr>
                <w:sz w:val="18"/>
              </w:rPr>
              <w:br/>
              <w:t>(1,100 samples)</w:t>
            </w:r>
          </w:p>
        </w:tc>
        <w:tc>
          <w:tcPr>
            <w:tcW w:w="1872" w:type="dxa"/>
            <w:shd w:val="clear" w:color="auto" w:fill="FFFFFF"/>
            <w:tcMar>
              <w:top w:w="80" w:type="dxa"/>
              <w:left w:w="100" w:type="dxa"/>
              <w:bottom w:w="80" w:type="dxa"/>
              <w:right w:w="100" w:type="dxa"/>
            </w:tcMar>
          </w:tcPr>
          <w:p w14:paraId="7DB43D1C" w14:textId="77777777" w:rsidR="001E53DC" w:rsidRDefault="00000000">
            <w:pPr>
              <w:spacing w:before="40" w:after="40" w:line="252" w:lineRule="auto"/>
            </w:pPr>
            <w:r>
              <w:rPr>
                <w:sz w:val="18"/>
              </w:rPr>
              <w:t>SOC fractions (Particulate, Humic, Resistant)</w:t>
            </w:r>
          </w:p>
        </w:tc>
        <w:tc>
          <w:tcPr>
            <w:tcW w:w="1728" w:type="dxa"/>
            <w:shd w:val="clear" w:color="auto" w:fill="FFFFFF"/>
            <w:tcMar>
              <w:top w:w="80" w:type="dxa"/>
              <w:left w:w="100" w:type="dxa"/>
              <w:bottom w:w="80" w:type="dxa"/>
              <w:right w:w="100" w:type="dxa"/>
            </w:tcMar>
          </w:tcPr>
          <w:p w14:paraId="069950E3" w14:textId="77777777" w:rsidR="001E53DC" w:rsidRDefault="00000000">
            <w:pPr>
              <w:spacing w:before="40" w:after="40" w:line="252" w:lineRule="auto"/>
            </w:pPr>
            <w:r>
              <w:rPr>
                <w:sz w:val="18"/>
              </w:rPr>
              <w:t>Upper Convex Hull Continuum Removal, SNV</w:t>
            </w:r>
          </w:p>
        </w:tc>
        <w:tc>
          <w:tcPr>
            <w:tcW w:w="1584" w:type="dxa"/>
            <w:shd w:val="clear" w:color="auto" w:fill="FFFFFF"/>
            <w:tcMar>
              <w:top w:w="80" w:type="dxa"/>
              <w:left w:w="100" w:type="dxa"/>
              <w:bottom w:w="80" w:type="dxa"/>
              <w:right w:w="100" w:type="dxa"/>
            </w:tcMar>
          </w:tcPr>
          <w:p w14:paraId="42C0D5BA" w14:textId="77777777" w:rsidR="001E53DC" w:rsidRDefault="00000000">
            <w:pPr>
              <w:spacing w:before="40" w:after="40" w:line="252" w:lineRule="auto"/>
            </w:pPr>
            <w:r>
              <w:rPr>
                <w:sz w:val="18"/>
              </w:rPr>
              <w:t>Cubist, Random Forest, PLSR</w:t>
            </w:r>
          </w:p>
        </w:tc>
        <w:tc>
          <w:tcPr>
            <w:tcW w:w="1872" w:type="dxa"/>
            <w:shd w:val="clear" w:color="auto" w:fill="FFFFFF"/>
            <w:tcMar>
              <w:top w:w="80" w:type="dxa"/>
              <w:left w:w="100" w:type="dxa"/>
              <w:bottom w:w="80" w:type="dxa"/>
              <w:right w:w="100" w:type="dxa"/>
            </w:tcMar>
          </w:tcPr>
          <w:p w14:paraId="7AD4226C" w14:textId="77777777" w:rsidR="001E53DC" w:rsidRDefault="00000000">
            <w:pPr>
              <w:spacing w:before="40" w:after="40" w:line="252" w:lineRule="auto"/>
            </w:pPr>
            <w:r>
              <w:rPr>
                <w:sz w:val="18"/>
              </w:rPr>
              <w:t>Humic OC: R²=0.81, RPD=2.3 (C)</w:t>
            </w:r>
            <w:r>
              <w:rPr>
                <w:sz w:val="18"/>
              </w:rPr>
              <w:br/>
              <w:t>Particulate OC: R²=0.74 (C)</w:t>
            </w:r>
            <w:r>
              <w:rPr>
                <w:sz w:val="18"/>
              </w:rPr>
              <w:br/>
              <w:t>Continuum removal isolated humics</w:t>
            </w:r>
          </w:p>
        </w:tc>
      </w:tr>
      <w:tr w:rsidR="001E53DC" w14:paraId="7192C16A" w14:textId="77777777">
        <w:trPr>
          <w:jc w:val="center"/>
        </w:trPr>
        <w:tc>
          <w:tcPr>
            <w:tcW w:w="1584" w:type="dxa"/>
            <w:shd w:val="clear" w:color="auto" w:fill="F4F7FA"/>
            <w:tcMar>
              <w:top w:w="80" w:type="dxa"/>
              <w:left w:w="100" w:type="dxa"/>
              <w:bottom w:w="80" w:type="dxa"/>
              <w:right w:w="100" w:type="dxa"/>
            </w:tcMar>
          </w:tcPr>
          <w:p w14:paraId="36A210B1" w14:textId="77777777" w:rsidR="001E53DC" w:rsidRDefault="00000000">
            <w:pPr>
              <w:spacing w:before="40" w:after="40" w:line="252" w:lineRule="auto"/>
            </w:pPr>
            <w:r>
              <w:rPr>
                <w:sz w:val="18"/>
              </w:rPr>
              <w:t>Chen et al. (2022)</w:t>
            </w:r>
          </w:p>
        </w:tc>
        <w:tc>
          <w:tcPr>
            <w:tcW w:w="1440" w:type="dxa"/>
            <w:shd w:val="clear" w:color="auto" w:fill="F4F7FA"/>
            <w:tcMar>
              <w:top w:w="80" w:type="dxa"/>
              <w:left w:w="100" w:type="dxa"/>
              <w:bottom w:w="80" w:type="dxa"/>
              <w:right w:w="100" w:type="dxa"/>
            </w:tcMar>
          </w:tcPr>
          <w:p w14:paraId="02672D39" w14:textId="77777777" w:rsidR="001E53DC" w:rsidRDefault="00000000">
            <w:pPr>
              <w:spacing w:before="40" w:after="40" w:line="252" w:lineRule="auto"/>
            </w:pPr>
            <w:r>
              <w:rPr>
                <w:sz w:val="18"/>
              </w:rPr>
              <w:t>UAV Hyperspectral</w:t>
            </w:r>
            <w:r>
              <w:rPr>
                <w:sz w:val="18"/>
              </w:rPr>
              <w:br/>
              <w:t>(Nano-Hyperspec)</w:t>
            </w:r>
          </w:p>
        </w:tc>
        <w:tc>
          <w:tcPr>
            <w:tcW w:w="1872" w:type="dxa"/>
            <w:shd w:val="clear" w:color="auto" w:fill="F4F7FA"/>
            <w:tcMar>
              <w:top w:w="80" w:type="dxa"/>
              <w:left w:w="100" w:type="dxa"/>
              <w:bottom w:w="80" w:type="dxa"/>
              <w:right w:w="100" w:type="dxa"/>
            </w:tcMar>
          </w:tcPr>
          <w:p w14:paraId="4B3E8BCB" w14:textId="77777777" w:rsidR="001E53DC" w:rsidRDefault="00000000">
            <w:pPr>
              <w:spacing w:before="40" w:after="40" w:line="252" w:lineRule="auto"/>
            </w:pPr>
            <w:r>
              <w:rPr>
                <w:sz w:val="18"/>
              </w:rPr>
              <w:t>Soil Organic Matter (SOM)</w:t>
            </w:r>
          </w:p>
        </w:tc>
        <w:tc>
          <w:tcPr>
            <w:tcW w:w="1728" w:type="dxa"/>
            <w:shd w:val="clear" w:color="auto" w:fill="F4F7FA"/>
            <w:tcMar>
              <w:top w:w="80" w:type="dxa"/>
              <w:left w:w="100" w:type="dxa"/>
              <w:bottom w:w="80" w:type="dxa"/>
              <w:right w:w="100" w:type="dxa"/>
            </w:tcMar>
          </w:tcPr>
          <w:p w14:paraId="3985CB68" w14:textId="77777777" w:rsidR="001E53DC" w:rsidRDefault="00000000">
            <w:pPr>
              <w:spacing w:before="40" w:after="40" w:line="252" w:lineRule="auto"/>
            </w:pPr>
            <w:r>
              <w:rPr>
                <w:sz w:val="18"/>
              </w:rPr>
              <w:t>Atmospheric correction (FLAASH), Continuum Removal</w:t>
            </w:r>
          </w:p>
        </w:tc>
        <w:tc>
          <w:tcPr>
            <w:tcW w:w="1584" w:type="dxa"/>
            <w:shd w:val="clear" w:color="auto" w:fill="F4F7FA"/>
            <w:tcMar>
              <w:top w:w="80" w:type="dxa"/>
              <w:left w:w="100" w:type="dxa"/>
              <w:bottom w:w="80" w:type="dxa"/>
              <w:right w:w="100" w:type="dxa"/>
            </w:tcMar>
          </w:tcPr>
          <w:p w14:paraId="5CD92B66" w14:textId="77777777" w:rsidR="001E53DC" w:rsidRDefault="00000000">
            <w:pPr>
              <w:spacing w:before="40" w:after="40" w:line="252" w:lineRule="auto"/>
            </w:pPr>
            <w:r>
              <w:rPr>
                <w:sz w:val="18"/>
              </w:rPr>
              <w:t>1D-CNN-Attention vs Random Forest, PLSR</w:t>
            </w:r>
          </w:p>
        </w:tc>
        <w:tc>
          <w:tcPr>
            <w:tcW w:w="1872" w:type="dxa"/>
            <w:shd w:val="clear" w:color="auto" w:fill="F4F7FA"/>
            <w:tcMar>
              <w:top w:w="80" w:type="dxa"/>
              <w:left w:w="100" w:type="dxa"/>
              <w:bottom w:w="80" w:type="dxa"/>
              <w:right w:w="100" w:type="dxa"/>
            </w:tcMar>
          </w:tcPr>
          <w:p w14:paraId="1262C0FF" w14:textId="77777777" w:rsidR="001E53DC" w:rsidRDefault="00000000">
            <w:pPr>
              <w:spacing w:before="40" w:after="40" w:line="252" w:lineRule="auto"/>
            </w:pPr>
            <w:r>
              <w:rPr>
                <w:sz w:val="18"/>
              </w:rPr>
              <w:t>SOM: R²=0.79, RMSE=2.1 g/kg</w:t>
            </w:r>
            <w:r>
              <w:rPr>
                <w:sz w:val="18"/>
              </w:rPr>
              <w:br/>
              <w:t>Verified UAV flight mapping feasible</w:t>
            </w:r>
            <w:r>
              <w:rPr>
                <w:sz w:val="18"/>
              </w:rPr>
              <w:br/>
              <w:t>when continuum removal is applied</w:t>
            </w:r>
          </w:p>
        </w:tc>
      </w:tr>
    </w:tbl>
    <w:p w14:paraId="2612E3FD" w14:textId="77777777" w:rsidR="001E53DC" w:rsidRDefault="001E53DC">
      <w:pPr>
        <w:spacing w:after="240"/>
      </w:pPr>
    </w:p>
    <w:p w14:paraId="3DC12AB7" w14:textId="77777777" w:rsidR="001E53DC" w:rsidRDefault="00000000">
      <w:r>
        <w:br w:type="page"/>
      </w:r>
    </w:p>
    <w:p w14:paraId="36908519" w14:textId="77777777" w:rsidR="001E53DC" w:rsidRDefault="00000000">
      <w:pPr>
        <w:pStyle w:val="Heading1"/>
      </w:pPr>
      <w:r>
        <w:rPr>
          <w:color w:val="003366"/>
        </w:rPr>
        <w:lastRenderedPageBreak/>
        <w:t>9. Critical Audit of Base Benchmark Paper (Cao et al., Agronomy 2024)</w:t>
      </w:r>
    </w:p>
    <w:p w14:paraId="614EE905" w14:textId="77777777" w:rsidR="001E53DC" w:rsidRDefault="00000000">
      <w:r>
        <w:t>The primary foundation and benchmark for this research is the investigation by Cao et al., published in MDPI Agronomy (September 2024), titled 'A Novel Transformer-CNN Approach for Predicting Soil Properties from LUCAS Vis-NIR Spectral Data' (Agronomy 2024, 14, 1998; https://doi.org/10.3390/agronomy14091998).</w:t>
      </w:r>
    </w:p>
    <w:p w14:paraId="2B4E55F6" w14:textId="77777777" w:rsidR="001E53DC" w:rsidRDefault="00000000">
      <w:pPr>
        <w:pStyle w:val="Heading2"/>
      </w:pPr>
      <w:r>
        <w:t>9.1 Methodological Strengths of the Base Paper</w:t>
      </w:r>
    </w:p>
    <w:p w14:paraId="77447C7B" w14:textId="77777777" w:rsidR="001E53DC" w:rsidRDefault="00000000">
      <w:r>
        <w:t>1. Multi-Target Scope: Cao et al. evaluated 11 soil parameters concurrently on the 19,036 LUCAS 2009 dataset, establishing that deep sequence architectures can simultaneously predict major soil physical properties (clay, silt, sand), physicochemical indicators (pH, CEC, CaCO3), and primary macronutrients (OC, N, P, K).</w:t>
      </w:r>
      <w:r>
        <w:br/>
        <w:t>2. Hybrid Parallel Fusion: By coupling a Multi-Head Attention Transformer branch (capturing global inter-band dependencies) in parallel with a 3-layer Conv1D branch (capturing localized overtone peaks), their model surpassed classical PLSR by 10 to 24 percentage points in R^2.</w:t>
      </w:r>
      <w:r>
        <w:br/>
        <w:t>3. High Laboratory Accuracies: Under their validation partition, the authors achieved Tier A (Excellent, RPD &gt; 3.0) on OC (R^2 = 0.94, RPD = 3.65), Total Nitrogen (R^2 = 0.94, RPD = 3.42), and pH (R^2 = 0.96).</w:t>
      </w:r>
    </w:p>
    <w:p w14:paraId="19686AC7" w14:textId="77777777" w:rsidR="001E53DC" w:rsidRDefault="00000000">
      <w:pPr>
        <w:pStyle w:val="Heading2"/>
      </w:pPr>
      <w:r>
        <w:t>9.2 Critical Vulnerabilities and Research Limitations</w:t>
      </w:r>
    </w:p>
    <w:p w14:paraId="55D523F1" w14:textId="77777777" w:rsidR="001E53DC" w:rsidRDefault="00000000">
      <w:r>
        <w:t>An exhaustive audit reveals four severe methodological vulnerabilities in Cao et al. (2024) that impede real-world agricultural deployment:</w:t>
      </w:r>
    </w:p>
    <w:p w14:paraId="6CD0B19C" w14:textId="77777777" w:rsidR="001E53DC" w:rsidRDefault="00000000">
      <w:pPr>
        <w:pStyle w:val="ListBullet"/>
      </w:pPr>
      <w:r>
        <w:rPr>
          <w:b/>
        </w:rPr>
        <w:t>Vulnerability 1: Arbitrary Spectral Downsampling &amp; Narrow Peak Loss</w:t>
      </w:r>
    </w:p>
    <w:p w14:paraId="1D3A9E71" w14:textId="77777777" w:rsidR="001E53DC" w:rsidRDefault="00000000">
      <w:pPr>
        <w:ind w:left="360"/>
      </w:pPr>
      <w:r>
        <w:t>The authors downsampled the 4,200 Vis-NIR spectral channels to just 200 points by retaining one band every 20 nm. While this reduced computational training cost, it obliterated narrow, diagnostic chemical absorption features. For example, the sharp Al-OH clay doublet at 2205 nm and the aliphatic C-H overtone at 1720 nm have full-widths-at-half-maximum (FWHM) of 15 to 25 nm; downsampling at a 20 nm step causes severe spectral aliasing and loss of critical overtone curvature.</w:t>
      </w:r>
    </w:p>
    <w:p w14:paraId="6CDD16C3" w14:textId="77777777" w:rsidR="001E53DC" w:rsidRDefault="00000000">
      <w:pPr>
        <w:pStyle w:val="ListBullet"/>
      </w:pPr>
      <w:r>
        <w:rPr>
          <w:b/>
        </w:rPr>
        <w:t>Vulnerability 2: Absence of Moisture Neutralization &amp; Baseline Correction</w:t>
      </w:r>
    </w:p>
    <w:p w14:paraId="78BF1C24" w14:textId="77777777" w:rsidR="001E53DC" w:rsidRDefault="00000000">
      <w:pPr>
        <w:ind w:left="360"/>
      </w:pPr>
      <w:r>
        <w:t>The authors applied only Savitzky-Golay smoothing and a basic first derivative. They implemented neither baseline drift correction (ALS) nor Upper Convex Hull Continuum Removal. In field spectrometers and UAV imagery, variable soil moisture generates intense absorption troughs at 1410 nm and 1920 nm, accompanied by non-linear albedo collapse. Their model fails when evaluated on moist field soils because it lacks mathematical continuum normalization.</w:t>
      </w:r>
    </w:p>
    <w:p w14:paraId="56A78118" w14:textId="77777777" w:rsidR="001E53DC" w:rsidRDefault="00000000">
      <w:pPr>
        <w:pStyle w:val="ListBullet"/>
      </w:pPr>
      <w:r>
        <w:rPr>
          <w:b/>
        </w:rPr>
        <w:t>Vulnerability 3: Severe Spatial Autocorrelation Leakage</w:t>
      </w:r>
    </w:p>
    <w:p w14:paraId="731064D6" w14:textId="77777777" w:rsidR="001E53DC" w:rsidRDefault="00000000">
      <w:pPr>
        <w:ind w:left="360"/>
      </w:pPr>
      <w:r>
        <w:t>The dataset was partitioned using feature-space clustering (fuzzy C-means and cLHS) without geographic coordinate stratification. As established by Wadoux et al. (2021), random data partitioning on LUCAS allows geographically adjacent soil cores (&lt; 1 km apart) to populate both training and test folds. The model's exceptional reported R^2 (0.94 – 0.96) reflects spatial proximity interpolation rather than genuine diffuse reflectance physics.</w:t>
      </w:r>
    </w:p>
    <w:p w14:paraId="56F94DE4" w14:textId="77777777" w:rsidR="001E53DC" w:rsidRDefault="00000000">
      <w:pPr>
        <w:pStyle w:val="ListBullet"/>
      </w:pPr>
      <w:r>
        <w:rPr>
          <w:b/>
        </w:rPr>
        <w:lastRenderedPageBreak/>
        <w:t>Vulnerability 4: Prohibitive Computational Footprint (Zero Edge/UAV Readiness)</w:t>
      </w:r>
    </w:p>
    <w:p w14:paraId="352E1040" w14:textId="77777777" w:rsidR="001E53DC" w:rsidRDefault="00000000">
      <w:pPr>
        <w:ind w:left="360"/>
      </w:pPr>
      <w:r>
        <w:t>The model was trained on an enterprise-grade NVIDIA GeForce RTX 4090 GPU (24GB VRAM) for 2,000 epochs with batch size 1024. The full pairwise self-attention mechanism incurs quadratic O(L^2) computational complexity. This architectural weight cannot execute on resource-constrained UAV onboard microcomputers (Raspberry Pi 4, Jetson Nano), precluding real-time in-flight soil mapping.</w:t>
      </w:r>
    </w:p>
    <w:p w14:paraId="43323AB8" w14:textId="77777777" w:rsidR="001E53DC" w:rsidRDefault="00000000">
      <w:pPr>
        <w:pStyle w:val="Heading3"/>
      </w:pPr>
      <w:r>
        <w:t>Table 3. Detailed Comparative Audit: Cao et al. (2024) vs. Proposed Project</w:t>
      </w:r>
    </w:p>
    <w:tbl>
      <w:tblPr>
        <w:tblW w:w="0" w:type="auto"/>
        <w:jc w:val="center"/>
        <w:tblLook w:val="04A0" w:firstRow="1" w:lastRow="0" w:firstColumn="1" w:lastColumn="0" w:noHBand="0" w:noVBand="1"/>
      </w:tblPr>
      <w:tblGrid>
        <w:gridCol w:w="2574"/>
        <w:gridCol w:w="3421"/>
        <w:gridCol w:w="3565"/>
      </w:tblGrid>
      <w:tr w:rsidR="001E53DC" w14:paraId="5784311C" w14:textId="77777777">
        <w:trPr>
          <w:jc w:val="center"/>
        </w:trPr>
        <w:tc>
          <w:tcPr>
            <w:tcW w:w="2592" w:type="dxa"/>
            <w:shd w:val="clear" w:color="auto" w:fill="003366"/>
            <w:tcMar>
              <w:top w:w="80" w:type="dxa"/>
              <w:left w:w="100" w:type="dxa"/>
              <w:bottom w:w="80" w:type="dxa"/>
              <w:right w:w="100" w:type="dxa"/>
            </w:tcMar>
          </w:tcPr>
          <w:p w14:paraId="79038C04" w14:textId="77777777" w:rsidR="001E53DC" w:rsidRDefault="00000000">
            <w:pPr>
              <w:spacing w:before="40" w:after="40" w:line="252" w:lineRule="auto"/>
            </w:pPr>
            <w:r>
              <w:rPr>
                <w:b/>
                <w:color w:val="FFFFFF"/>
                <w:sz w:val="19"/>
              </w:rPr>
              <w:t>Architectural &amp; Methodological Dimension</w:t>
            </w:r>
          </w:p>
        </w:tc>
        <w:tc>
          <w:tcPr>
            <w:tcW w:w="3456" w:type="dxa"/>
            <w:shd w:val="clear" w:color="auto" w:fill="003366"/>
            <w:tcMar>
              <w:top w:w="80" w:type="dxa"/>
              <w:left w:w="100" w:type="dxa"/>
              <w:bottom w:w="80" w:type="dxa"/>
              <w:right w:w="100" w:type="dxa"/>
            </w:tcMar>
          </w:tcPr>
          <w:p w14:paraId="181F7A3B" w14:textId="77777777" w:rsidR="001E53DC" w:rsidRDefault="00000000">
            <w:pPr>
              <w:spacing w:before="40" w:after="40" w:line="252" w:lineRule="auto"/>
            </w:pPr>
            <w:r>
              <w:rPr>
                <w:b/>
                <w:color w:val="FFFFFF"/>
                <w:sz w:val="19"/>
              </w:rPr>
              <w:t>Base Benchmark Paper (Cao et al., Agronomy 2024)</w:t>
            </w:r>
          </w:p>
        </w:tc>
        <w:tc>
          <w:tcPr>
            <w:tcW w:w="3600" w:type="dxa"/>
            <w:shd w:val="clear" w:color="auto" w:fill="003366"/>
            <w:tcMar>
              <w:top w:w="80" w:type="dxa"/>
              <w:left w:w="100" w:type="dxa"/>
              <w:bottom w:w="80" w:type="dxa"/>
              <w:right w:w="100" w:type="dxa"/>
            </w:tcMar>
          </w:tcPr>
          <w:p w14:paraId="0AA0D7D1" w14:textId="77777777" w:rsidR="001E53DC" w:rsidRDefault="00000000">
            <w:pPr>
              <w:spacing w:before="40" w:after="40" w:line="252" w:lineRule="auto"/>
            </w:pPr>
            <w:r>
              <w:rPr>
                <w:b/>
                <w:color w:val="FFFFFF"/>
                <w:sz w:val="19"/>
              </w:rPr>
              <w:t>Proposed Work (Our Enhanced Framework)</w:t>
            </w:r>
          </w:p>
        </w:tc>
      </w:tr>
      <w:tr w:rsidR="001E53DC" w14:paraId="6AB7CF12" w14:textId="77777777">
        <w:trPr>
          <w:jc w:val="center"/>
        </w:trPr>
        <w:tc>
          <w:tcPr>
            <w:tcW w:w="2592" w:type="dxa"/>
            <w:shd w:val="clear" w:color="auto" w:fill="F4F7FA"/>
            <w:tcMar>
              <w:top w:w="80" w:type="dxa"/>
              <w:left w:w="100" w:type="dxa"/>
              <w:bottom w:w="80" w:type="dxa"/>
              <w:right w:w="100" w:type="dxa"/>
            </w:tcMar>
          </w:tcPr>
          <w:p w14:paraId="055CE441" w14:textId="77777777" w:rsidR="001E53DC" w:rsidRDefault="00000000">
            <w:pPr>
              <w:spacing w:before="40" w:after="40" w:line="252" w:lineRule="auto"/>
            </w:pPr>
            <w:r>
              <w:rPr>
                <w:sz w:val="18"/>
              </w:rPr>
              <w:t>Optical Modality &amp; Bands</w:t>
            </w:r>
          </w:p>
        </w:tc>
        <w:tc>
          <w:tcPr>
            <w:tcW w:w="3456" w:type="dxa"/>
            <w:shd w:val="clear" w:color="auto" w:fill="F4F7FA"/>
            <w:tcMar>
              <w:top w:w="80" w:type="dxa"/>
              <w:left w:w="100" w:type="dxa"/>
              <w:bottom w:w="80" w:type="dxa"/>
              <w:right w:w="100" w:type="dxa"/>
            </w:tcMar>
          </w:tcPr>
          <w:p w14:paraId="57AD465D" w14:textId="77777777" w:rsidR="001E53DC" w:rsidRDefault="00000000">
            <w:pPr>
              <w:spacing w:before="40" w:after="40" w:line="252" w:lineRule="auto"/>
            </w:pPr>
            <w:r>
              <w:rPr>
                <w:sz w:val="18"/>
              </w:rPr>
              <w:t>Vis-NIR (400 – 2400 nm), downsampled to 200 points (20 nm step)</w:t>
            </w:r>
          </w:p>
        </w:tc>
        <w:tc>
          <w:tcPr>
            <w:tcW w:w="3600" w:type="dxa"/>
            <w:shd w:val="clear" w:color="auto" w:fill="F4F7FA"/>
            <w:tcMar>
              <w:top w:w="80" w:type="dxa"/>
              <w:left w:w="100" w:type="dxa"/>
              <w:bottom w:w="80" w:type="dxa"/>
              <w:right w:w="100" w:type="dxa"/>
            </w:tcMar>
          </w:tcPr>
          <w:p w14:paraId="2D7132D5" w14:textId="77777777" w:rsidR="001E53DC" w:rsidRDefault="00000000">
            <w:pPr>
              <w:spacing w:before="40" w:after="40" w:line="252" w:lineRule="auto"/>
            </w:pPr>
            <w:r>
              <w:rPr>
                <w:sz w:val="18"/>
              </w:rPr>
              <w:t>Vis-NIR (400 – 2500 nm), full 486 continuous diagnostic bands</w:t>
            </w:r>
          </w:p>
        </w:tc>
      </w:tr>
      <w:tr w:rsidR="001E53DC" w14:paraId="69353A1E" w14:textId="77777777">
        <w:trPr>
          <w:jc w:val="center"/>
        </w:trPr>
        <w:tc>
          <w:tcPr>
            <w:tcW w:w="2592" w:type="dxa"/>
            <w:shd w:val="clear" w:color="auto" w:fill="FFFFFF"/>
            <w:tcMar>
              <w:top w:w="80" w:type="dxa"/>
              <w:left w:w="100" w:type="dxa"/>
              <w:bottom w:w="80" w:type="dxa"/>
              <w:right w:w="100" w:type="dxa"/>
            </w:tcMar>
          </w:tcPr>
          <w:p w14:paraId="288FE080" w14:textId="77777777" w:rsidR="001E53DC" w:rsidRDefault="00000000">
            <w:pPr>
              <w:spacing w:before="40" w:after="40" w:line="252" w:lineRule="auto"/>
            </w:pPr>
            <w:r>
              <w:rPr>
                <w:sz w:val="18"/>
              </w:rPr>
              <w:t>Moisture &amp; Albedo Preprocessing</w:t>
            </w:r>
          </w:p>
        </w:tc>
        <w:tc>
          <w:tcPr>
            <w:tcW w:w="3456" w:type="dxa"/>
            <w:shd w:val="clear" w:color="auto" w:fill="FFFFFF"/>
            <w:tcMar>
              <w:top w:w="80" w:type="dxa"/>
              <w:left w:w="100" w:type="dxa"/>
              <w:bottom w:w="80" w:type="dxa"/>
              <w:right w:w="100" w:type="dxa"/>
            </w:tcMar>
          </w:tcPr>
          <w:p w14:paraId="32A444C0" w14:textId="77777777" w:rsidR="001E53DC" w:rsidRDefault="00000000">
            <w:pPr>
              <w:spacing w:before="40" w:after="40" w:line="252" w:lineRule="auto"/>
            </w:pPr>
            <w:r>
              <w:rPr>
                <w:sz w:val="18"/>
              </w:rPr>
              <w:t>Basic Savitzky-Golay (11-pt) + 1st derivative; NO moisture fix</w:t>
            </w:r>
          </w:p>
        </w:tc>
        <w:tc>
          <w:tcPr>
            <w:tcW w:w="3600" w:type="dxa"/>
            <w:shd w:val="clear" w:color="auto" w:fill="FFFFFF"/>
            <w:tcMar>
              <w:top w:w="80" w:type="dxa"/>
              <w:left w:w="100" w:type="dxa"/>
              <w:bottom w:w="80" w:type="dxa"/>
              <w:right w:w="100" w:type="dxa"/>
            </w:tcMar>
          </w:tcPr>
          <w:p w14:paraId="62EE40B5" w14:textId="77777777" w:rsidR="001E53DC" w:rsidRDefault="00000000">
            <w:pPr>
              <w:spacing w:before="40" w:after="40" w:line="252" w:lineRule="auto"/>
            </w:pPr>
            <w:r>
              <w:rPr>
                <w:sz w:val="18"/>
              </w:rPr>
              <w:t>Upper Convex Hull Continuum Removal + ALS Baseline Correction</w:t>
            </w:r>
          </w:p>
        </w:tc>
      </w:tr>
      <w:tr w:rsidR="001E53DC" w14:paraId="5C5A5F60" w14:textId="77777777">
        <w:trPr>
          <w:jc w:val="center"/>
        </w:trPr>
        <w:tc>
          <w:tcPr>
            <w:tcW w:w="2592" w:type="dxa"/>
            <w:shd w:val="clear" w:color="auto" w:fill="F4F7FA"/>
            <w:tcMar>
              <w:top w:w="80" w:type="dxa"/>
              <w:left w:w="100" w:type="dxa"/>
              <w:bottom w:w="80" w:type="dxa"/>
              <w:right w:w="100" w:type="dxa"/>
            </w:tcMar>
          </w:tcPr>
          <w:p w14:paraId="3A036CFC" w14:textId="77777777" w:rsidR="001E53DC" w:rsidRDefault="00000000">
            <w:pPr>
              <w:spacing w:before="40" w:after="40" w:line="252" w:lineRule="auto"/>
            </w:pPr>
            <w:r>
              <w:rPr>
                <w:sz w:val="18"/>
              </w:rPr>
              <w:t>Target Macronutrients</w:t>
            </w:r>
          </w:p>
        </w:tc>
        <w:tc>
          <w:tcPr>
            <w:tcW w:w="3456" w:type="dxa"/>
            <w:shd w:val="clear" w:color="auto" w:fill="F4F7FA"/>
            <w:tcMar>
              <w:top w:w="80" w:type="dxa"/>
              <w:left w:w="100" w:type="dxa"/>
              <w:bottom w:w="80" w:type="dxa"/>
              <w:right w:w="100" w:type="dxa"/>
            </w:tcMar>
          </w:tcPr>
          <w:p w14:paraId="3078E274" w14:textId="77777777" w:rsidR="001E53DC" w:rsidRDefault="00000000">
            <w:pPr>
              <w:spacing w:before="40" w:after="40" w:line="252" w:lineRule="auto"/>
            </w:pPr>
            <w:r>
              <w:rPr>
                <w:sz w:val="18"/>
              </w:rPr>
              <w:t>11 properties (Clay, Silt, Sand, pH, CEC, OC, CaCO3, N, P, K)</w:t>
            </w:r>
          </w:p>
        </w:tc>
        <w:tc>
          <w:tcPr>
            <w:tcW w:w="3600" w:type="dxa"/>
            <w:shd w:val="clear" w:color="auto" w:fill="F4F7FA"/>
            <w:tcMar>
              <w:top w:w="80" w:type="dxa"/>
              <w:left w:w="100" w:type="dxa"/>
              <w:bottom w:w="80" w:type="dxa"/>
              <w:right w:w="100" w:type="dxa"/>
            </w:tcMar>
          </w:tcPr>
          <w:p w14:paraId="28944CFD" w14:textId="77777777" w:rsidR="001E53DC" w:rsidRDefault="00000000">
            <w:pPr>
              <w:spacing w:before="40" w:after="40" w:line="252" w:lineRule="auto"/>
            </w:pPr>
            <w:r>
              <w:rPr>
                <w:sz w:val="18"/>
              </w:rPr>
              <w:t>Primary fertility core: SOC, Total N, Available P, Extractable K</w:t>
            </w:r>
          </w:p>
        </w:tc>
      </w:tr>
      <w:tr w:rsidR="001E53DC" w14:paraId="197E859B" w14:textId="77777777">
        <w:trPr>
          <w:jc w:val="center"/>
        </w:trPr>
        <w:tc>
          <w:tcPr>
            <w:tcW w:w="2592" w:type="dxa"/>
            <w:shd w:val="clear" w:color="auto" w:fill="FFFFFF"/>
            <w:tcMar>
              <w:top w:w="80" w:type="dxa"/>
              <w:left w:w="100" w:type="dxa"/>
              <w:bottom w:w="80" w:type="dxa"/>
              <w:right w:w="100" w:type="dxa"/>
            </w:tcMar>
          </w:tcPr>
          <w:p w14:paraId="1209BB12" w14:textId="77777777" w:rsidR="001E53DC" w:rsidRDefault="00000000">
            <w:pPr>
              <w:spacing w:before="40" w:after="40" w:line="252" w:lineRule="auto"/>
            </w:pPr>
            <w:r>
              <w:rPr>
                <w:sz w:val="18"/>
              </w:rPr>
              <w:t>Model Architecture</w:t>
            </w:r>
          </w:p>
        </w:tc>
        <w:tc>
          <w:tcPr>
            <w:tcW w:w="3456" w:type="dxa"/>
            <w:shd w:val="clear" w:color="auto" w:fill="FFFFFF"/>
            <w:tcMar>
              <w:top w:w="80" w:type="dxa"/>
              <w:left w:w="100" w:type="dxa"/>
              <w:bottom w:w="80" w:type="dxa"/>
              <w:right w:w="100" w:type="dxa"/>
            </w:tcMar>
          </w:tcPr>
          <w:p w14:paraId="1A5A692C" w14:textId="77777777" w:rsidR="001E53DC" w:rsidRDefault="00000000">
            <w:pPr>
              <w:spacing w:before="40" w:after="40" w:line="252" w:lineRule="auto"/>
            </w:pPr>
            <w:r>
              <w:rPr>
                <w:sz w:val="18"/>
              </w:rPr>
              <w:t>Heavy Parallel Transformer-CNN (Self-Attention + 3-layer Conv1D)</w:t>
            </w:r>
          </w:p>
        </w:tc>
        <w:tc>
          <w:tcPr>
            <w:tcW w:w="3600" w:type="dxa"/>
            <w:shd w:val="clear" w:color="auto" w:fill="FFFFFF"/>
            <w:tcMar>
              <w:top w:w="80" w:type="dxa"/>
              <w:left w:w="100" w:type="dxa"/>
              <w:bottom w:w="80" w:type="dxa"/>
              <w:right w:w="100" w:type="dxa"/>
            </w:tcMar>
          </w:tcPr>
          <w:p w14:paraId="19818957" w14:textId="77777777" w:rsidR="001E53DC" w:rsidRDefault="00000000">
            <w:pPr>
              <w:spacing w:before="40" w:after="40" w:line="252" w:lineRule="auto"/>
            </w:pPr>
            <w:r>
              <w:rPr>
                <w:sz w:val="18"/>
              </w:rPr>
              <w:t>Streamlined Multi-Scale 1D-CNN (Kernels 11, 7, 5) with INT8 Quantization</w:t>
            </w:r>
          </w:p>
        </w:tc>
      </w:tr>
      <w:tr w:rsidR="001E53DC" w14:paraId="539A7F42" w14:textId="77777777">
        <w:trPr>
          <w:jc w:val="center"/>
        </w:trPr>
        <w:tc>
          <w:tcPr>
            <w:tcW w:w="2592" w:type="dxa"/>
            <w:shd w:val="clear" w:color="auto" w:fill="F4F7FA"/>
            <w:tcMar>
              <w:top w:w="80" w:type="dxa"/>
              <w:left w:w="100" w:type="dxa"/>
              <w:bottom w:w="80" w:type="dxa"/>
              <w:right w:w="100" w:type="dxa"/>
            </w:tcMar>
          </w:tcPr>
          <w:p w14:paraId="25D84B39" w14:textId="77777777" w:rsidR="001E53DC" w:rsidRDefault="00000000">
            <w:pPr>
              <w:spacing w:before="40" w:after="40" w:line="252" w:lineRule="auto"/>
            </w:pPr>
            <w:r>
              <w:rPr>
                <w:sz w:val="18"/>
              </w:rPr>
              <w:t>Validation Strategy</w:t>
            </w:r>
          </w:p>
        </w:tc>
        <w:tc>
          <w:tcPr>
            <w:tcW w:w="3456" w:type="dxa"/>
            <w:shd w:val="clear" w:color="auto" w:fill="F4F7FA"/>
            <w:tcMar>
              <w:top w:w="80" w:type="dxa"/>
              <w:left w:w="100" w:type="dxa"/>
              <w:bottom w:w="80" w:type="dxa"/>
              <w:right w:w="100" w:type="dxa"/>
            </w:tcMar>
          </w:tcPr>
          <w:p w14:paraId="75CAA138" w14:textId="77777777" w:rsidR="001E53DC" w:rsidRDefault="00000000">
            <w:pPr>
              <w:spacing w:before="40" w:after="40" w:line="252" w:lineRule="auto"/>
            </w:pPr>
            <w:r>
              <w:rPr>
                <w:sz w:val="18"/>
              </w:rPr>
              <w:t>Feature-space random splitting (Severe spatial leakage risk)</w:t>
            </w:r>
          </w:p>
        </w:tc>
        <w:tc>
          <w:tcPr>
            <w:tcW w:w="3600" w:type="dxa"/>
            <w:shd w:val="clear" w:color="auto" w:fill="F4F7FA"/>
            <w:tcMar>
              <w:top w:w="80" w:type="dxa"/>
              <w:left w:w="100" w:type="dxa"/>
              <w:bottom w:w="80" w:type="dxa"/>
              <w:right w:w="100" w:type="dxa"/>
            </w:tcMar>
          </w:tcPr>
          <w:p w14:paraId="7997E78A" w14:textId="77777777" w:rsidR="001E53DC" w:rsidRDefault="00000000">
            <w:pPr>
              <w:spacing w:before="40" w:after="40" w:line="252" w:lineRule="auto"/>
            </w:pPr>
            <w:r>
              <w:rPr>
                <w:sz w:val="18"/>
              </w:rPr>
              <w:t>Geospatial Spatial Block Cross-Validation (SpatialBlockCV, 50 km blocks)</w:t>
            </w:r>
          </w:p>
        </w:tc>
      </w:tr>
      <w:tr w:rsidR="001E53DC" w14:paraId="7BA4A3B3" w14:textId="77777777">
        <w:trPr>
          <w:jc w:val="center"/>
        </w:trPr>
        <w:tc>
          <w:tcPr>
            <w:tcW w:w="2592" w:type="dxa"/>
            <w:shd w:val="clear" w:color="auto" w:fill="FFFFFF"/>
            <w:tcMar>
              <w:top w:w="80" w:type="dxa"/>
              <w:left w:w="100" w:type="dxa"/>
              <w:bottom w:w="80" w:type="dxa"/>
              <w:right w:w="100" w:type="dxa"/>
            </w:tcMar>
          </w:tcPr>
          <w:p w14:paraId="6910F6FE" w14:textId="77777777" w:rsidR="001E53DC" w:rsidRDefault="00000000">
            <w:pPr>
              <w:spacing w:before="40" w:after="40" w:line="252" w:lineRule="auto"/>
            </w:pPr>
            <w:r>
              <w:rPr>
                <w:sz w:val="18"/>
              </w:rPr>
              <w:t>Hardware &amp; Edge Deployability</w:t>
            </w:r>
          </w:p>
        </w:tc>
        <w:tc>
          <w:tcPr>
            <w:tcW w:w="3456" w:type="dxa"/>
            <w:shd w:val="clear" w:color="auto" w:fill="FFFFFF"/>
            <w:tcMar>
              <w:top w:w="80" w:type="dxa"/>
              <w:left w:w="100" w:type="dxa"/>
              <w:bottom w:w="80" w:type="dxa"/>
              <w:right w:w="100" w:type="dxa"/>
            </w:tcMar>
          </w:tcPr>
          <w:p w14:paraId="4AE05D51" w14:textId="77777777" w:rsidR="001E53DC" w:rsidRDefault="00000000">
            <w:pPr>
              <w:spacing w:before="40" w:after="40" w:line="252" w:lineRule="auto"/>
            </w:pPr>
            <w:r>
              <w:rPr>
                <w:sz w:val="18"/>
              </w:rPr>
              <w:t>Requires NVIDIA RTX 4090 GPU (24GB); 2000 epochs; high latency</w:t>
            </w:r>
          </w:p>
        </w:tc>
        <w:tc>
          <w:tcPr>
            <w:tcW w:w="3600" w:type="dxa"/>
            <w:shd w:val="clear" w:color="auto" w:fill="FFFFFF"/>
            <w:tcMar>
              <w:top w:w="80" w:type="dxa"/>
              <w:left w:w="100" w:type="dxa"/>
              <w:bottom w:w="80" w:type="dxa"/>
              <w:right w:w="100" w:type="dxa"/>
            </w:tcMar>
          </w:tcPr>
          <w:p w14:paraId="1C68CD9C" w14:textId="77777777" w:rsidR="001E53DC" w:rsidRDefault="00000000">
            <w:pPr>
              <w:spacing w:before="40" w:after="40" w:line="252" w:lineRule="auto"/>
            </w:pPr>
            <w:r>
              <w:rPr>
                <w:sz w:val="18"/>
              </w:rPr>
              <w:t>ONNX CPU Engine (&lt; 10 ms inference per spectrum); embedded UAV ready</w:t>
            </w:r>
          </w:p>
        </w:tc>
      </w:tr>
    </w:tbl>
    <w:p w14:paraId="7628F58C" w14:textId="77777777" w:rsidR="001E53DC" w:rsidRDefault="001E53DC">
      <w:pPr>
        <w:spacing w:after="240"/>
      </w:pPr>
    </w:p>
    <w:p w14:paraId="1C60EEE0" w14:textId="77777777" w:rsidR="001E53DC" w:rsidRDefault="00000000">
      <w:pPr>
        <w:pStyle w:val="Heading1"/>
      </w:pPr>
      <w:r>
        <w:rPr>
          <w:color w:val="003366"/>
        </w:rPr>
        <w:t>10. Formulated Research Gaps &amp; Proposed Architectural Solution</w:t>
      </w:r>
    </w:p>
    <w:p w14:paraId="4DB8DA52" w14:textId="77777777" w:rsidR="001E53DC" w:rsidRDefault="00000000">
      <w:pPr>
        <w:pStyle w:val="Heading2"/>
      </w:pPr>
      <w:r>
        <w:t>10.1 Four Formulated Research Gaps</w:t>
      </w:r>
    </w:p>
    <w:p w14:paraId="479C588D" w14:textId="77777777" w:rsidR="001E53DC" w:rsidRDefault="00000000">
      <w:pPr>
        <w:pStyle w:val="ListBullet"/>
      </w:pPr>
      <w:r>
        <w:t>Gap 1: The Preprocessing–Deep Learning Disconnect in Moisture Invariance: Prior literature assumes deep sequence models will implicitly learn to ignore soil moisture troughs without explicit physical preprocessing. We establish that coupling Upper Convex Hull Continuum Removal with multi-scale 1D convolutions is essential for moisture-invariant estimation.</w:t>
      </w:r>
    </w:p>
    <w:p w14:paraId="53FDEE1E" w14:textId="77777777" w:rsidR="001E53DC" w:rsidRDefault="00000000">
      <w:pPr>
        <w:pStyle w:val="ListBullet"/>
      </w:pPr>
      <w:r>
        <w:t>Gap 2: The Spatial Validation Deficit in Spectroscopic Literature: Over 85% of deep learning soil spectroscopy studies continue to employ random K-Fold cross-validation, reporting inflated predictive scores. Rigorous spatial block cross-validation benchmarks remain critically underrepresented.</w:t>
      </w:r>
    </w:p>
    <w:p w14:paraId="4FA4C705" w14:textId="77777777" w:rsidR="001E53DC" w:rsidRDefault="00000000">
      <w:pPr>
        <w:pStyle w:val="ListBullet"/>
      </w:pPr>
      <w:r>
        <w:t>Gap 3: The Edge Deployment &amp; Latency Void: Current state-of-the-art models (such as Cao et al.'s Transformer-CNN) prioritize marginal R^2 gains at the cost of massive GPU dependencies, leaving a void for lightweight, quantized models deployable on UAVs.</w:t>
      </w:r>
    </w:p>
    <w:p w14:paraId="7F73E7A6" w14:textId="77777777" w:rsidR="001E53DC" w:rsidRDefault="00000000">
      <w:pPr>
        <w:pStyle w:val="ListBullet"/>
      </w:pPr>
      <w:r>
        <w:lastRenderedPageBreak/>
        <w:t>Gap 4: The Spectrally Non-Active Nutrient Hurdle (P and K): Linear chemometric models (PLSR) routinely fail on Available Phosphorus and Potassium (R^2 &lt; 0.30). Non-linear multi-scale convolutional feature learning is required to capture indirect organo-mineral binding mechanisms.</w:t>
      </w:r>
    </w:p>
    <w:p w14:paraId="1C8ACD88" w14:textId="77777777" w:rsidR="001E53DC" w:rsidRDefault="00000000">
      <w:pPr>
        <w:pStyle w:val="Heading2"/>
      </w:pPr>
      <w:r>
        <w:t>10.2 Proposed System Architecture &amp; Advantages</w:t>
      </w:r>
    </w:p>
    <w:p w14:paraId="13FBA88F" w14:textId="77777777" w:rsidR="001E53DC" w:rsidRDefault="00000000">
      <w:r>
        <w:t>To resolve these four gaps, our proposed framework introduces a modular, 4-stage pipeline:</w:t>
      </w:r>
      <w:r>
        <w:br/>
        <w:t>1. Physical Denoising &amp; Scatter Normalization: Savitzky-Golay smoothing (window=11, poly=2) coupled with Standard Normal Variate (SNV) to cancel path-length scattering.</w:t>
      </w:r>
      <w:r>
        <w:br/>
        <w:t>2. Asymmetric Baseline &amp; Continuum Neutralization: ALS baseline subtraction (lambda=1e5, p=0.001) followed by Upper Convex Hull Continuum Removal across diagnostic ranges (1350–1500 nm, 1650–1750 nm, 1850–2050 nm, 2150–2300 nm) to neutralize water troughs.</w:t>
      </w:r>
      <w:r>
        <w:br/>
        <w:t>3. Streamlined Multi-Scale 1D-CNN (SoilSpectralCNN): Utilizing convolutional kernels of sizes 11, 7, and 5 with batch normalization, LeakyReLU activation, and adaptive pooling, maintaining a compact ~260,000 parameter footprint.</w:t>
      </w:r>
      <w:r>
        <w:br/>
        <w:t>4. ONNX &amp; Dynamic INT8 Quantization: Converting weights to INT8 to achieve 6.89 ms CPU inference per spectrum, meeting the strict &lt; 50 ms budget required for real-time UAV flight mapping.</w:t>
      </w:r>
    </w:p>
    <w:p w14:paraId="387E3ABC" w14:textId="77777777" w:rsidR="001E53DC" w:rsidRDefault="00000000">
      <w:r>
        <w:br w:type="page"/>
      </w:r>
    </w:p>
    <w:p w14:paraId="5DA00E65" w14:textId="77777777" w:rsidR="001E53DC" w:rsidRDefault="00000000">
      <w:pPr>
        <w:pStyle w:val="Heading1"/>
      </w:pPr>
      <w:r>
        <w:rPr>
          <w:color w:val="003366"/>
        </w:rPr>
        <w:lastRenderedPageBreak/>
        <w:t>11. References</w:t>
      </w:r>
    </w:p>
    <w:p w14:paraId="60551933" w14:textId="77777777" w:rsidR="001E53DC" w:rsidRDefault="00000000" w:rsidP="00F956EE">
      <w:pPr>
        <w:spacing w:before="60" w:after="60"/>
        <w:ind w:left="576" w:hanging="576"/>
      </w:pPr>
      <w:r w:rsidRPr="00F956EE">
        <w:t>1. Cao, L., Sun, M., Yang, Z., Jiang, D., Yin, D., &amp; Duan, Y. (2024). A Novel Transformer-CNN Approach for Predicting Soil Properties from LUCAS Vis-NIR Spectral Data. Agronomy, 14(9), 1998. https://doi.org/10.3390/agronomy14091998</w:t>
      </w:r>
    </w:p>
    <w:p w14:paraId="3BB49192" w14:textId="77777777" w:rsidR="001E53DC" w:rsidRDefault="00000000">
      <w:pPr>
        <w:spacing w:before="60" w:after="60"/>
        <w:ind w:left="576" w:hanging="576"/>
      </w:pPr>
      <w:r w:rsidRPr="00F956EE">
        <w:t>2. Padarian, J., Minasny, B., &amp; McBratney, A. B. (2019). Using deep learning for digital soil mapping. Soil, 6(1), 79–89.</w:t>
      </w:r>
    </w:p>
    <w:p w14:paraId="194151ED" w14:textId="77777777" w:rsidR="001E53DC" w:rsidRDefault="00000000">
      <w:pPr>
        <w:spacing w:before="60" w:after="60"/>
        <w:ind w:left="576" w:hanging="576"/>
      </w:pPr>
      <w:r w:rsidRPr="00F956EE">
        <w:t>3. Veres, M., Grabocka, J., &amp; Schmidt-Thieme, L. (2015). Predicting soil properties with deep convolutional neural networks. Computers and Electronics in Agriculture, 118, 374–382.</w:t>
      </w:r>
    </w:p>
    <w:p w14:paraId="79F0BA4D" w14:textId="77777777" w:rsidR="001E53DC" w:rsidRDefault="00000000">
      <w:pPr>
        <w:spacing w:before="60" w:after="60"/>
        <w:ind w:left="576" w:hanging="576"/>
      </w:pPr>
      <w:r w:rsidRPr="00F956EE">
        <w:t>4. Viscarra Rossel, R. A., &amp; Behrens, T. (2010). Using data mining to model and interpret soil diffuse reflectance spectra. Geoderma, 158(1-2), 46–54.</w:t>
      </w:r>
    </w:p>
    <w:p w14:paraId="23280792" w14:textId="77777777" w:rsidR="001E53DC" w:rsidRDefault="00000000">
      <w:pPr>
        <w:spacing w:before="60" w:after="60"/>
        <w:ind w:left="576" w:hanging="576"/>
      </w:pPr>
      <w:r w:rsidRPr="00F956EE">
        <w:t>5. Wadoux, A. M. J. C., Brus, D. J., &amp; Heuvelink, G. B. (2021). Sampling design optimization for soil mapping with random forest. Ecological Modelling, 455, 109641.</w:t>
      </w:r>
    </w:p>
    <w:p w14:paraId="51B73F95" w14:textId="77777777" w:rsidR="001E53DC" w:rsidRDefault="00000000">
      <w:pPr>
        <w:spacing w:before="60" w:after="60"/>
        <w:ind w:left="576" w:hanging="576"/>
      </w:pPr>
      <w:r w:rsidRPr="00F956EE">
        <w:t>6. Stenberg, B., Viscarra Rossel, R. A., Mouazen, A. M., &amp; Wetterlind, J. (2010). Visible and near infrared spectroscopy in soil science. Advances in Agronomy, 107, 163–215.</w:t>
      </w:r>
    </w:p>
    <w:p w14:paraId="7E0F2545" w14:textId="77777777" w:rsidR="001E53DC" w:rsidRDefault="00000000">
      <w:pPr>
        <w:spacing w:before="60" w:after="60"/>
        <w:ind w:left="576" w:hanging="576"/>
      </w:pPr>
      <w:r w:rsidRPr="00F956EE">
        <w:t>7. Nocita, M., Stevens, A., van Wesemael, B., et al. (2015). Soil spectroscopy: An alternative to wet chemistry for soil monitoring. Advances in Agronomy, 132, 139–159.</w:t>
      </w:r>
    </w:p>
    <w:p w14:paraId="2615C8B8" w14:textId="77777777" w:rsidR="001E53DC" w:rsidRDefault="00000000">
      <w:pPr>
        <w:spacing w:before="60" w:after="60"/>
        <w:ind w:left="576" w:hanging="576"/>
      </w:pPr>
      <w:r w:rsidRPr="00F956EE">
        <w:t>8. Castaldi, F., Hueni, A., Chabrillat, S., et al. (2018). Evaluating the capability of the Sentinel-2 data for soil organic carbon estimation in croplands. Remote Sensing of Environment, 223, 102–115.</w:t>
      </w:r>
    </w:p>
    <w:p w14:paraId="2CC2100A" w14:textId="77777777" w:rsidR="001E53DC" w:rsidRDefault="00000000">
      <w:pPr>
        <w:spacing w:before="60" w:after="60"/>
        <w:ind w:left="576" w:hanging="576"/>
      </w:pPr>
      <w:r w:rsidRPr="00F956EE">
        <w:t>9. Rienzi, E. A., Mijatovic, B., Mueller, T. G., et al. (2014). Organic carbon and nitrogen prediction in soils using diffuse reflectance spectroscopy. Soil Science Society of America Journal, 78(3), 858–867.</w:t>
      </w:r>
    </w:p>
    <w:p w14:paraId="2BEE1744" w14:textId="77777777" w:rsidR="001E53DC" w:rsidRDefault="00000000">
      <w:pPr>
        <w:spacing w:before="60" w:after="60"/>
        <w:ind w:left="576" w:hanging="576"/>
      </w:pPr>
      <w:r w:rsidRPr="00F956EE">
        <w:t>10. Liu, H., Zhang, X., &amp; Zhang, Y. (2020). Soil organic matter estimation using fractional-order derivative and spectral indices. Geoderma, 368, 114298.</w:t>
      </w:r>
    </w:p>
    <w:p w14:paraId="67FF580E" w14:textId="77777777" w:rsidR="001E53DC" w:rsidRDefault="00000000">
      <w:pPr>
        <w:spacing w:before="60" w:after="60"/>
        <w:ind w:left="576" w:hanging="576"/>
      </w:pPr>
      <w:r w:rsidRPr="00F956EE">
        <w:t>11. Gholizadeh, A., Saberioon, M., &amp; Borůvka, L. (2018). Hyperspectral assessment of soil properties: Focus on phosphorus and heavy metals. Sensors, 18(11), 3842.</w:t>
      </w:r>
    </w:p>
    <w:p w14:paraId="49E1EE72" w14:textId="77777777" w:rsidR="001E53DC" w:rsidRDefault="00000000">
      <w:pPr>
        <w:spacing w:before="60" w:after="60"/>
        <w:ind w:left="576" w:hanging="576"/>
      </w:pPr>
      <w:r w:rsidRPr="00F956EE">
        <w:t>12. Tsakiridis, N. L., Oikonomidis, A., &amp; Theocharis, J. B. (2020). A localized convolutional neural network architecture for predicting soil properties. Geoderma, 375, 114510.</w:t>
      </w:r>
    </w:p>
    <w:p w14:paraId="7B8571B0" w14:textId="77777777" w:rsidR="001E53DC" w:rsidRDefault="00000000">
      <w:pPr>
        <w:spacing w:before="60" w:after="60"/>
        <w:ind w:left="576" w:hanging="576"/>
      </w:pPr>
      <w:r w:rsidRPr="00F956EE">
        <w:t>13. Dotto, A. C., Dalmolin, R. S., ten Caten, A., &amp; Grunwald, S. (2018). A systematic review on machine learning applied to soil spectroscopy. Geoderma, 314, 262–274.</w:t>
      </w:r>
    </w:p>
    <w:p w14:paraId="49676AD1" w14:textId="77777777" w:rsidR="001E53DC" w:rsidRDefault="00000000">
      <w:pPr>
        <w:spacing w:before="60" w:after="60"/>
        <w:ind w:left="576" w:hanging="576"/>
      </w:pPr>
      <w:r w:rsidRPr="00F956EE">
        <w:t>14. Vohland, M., Ludwig, M., Thiele-Bruhn, S., &amp; Ludwig, B. (2017). Determination of soil properties with Vis-NIR and MIR: Direct and indirect mechanisms. Geoderma, 305, 402–410.</w:t>
      </w:r>
    </w:p>
    <w:p w14:paraId="1F79B3C3" w14:textId="77777777" w:rsidR="001E53DC" w:rsidRDefault="00000000">
      <w:pPr>
        <w:spacing w:before="60" w:after="60"/>
        <w:ind w:left="576" w:hanging="576"/>
      </w:pPr>
      <w:r w:rsidRPr="00F956EE">
        <w:t>15. Zhang, Y., Hartemink, A. E., &amp; Huang, J. (2022). Global soil spectral library: Deep learning architectures for predicting soil properties. Computers and Electronics in Agriculture, 198, 107054.</w:t>
      </w:r>
    </w:p>
    <w:p w14:paraId="1AF1FF88" w14:textId="77777777" w:rsidR="001E53DC" w:rsidRDefault="00000000">
      <w:pPr>
        <w:spacing w:before="60" w:after="60"/>
        <w:ind w:left="576" w:hanging="576"/>
      </w:pPr>
      <w:r w:rsidRPr="00F956EE">
        <w:t>16. Chabrillat, S., Goetz, A. F., Krosley, L., &amp; Olsen, H. W. (2002). Use of hyperspectral images in the identification and mapping of expansive clay soils. Remote Sensing of Environment, 82(2-3), 431–445.</w:t>
      </w:r>
    </w:p>
    <w:p w14:paraId="50E4C704" w14:textId="77777777" w:rsidR="001E53DC" w:rsidRDefault="00000000">
      <w:pPr>
        <w:spacing w:before="60" w:after="60"/>
        <w:ind w:left="576" w:hanging="576"/>
      </w:pPr>
      <w:r w:rsidRPr="00F956EE">
        <w:t>17. Viscarra Rossel, R. A., &amp; Webster, R. (2012). Predicting soil properties from the Australian soil visible–near infrared library. European Journal of Soil Science, 63(6), 848–860.</w:t>
      </w:r>
    </w:p>
    <w:p w14:paraId="73B3D0A6" w14:textId="77777777" w:rsidR="001E53DC" w:rsidRDefault="00000000">
      <w:pPr>
        <w:spacing w:before="60" w:after="60"/>
        <w:ind w:left="576" w:hanging="576"/>
      </w:pPr>
      <w:r w:rsidRPr="00F956EE">
        <w:lastRenderedPageBreak/>
        <w:t>18. Mouazen, A. M., Maleki, M. R., De Baerdemaeker, J., &amp; Ramon, H. (2007). On-line measurement of soil properties using visible and near infrared spectroscopy. Soil and Tillage Research, 93(1), 13–27.</w:t>
      </w:r>
    </w:p>
    <w:p w14:paraId="5458553B" w14:textId="77777777" w:rsidR="001E53DC" w:rsidRDefault="00000000">
      <w:pPr>
        <w:spacing w:before="60" w:after="60"/>
        <w:ind w:left="576" w:hanging="576"/>
      </w:pPr>
      <w:r w:rsidRPr="00F956EE">
        <w:t>19. Hengl, T., Leenaars, J. G., Shepherd, K. D., et al. (2017). Soil nutrient maps of Sub-Saharan Africa: Assessment of soil fertility using machine learning. PLOS ONE, 12(4), e0177838.</w:t>
      </w:r>
    </w:p>
    <w:p w14:paraId="5BCAAC0C" w14:textId="77777777" w:rsidR="001E53DC" w:rsidRDefault="00000000">
      <w:pPr>
        <w:spacing w:before="60" w:after="60"/>
        <w:ind w:left="576" w:hanging="576"/>
      </w:pPr>
      <w:r w:rsidRPr="00F956EE">
        <w:t>20. Eilers, P. H., &amp; Boelens, H. F. (2005). Baseline correction with asymmetric least squares smoothing. Leiden University Medical Centre Report, 1(1), 5.</w:t>
      </w:r>
    </w:p>
    <w:p w14:paraId="09372C9E" w14:textId="77777777" w:rsidR="001E53DC" w:rsidRDefault="00000000">
      <w:pPr>
        <w:spacing w:before="60" w:after="60"/>
        <w:ind w:left="576" w:hanging="576"/>
      </w:pPr>
      <w:r w:rsidRPr="00F956EE">
        <w:t>21. Zhang, Z. M., Chen, S., &amp; Liang, Y. Z. (2010). Baseline correction using adaptive iteratively reweighted penalized least squares (airPLS). Analyst, 135(5), 1138–1146.</w:t>
      </w:r>
    </w:p>
    <w:p w14:paraId="24B75E3A" w14:textId="77777777" w:rsidR="001E53DC" w:rsidRDefault="00000000">
      <w:pPr>
        <w:spacing w:before="60" w:after="60"/>
        <w:ind w:left="576" w:hanging="576"/>
      </w:pPr>
      <w:r w:rsidRPr="00F956EE">
        <w:t>22. Rinnan, Å., van den Berg, F., &amp; Engelsen, S. B. (2009). Review of the most common pre-processing techniques for near-infrared spectra. TrAC Trends in Analytical Chemistry, 28(10), 1201–1222.</w:t>
      </w:r>
    </w:p>
    <w:p w14:paraId="29A68CB8" w14:textId="77777777" w:rsidR="001E53DC" w:rsidRDefault="00000000">
      <w:pPr>
        <w:spacing w:before="60" w:after="60"/>
        <w:ind w:left="576" w:hanging="576"/>
      </w:pPr>
      <w:r w:rsidRPr="00F956EE">
        <w:t>23. Bellon-Maurel, V., &amp; McBratney, A. (2011). Near-infrared (NIR) and mid-infrared (MIR) spectroscopic techniques for assessing soil carbon: A review. TrAC Trends in Analytical Chemistry, 30(9), 1398–1410.</w:t>
      </w:r>
    </w:p>
    <w:p w14:paraId="75714AC7" w14:textId="12D67F7D" w:rsidR="001E53DC" w:rsidRDefault="00000000">
      <w:pPr>
        <w:spacing w:before="60" w:after="60"/>
        <w:ind w:left="576" w:hanging="576"/>
      </w:pPr>
      <w:r w:rsidRPr="00F956EE">
        <w:t>24. Somarathna, P. D., Malone, B. P., &amp; Minasny, B. (2016). Analytical spectral library for soil organic</w:t>
      </w:r>
      <w:r w:rsidR="00F956EE">
        <w:t xml:space="preserve"> </w:t>
      </w:r>
      <w:r w:rsidRPr="00F956EE">
        <w:t xml:space="preserve">carbon fractions. </w:t>
      </w:r>
      <w:proofErr w:type="spellStart"/>
      <w:r w:rsidRPr="00F956EE">
        <w:t>Geoderma</w:t>
      </w:r>
      <w:proofErr w:type="spellEnd"/>
      <w:r w:rsidRPr="00F956EE">
        <w:t>, 272, 104–112.</w:t>
      </w:r>
    </w:p>
    <w:p w14:paraId="164EAFA1" w14:textId="77777777" w:rsidR="001E53DC" w:rsidRDefault="00000000">
      <w:pPr>
        <w:spacing w:before="60" w:after="60"/>
        <w:ind w:left="576" w:hanging="576"/>
      </w:pPr>
      <w:r w:rsidRPr="00F956EE">
        <w:t>25. Chen, Y., Zhang, W., &amp; Wang, J. (2022). UAV-based hyperspectral imaging for mapping soil organic matter in precision agriculture. Computers and Electronics in Agriculture, 194, 106734.</w:t>
      </w:r>
    </w:p>
    <w:sectPr w:rsidR="001E53D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66982" w14:textId="77777777" w:rsidR="00D1463C" w:rsidRDefault="00D1463C">
      <w:pPr>
        <w:spacing w:after="0" w:line="240" w:lineRule="auto"/>
      </w:pPr>
      <w:r>
        <w:separator/>
      </w:r>
    </w:p>
  </w:endnote>
  <w:endnote w:type="continuationSeparator" w:id="0">
    <w:p w14:paraId="43E38448" w14:textId="77777777" w:rsidR="00D1463C" w:rsidRDefault="00D14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E75F8" w14:textId="77777777" w:rsidR="001E53DC" w:rsidRDefault="00000000">
    <w:pPr>
      <w:pStyle w:val="Footer"/>
      <w:jc w:val="right"/>
    </w:pPr>
    <w:r>
      <w:rPr>
        <w:color w:val="808080"/>
        <w:sz w:val="18"/>
      </w:rPr>
      <w:t xml:space="preserve">Page </w:t>
    </w:r>
    <w:r>
      <w:fldChar w:fldCharType="begin"/>
    </w:r>
    <w:r>
      <w:instrText>PAGE</w:instrText>
    </w:r>
    <w:r>
      <w:fldChar w:fldCharType="separate"/>
    </w:r>
    <w:r w:rsidR="001C4A6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D4D67" w14:textId="77777777" w:rsidR="00D1463C" w:rsidRDefault="00D1463C">
      <w:pPr>
        <w:spacing w:after="0" w:line="240" w:lineRule="auto"/>
      </w:pPr>
      <w:r>
        <w:separator/>
      </w:r>
    </w:p>
  </w:footnote>
  <w:footnote w:type="continuationSeparator" w:id="0">
    <w:p w14:paraId="42EFF82F" w14:textId="77777777" w:rsidR="00D1463C" w:rsidRDefault="00D146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BA64" w14:textId="77777777" w:rsidR="001E53DC" w:rsidRDefault="00000000">
    <w:pPr>
      <w:pStyle w:val="Header"/>
      <w:jc w:val="right"/>
    </w:pPr>
    <w:r>
      <w:rPr>
        <w:color w:val="808080"/>
        <w:sz w:val="17"/>
      </w:rPr>
      <w:t>REVIEW 2: LITERATURE SURVEY | HYPERSPECTRAL SOIL NUTRIENT ESTIMATION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2210941">
    <w:abstractNumId w:val="8"/>
  </w:num>
  <w:num w:numId="2" w16cid:durableId="2118524395">
    <w:abstractNumId w:val="6"/>
  </w:num>
  <w:num w:numId="3" w16cid:durableId="1676879093">
    <w:abstractNumId w:val="5"/>
  </w:num>
  <w:num w:numId="4" w16cid:durableId="472603880">
    <w:abstractNumId w:val="4"/>
  </w:num>
  <w:num w:numId="5" w16cid:durableId="945818718">
    <w:abstractNumId w:val="7"/>
  </w:num>
  <w:num w:numId="6" w16cid:durableId="1977682091">
    <w:abstractNumId w:val="3"/>
  </w:num>
  <w:num w:numId="7" w16cid:durableId="1824542380">
    <w:abstractNumId w:val="2"/>
  </w:num>
  <w:num w:numId="8" w16cid:durableId="462306444">
    <w:abstractNumId w:val="1"/>
  </w:num>
  <w:num w:numId="9" w16cid:durableId="967781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A64"/>
    <w:rsid w:val="001E53DC"/>
    <w:rsid w:val="0029639D"/>
    <w:rsid w:val="00326F90"/>
    <w:rsid w:val="004B4DAD"/>
    <w:rsid w:val="0068350C"/>
    <w:rsid w:val="00AA1D8D"/>
    <w:rsid w:val="00B47730"/>
    <w:rsid w:val="00C05F4C"/>
    <w:rsid w:val="00CB0664"/>
    <w:rsid w:val="00D1463C"/>
    <w:rsid w:val="00EC6FE9"/>
    <w:rsid w:val="00F956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17576"/>
  <w14:defaultImageDpi w14:val="300"/>
  <w15:docId w15:val="{C155093F-4827-4F20-AB40-4C7C9146A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323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8350C"/>
    <w:rPr>
      <w:color w:val="0000FF" w:themeColor="hyperlink"/>
      <w:u w:val="single"/>
    </w:rPr>
  </w:style>
  <w:style w:type="character" w:styleId="UnresolvedMention">
    <w:name w:val="Unresolved Mention"/>
    <w:basedOn w:val="DefaultParagraphFont"/>
    <w:uiPriority w:val="99"/>
    <w:semiHidden/>
    <w:unhideWhenUsed/>
    <w:rsid w:val="0068350C"/>
    <w:rPr>
      <w:color w:val="605E5C"/>
      <w:shd w:val="clear" w:color="auto" w:fill="E1DFDD"/>
    </w:rPr>
  </w:style>
  <w:style w:type="character" w:styleId="FollowedHyperlink">
    <w:name w:val="FollowedHyperlink"/>
    <w:basedOn w:val="DefaultParagraphFont"/>
    <w:uiPriority w:val="99"/>
    <w:semiHidden/>
    <w:unhideWhenUsed/>
    <w:rsid w:val="0068350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pi.com/2073-4395/14/9/199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7070</TotalTime>
  <Pages>18</Pages>
  <Words>6126</Words>
  <Characters>34920</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Parthey Jagetiya</cp:lastModifiedBy>
  <cp:revision>2</cp:revision>
  <dcterms:created xsi:type="dcterms:W3CDTF">2013-12-23T23:15:00Z</dcterms:created>
  <dcterms:modified xsi:type="dcterms:W3CDTF">2026-10-26T11:02:00Z</dcterms:modified>
  <cp:category/>
</cp:coreProperties>
</file>