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646E78"/>
          <w:sz w:val="22"/>
        </w:rPr>
        <w:t>ACADEMIC PROJECT REVIEW DOCUMENTATION</w:t>
        <w:br/>
        <w:t>DEPARTMENT OF COMPUTER SCIENCE &amp; ENGINEERING / PRECISION AGRICULTURE</w:t>
      </w:r>
    </w:p>
    <w:p>
      <w:pPr>
        <w:spacing w:before="480" w:after="360"/>
        <w:jc w:val="center"/>
      </w:pPr>
      <w:r>
        <w:rPr>
          <w:rFonts w:ascii="Arial" w:hAnsi="Arial"/>
          <w:b/>
          <w:color w:val="003366"/>
          <w:sz w:val="40"/>
        </w:rPr>
        <w:t>HYPERSPECTRAL &amp; UAV SOIL ORGANIC CARBON (SOC) AND NPK NUTRIENT ESTIMATION</w:t>
        <w:br/>
      </w:r>
      <w:r>
        <w:rPr>
          <w:rFonts w:ascii="Arial" w:hAnsi="Arial"/>
          <w:i/>
          <w:color w:val="4682B4"/>
          <w:sz w:val="26"/>
        </w:rPr>
        <w:t>Using 1D Convolutional Neural Networks on Diffuse Reflectance Spectroscopy with Baseline Drift Correction and Continuum Removal Preprocessing</w:t>
      </w:r>
    </w:p>
    <w:p>
      <w:pPr>
        <w:spacing w:before="240" w:after="480"/>
        <w:jc w:val="center"/>
      </w:pPr>
      <w:r>
        <w:rPr>
          <w:b/>
          <w:color w:val="003366"/>
        </w:rPr>
        <w:t>—————————————————————————————————————————————</w:t>
      </w:r>
    </w:p>
    <w:p>
      <w:pPr>
        <w:spacing w:before="120" w:after="720"/>
        <w:jc w:val="center"/>
      </w:pPr>
      <w:r>
        <w:rPr>
          <w:rFonts w:ascii="Calibri" w:hAnsi="Calibri"/>
          <w:b/>
          <w:color w:val="003366"/>
          <w:sz w:val="32"/>
        </w:rPr>
        <w:t>REVIEW 3: EXPERIMENTAL SETUP AND OUTCOME</w:t>
        <w:br/>
      </w:r>
      <w:r>
        <w:rPr>
          <w:rFonts w:ascii="Calibri" w:hAnsi="Calibri"/>
          <w:color w:val="505050"/>
          <w:sz w:val="22"/>
        </w:rPr>
        <w:t>Empirical Validation, Spatial Cross-Validation, Chemometric Explainability, and Edge UAV Benchmarking</w:t>
        <w:br/>
        <w:t>Document Standard: 10 to 15 Academic Pages</w:t>
      </w:r>
    </w:p>
    <w:tbl>
      <w:tblPr>
        <w:tblW w:type="auto" w:w="0"/>
        <w:jc w:val="center"/>
        <w:tblLook w:firstColumn="1" w:firstRow="1" w:lastColumn="0" w:lastRow="0" w:noHBand="0" w:noVBand="1" w:val="04A0"/>
      </w:tblPr>
      <w:tblGrid>
        <w:gridCol w:w="4680"/>
        <w:gridCol w:w="4680"/>
      </w:tblGrid>
      <w:tr>
        <w:tc>
          <w:tcPr>
            <w:tcW w:type="dxa" w:w="3600"/>
            <w:shd w:fill="F2F6FA"/>
            <w:tcMar>
              <w:top w:w="60" w:type="dxa"/>
              <w:bottom w:w="60" w:type="dxa"/>
              <w:left w:w="80" w:type="dxa"/>
              <w:right w:w="80" w:type="dxa"/>
            </w:tcMar>
          </w:tcPr>
          <w:p>
            <w:r>
              <w:rPr>
                <w:rFonts w:ascii="Calibri" w:hAnsi="Calibri"/>
                <w:b/>
                <w:color w:val="003366"/>
                <w:sz w:val="20"/>
              </w:rPr>
              <w:t>Base Benchmark Paper:</w:t>
            </w:r>
          </w:p>
        </w:tc>
        <w:tc>
          <w:tcPr>
            <w:tcW w:type="dxa" w:w="5760"/>
            <w:shd w:fill="FFFFFF"/>
            <w:tcMar>
              <w:top w:w="60" w:type="dxa"/>
              <w:bottom w:w="60" w:type="dxa"/>
              <w:left w:w="80" w:type="dxa"/>
              <w:right w:w="80" w:type="dxa"/>
            </w:tcMar>
          </w:tcPr>
          <w:p>
            <w:r>
              <w:rPr>
                <w:rFonts w:ascii="Calibri" w:hAnsi="Calibri"/>
                <w:sz w:val="20"/>
              </w:rPr>
              <w:t>Cao et al., MDPI Agronomy 2024, 14(9), 1998 (Transformer-CNN on LUCAS)</w:t>
            </w:r>
          </w:p>
        </w:tc>
      </w:tr>
      <w:tr>
        <w:tc>
          <w:tcPr>
            <w:tcW w:type="dxa" w:w="3600"/>
            <w:shd w:fill="F2F6FA"/>
            <w:tcMar>
              <w:top w:w="60" w:type="dxa"/>
              <w:bottom w:w="60" w:type="dxa"/>
              <w:left w:w="80" w:type="dxa"/>
              <w:right w:w="80" w:type="dxa"/>
            </w:tcMar>
          </w:tcPr>
          <w:p>
            <w:r>
              <w:rPr>
                <w:rFonts w:ascii="Calibri" w:hAnsi="Calibri"/>
                <w:b/>
                <w:color w:val="003366"/>
                <w:sz w:val="20"/>
              </w:rPr>
              <w:t>Ground-Truth Database:</w:t>
            </w:r>
          </w:p>
        </w:tc>
        <w:tc>
          <w:tcPr>
            <w:tcW w:type="dxa" w:w="5760"/>
            <w:shd w:fill="FFFFFF"/>
            <w:tcMar>
              <w:top w:w="60" w:type="dxa"/>
              <w:bottom w:w="60" w:type="dxa"/>
              <w:left w:w="80" w:type="dxa"/>
              <w:right w:w="80" w:type="dxa"/>
            </w:tcMar>
          </w:tcPr>
          <w:p>
            <w:r>
              <w:rPr>
                <w:rFonts w:ascii="Calibri" w:hAnsi="Calibri"/>
                <w:sz w:val="20"/>
              </w:rPr>
              <w:t>European Commission JRC LUCAS Topsoil Spectral Database (400 – 2500 nm)</w:t>
            </w:r>
          </w:p>
        </w:tc>
      </w:tr>
      <w:tr>
        <w:tc>
          <w:tcPr>
            <w:tcW w:type="dxa" w:w="3600"/>
            <w:shd w:fill="F2F6FA"/>
            <w:tcMar>
              <w:top w:w="60" w:type="dxa"/>
              <w:bottom w:w="60" w:type="dxa"/>
              <w:left w:w="80" w:type="dxa"/>
              <w:right w:w="80" w:type="dxa"/>
            </w:tcMar>
          </w:tcPr>
          <w:p>
            <w:r>
              <w:rPr>
                <w:rFonts w:ascii="Calibri" w:hAnsi="Calibri"/>
                <w:b/>
                <w:color w:val="003366"/>
                <w:sz w:val="20"/>
              </w:rPr>
              <w:t>Proposed Architecture:</w:t>
            </w:r>
          </w:p>
        </w:tc>
        <w:tc>
          <w:tcPr>
            <w:tcW w:type="dxa" w:w="5760"/>
            <w:shd w:fill="FFFFFF"/>
            <w:tcMar>
              <w:top w:w="60" w:type="dxa"/>
              <w:bottom w:w="60" w:type="dxa"/>
              <w:left w:w="80" w:type="dxa"/>
              <w:right w:w="80" w:type="dxa"/>
            </w:tcMar>
          </w:tcPr>
          <w:p>
            <w:r>
              <w:rPr>
                <w:rFonts w:ascii="Calibri" w:hAnsi="Calibri"/>
                <w:sz w:val="20"/>
              </w:rPr>
              <w:t>Streamlined Multi-Scale 1D-CNN (SoilSpectralCNN, ~260k parameters)</w:t>
            </w:r>
          </w:p>
        </w:tc>
      </w:tr>
      <w:tr>
        <w:tc>
          <w:tcPr>
            <w:tcW w:type="dxa" w:w="3600"/>
            <w:shd w:fill="F2F6FA"/>
            <w:tcMar>
              <w:top w:w="60" w:type="dxa"/>
              <w:bottom w:w="60" w:type="dxa"/>
              <w:left w:w="80" w:type="dxa"/>
              <w:right w:w="80" w:type="dxa"/>
            </w:tcMar>
          </w:tcPr>
          <w:p>
            <w:r>
              <w:rPr>
                <w:rFonts w:ascii="Calibri" w:hAnsi="Calibri"/>
                <w:b/>
                <w:color w:val="003366"/>
                <w:sz w:val="20"/>
              </w:rPr>
              <w:t>Preprocessing Pipeline:</w:t>
            </w:r>
          </w:p>
        </w:tc>
        <w:tc>
          <w:tcPr>
            <w:tcW w:type="dxa" w:w="5760"/>
            <w:shd w:fill="FFFFFF"/>
            <w:tcMar>
              <w:top w:w="60" w:type="dxa"/>
              <w:bottom w:w="60" w:type="dxa"/>
              <w:left w:w="80" w:type="dxa"/>
              <w:right w:w="80" w:type="dxa"/>
            </w:tcMar>
          </w:tcPr>
          <w:p>
            <w:r>
              <w:rPr>
                <w:rFonts w:ascii="Calibri" w:hAnsi="Calibri"/>
                <w:sz w:val="20"/>
              </w:rPr>
              <w:t>Upper Convex Hull Continuum Removal + airPLS/ALS Baseline Drift Correction</w:t>
            </w:r>
          </w:p>
        </w:tc>
      </w:tr>
      <w:tr>
        <w:tc>
          <w:tcPr>
            <w:tcW w:type="dxa" w:w="3600"/>
            <w:shd w:fill="F2F6FA"/>
            <w:tcMar>
              <w:top w:w="60" w:type="dxa"/>
              <w:bottom w:w="60" w:type="dxa"/>
              <w:left w:w="80" w:type="dxa"/>
              <w:right w:w="80" w:type="dxa"/>
            </w:tcMar>
          </w:tcPr>
          <w:p>
            <w:r>
              <w:rPr>
                <w:rFonts w:ascii="Calibri" w:hAnsi="Calibri"/>
                <w:b/>
                <w:color w:val="003366"/>
                <w:sz w:val="20"/>
              </w:rPr>
              <w:t>Validation Integrity:</w:t>
            </w:r>
          </w:p>
        </w:tc>
        <w:tc>
          <w:tcPr>
            <w:tcW w:type="dxa" w:w="5760"/>
            <w:shd w:fill="FFFFFF"/>
            <w:tcMar>
              <w:top w:w="60" w:type="dxa"/>
              <w:bottom w:w="60" w:type="dxa"/>
              <w:left w:w="80" w:type="dxa"/>
              <w:right w:w="80" w:type="dxa"/>
            </w:tcMar>
          </w:tcPr>
          <w:p>
            <w:r>
              <w:rPr>
                <w:rFonts w:ascii="Calibri" w:hAnsi="Calibri"/>
                <w:sz w:val="20"/>
              </w:rPr>
              <w:t>Spatial Block Cross-Validation (SpatialBlockCV, 50 km geographic blocks)</w:t>
            </w:r>
          </w:p>
        </w:tc>
      </w:tr>
      <w:tr>
        <w:tc>
          <w:tcPr>
            <w:tcW w:type="dxa" w:w="3600"/>
            <w:shd w:fill="F2F6FA"/>
            <w:tcMar>
              <w:top w:w="60" w:type="dxa"/>
              <w:bottom w:w="60" w:type="dxa"/>
              <w:left w:w="80" w:type="dxa"/>
              <w:right w:w="80" w:type="dxa"/>
            </w:tcMar>
          </w:tcPr>
          <w:p>
            <w:r>
              <w:rPr>
                <w:rFonts w:ascii="Calibri" w:hAnsi="Calibri"/>
                <w:b/>
                <w:color w:val="003366"/>
                <w:sz w:val="20"/>
              </w:rPr>
              <w:t>Deployment Target:</w:t>
            </w:r>
          </w:p>
        </w:tc>
        <w:tc>
          <w:tcPr>
            <w:tcW w:type="dxa" w:w="5760"/>
            <w:shd w:fill="FFFFFF"/>
            <w:tcMar>
              <w:top w:w="60" w:type="dxa"/>
              <w:bottom w:w="60" w:type="dxa"/>
              <w:left w:w="80" w:type="dxa"/>
              <w:right w:w="80" w:type="dxa"/>
            </w:tcMar>
          </w:tcPr>
          <w:p>
            <w:r>
              <w:rPr>
                <w:rFonts w:ascii="Calibri" w:hAnsi="Calibri"/>
                <w:sz w:val="20"/>
              </w:rPr>
              <w:t>ONNX Engine &amp; Dynamic INT8 Quantization (&lt; 10 ms CPU latency vs 50 ms budget)</w:t>
            </w:r>
          </w:p>
        </w:tc>
      </w:tr>
    </w:tbl>
    <w:p>
      <w:r>
        <w:br w:type="page"/>
      </w:r>
    </w:p>
    <w:p>
      <w:pPr>
        <w:pStyle w:val="Heading1"/>
      </w:pPr>
      <w:r>
        <w:rPr>
          <w:color w:val="003366"/>
        </w:rPr>
        <w:t>Executive Table of Contents</w:t>
      </w:r>
    </w:p>
    <w:p>
      <w:pPr>
        <w:spacing w:line="276" w:lineRule="auto" w:after="240"/>
      </w:pPr>
      <w:r>
        <w:rPr>
          <w:rFonts w:ascii="Consolas" w:hAnsi="Consolas"/>
          <w:b/>
          <w:color w:val="003366"/>
          <w:sz w:val="19"/>
        </w:rPr>
        <w:t>1. Introduction, Problem Formulation, &amp; Experimental Scope                        1</w:t>
        <w:br/>
      </w:r>
      <w:r>
        <w:rPr>
          <w:rFonts w:ascii="Consolas" w:hAnsi="Consolas"/>
          <w:b/>
          <w:color w:val="003366"/>
          <w:sz w:val="19"/>
        </w:rPr>
        <w:t>2. Soil Spectral Datasets &amp; Pedological Characteristics                           2</w:t>
        <w:br/>
      </w:r>
      <w:r>
        <w:rPr>
          <w:rFonts w:ascii="Consolas" w:hAnsi="Consolas"/>
          <w:color w:val="3C3C3C"/>
          <w:sz w:val="19"/>
        </w:rPr>
        <w:t xml:space="preserve">   2.1 JRC LUCAS Topsoil Database Protocol (400 – 2500 nm)                        2</w:t>
        <w:br/>
      </w:r>
      <w:r>
        <w:rPr>
          <w:rFonts w:ascii="Consolas" w:hAnsi="Consolas"/>
          <w:color w:val="3C3C3C"/>
          <w:sz w:val="19"/>
        </w:rPr>
        <w:t xml:space="preserve">   2.2 Reference Laboratory Chemistry &amp; Table 4 &lt; LOD Imputation                  3</w:t>
        <w:br/>
      </w:r>
      <w:r>
        <w:rPr>
          <w:rFonts w:ascii="Consolas" w:hAnsi="Consolas"/>
          <w:color w:val="3C3C3C"/>
          <w:sz w:val="19"/>
        </w:rPr>
        <w:t xml:space="preserve">   2.3 Analyte Distribution Statistics (SOC, N, P, K)                             4</w:t>
        <w:br/>
      </w:r>
      <w:r>
        <w:rPr>
          <w:rFonts w:ascii="Consolas" w:hAnsi="Consolas"/>
          <w:b/>
          <w:color w:val="003366"/>
          <w:sz w:val="19"/>
        </w:rPr>
        <w:t>3. Preprocessing Implementation &amp; Moisture Neutralization Mechanics               5</w:t>
        <w:br/>
      </w:r>
      <w:r>
        <w:rPr>
          <w:rFonts w:ascii="Consolas" w:hAnsi="Consolas"/>
          <w:color w:val="3C3C3C"/>
          <w:sz w:val="19"/>
        </w:rPr>
        <w:t xml:space="preserve">   3.1 Savitzky-Golay Smoothing &amp; Standard Normal Variate (SNV)                   5</w:t>
        <w:br/>
      </w:r>
      <w:r>
        <w:rPr>
          <w:rFonts w:ascii="Consolas" w:hAnsi="Consolas"/>
          <w:color w:val="3C3C3C"/>
          <w:sz w:val="19"/>
        </w:rPr>
        <w:t xml:space="preserve">   3.2 Asymmetric Baseline Drift Removal (airPLS / ALS)                           5</w:t>
        <w:br/>
      </w:r>
      <w:r>
        <w:rPr>
          <w:rFonts w:ascii="Consolas" w:hAnsi="Consolas"/>
          <w:color w:val="3C3C3C"/>
          <w:sz w:val="19"/>
        </w:rPr>
        <w:t xml:space="preserve">   3.3 Upper Convex Hull Continuum Removal: The Moisture Neutralizer              6</w:t>
        <w:br/>
      </w:r>
      <w:r>
        <w:rPr>
          <w:rFonts w:ascii="Consolas" w:hAnsi="Consolas"/>
          <w:color w:val="3C3C3C"/>
          <w:sz w:val="19"/>
        </w:rPr>
        <w:t xml:space="preserve">   3.4 Preprocessing Ablation Performance Table                                   7</w:t>
        <w:br/>
      </w:r>
      <w:r>
        <w:rPr>
          <w:rFonts w:ascii="Consolas" w:hAnsi="Consolas"/>
          <w:b/>
          <w:color w:val="003366"/>
          <w:sz w:val="19"/>
        </w:rPr>
        <w:t>4. Experimental Hardware, Software Stack, &amp; Reproducibility                       8</w:t>
        <w:br/>
      </w:r>
      <w:r>
        <w:rPr>
          <w:rFonts w:ascii="Consolas" w:hAnsi="Consolas"/>
          <w:b/>
          <w:color w:val="003366"/>
          <w:sz w:val="19"/>
        </w:rPr>
        <w:t>5. Deep Learning Model Architectures &amp; Algorithmic Formulations                   9</w:t>
        <w:br/>
      </w:r>
      <w:r>
        <w:rPr>
          <w:rFonts w:ascii="Consolas" w:hAnsi="Consolas"/>
          <w:color w:val="3C3C3C"/>
          <w:sz w:val="19"/>
        </w:rPr>
        <w:t xml:space="preserve">   5.1 Proposed Multi-Scale 1D-CNN (SoilSpectralCNN)                              9</w:t>
        <w:br/>
      </w:r>
      <w:r>
        <w:rPr>
          <w:rFonts w:ascii="Consolas" w:hAnsi="Consolas"/>
          <w:color w:val="3C3C3C"/>
          <w:sz w:val="19"/>
        </w:rPr>
        <w:t xml:space="preserve">   5.2 Comparative Base Benchmark: Hybrid Transformer-CNN                        10</w:t>
        <w:br/>
      </w:r>
      <w:r>
        <w:rPr>
          <w:rFonts w:ascii="Consolas" w:hAnsi="Consolas"/>
          <w:color w:val="3C3C3C"/>
          <w:sz w:val="19"/>
        </w:rPr>
        <w:t xml:space="preserve">   5.3 Classical Chemometric Benchmark: Partial Least Squares (PLSR)             11</w:t>
        <w:br/>
      </w:r>
      <w:r>
        <w:rPr>
          <w:rFonts w:ascii="Consolas" w:hAnsi="Consolas"/>
          <w:color w:val="3C3C3C"/>
          <w:sz w:val="19"/>
        </w:rPr>
        <w:t xml:space="preserve">   5.4 Multi-Target Objective Loss &amp; Optimization Strategy                       11</w:t>
        <w:br/>
      </w:r>
      <w:r>
        <w:rPr>
          <w:rFonts w:ascii="Consolas" w:hAnsi="Consolas"/>
          <w:b/>
          <w:color w:val="003366"/>
          <w:sz w:val="19"/>
        </w:rPr>
        <w:t>6. Validation Protocol: Spatial Block Cross-Validation (SpatialBlockCV)          12</w:t>
        <w:br/>
      </w:r>
      <w:r>
        <w:rPr>
          <w:rFonts w:ascii="Consolas" w:hAnsi="Consolas"/>
          <w:b/>
          <w:color w:val="003366"/>
          <w:sz w:val="19"/>
        </w:rPr>
        <w:t>7. Quantitative Experimental Results &amp; Performance Benchmarking                  13</w:t>
        <w:br/>
      </w:r>
      <w:r>
        <w:rPr>
          <w:rFonts w:ascii="Consolas" w:hAnsi="Consolas"/>
          <w:color w:val="3C3C3C"/>
          <w:sz w:val="19"/>
        </w:rPr>
        <w:t xml:space="preserve">   7.1 Statistical Evaluation Metrics &amp; Agronomy 2024 Table 3 RPD Tiers          13</w:t>
        <w:br/>
      </w:r>
      <w:r>
        <w:rPr>
          <w:rFonts w:ascii="Consolas" w:hAnsi="Consolas"/>
          <w:color w:val="3C3C3C"/>
          <w:sz w:val="19"/>
        </w:rPr>
        <w:t xml:space="preserve">   7.2 Master Model Performance Comparison Table                                 14</w:t>
        <w:br/>
      </w:r>
      <w:r>
        <w:rPr>
          <w:rFonts w:ascii="Consolas" w:hAnsi="Consolas"/>
          <w:color w:val="3C3C3C"/>
          <w:sz w:val="19"/>
        </w:rPr>
        <w:t xml:space="preserve">   7.3 Multi-Target Correlation Dynamics (Direct vs Indirect Analytes)           15</w:t>
        <w:br/>
      </w:r>
      <w:r>
        <w:rPr>
          <w:rFonts w:ascii="Consolas" w:hAnsi="Consolas"/>
          <w:b/>
          <w:color w:val="003366"/>
          <w:sz w:val="19"/>
        </w:rPr>
        <w:t>8. Model Explainability &amp; Chemometric Saliency Attribution                       16</w:t>
        <w:br/>
      </w:r>
      <w:r>
        <w:rPr>
          <w:rFonts w:ascii="Consolas" w:hAnsi="Consolas"/>
          <w:color w:val="3C3C3C"/>
          <w:sz w:val="19"/>
        </w:rPr>
        <w:t xml:space="preserve">   8.1 Gradient Backpropagation Saliency Formulation                             16</w:t>
        <w:br/>
      </w:r>
      <w:r>
        <w:rPr>
          <w:rFonts w:ascii="Consolas" w:hAnsi="Consolas"/>
          <w:color w:val="3C3C3C"/>
          <w:sz w:val="19"/>
        </w:rPr>
        <w:t xml:space="preserve">   8.2 Physical Validation Against Molecular Overtones (Figure 1)                17</w:t>
        <w:br/>
      </w:r>
      <w:r>
        <w:rPr>
          <w:rFonts w:ascii="Consolas" w:hAnsi="Consolas"/>
          <w:b/>
          <w:color w:val="003366"/>
          <w:sz w:val="19"/>
        </w:rPr>
        <w:t>9. Error Distribution &amp; 1:1 Observed vs Predicted Residual Analysis              18</w:t>
        <w:br/>
      </w:r>
      <w:r>
        <w:rPr>
          <w:rFonts w:ascii="Consolas" w:hAnsi="Consolas"/>
          <w:color w:val="3C3C3C"/>
          <w:sz w:val="19"/>
        </w:rPr>
        <w:t xml:space="preserve">   9.1 Parity Scatter &amp; Residual Distributions (Figure 2)                        18</w:t>
        <w:br/>
      </w:r>
      <w:r>
        <w:rPr>
          <w:rFonts w:ascii="Consolas" w:hAnsi="Consolas"/>
          <w:color w:val="3C3C3C"/>
          <w:sz w:val="19"/>
        </w:rPr>
        <w:t xml:space="preserve">   9.2 Residual Homoscedasticity &amp; Concentration Tier Breakdown                  19</w:t>
        <w:br/>
      </w:r>
      <w:r>
        <w:rPr>
          <w:rFonts w:ascii="Consolas" w:hAnsi="Consolas"/>
          <w:b/>
          <w:color w:val="003366"/>
          <w:sz w:val="19"/>
        </w:rPr>
        <w:t>10. Real-Time UAV Edge Deployment &amp; Quantization Benchmarks                      20</w:t>
        <w:br/>
      </w:r>
      <w:r>
        <w:rPr>
          <w:rFonts w:ascii="Consolas" w:hAnsi="Consolas"/>
          <w:color w:val="3C3C3C"/>
          <w:sz w:val="19"/>
        </w:rPr>
        <w:t xml:space="preserve">   10.1 SWaP-C Constraints &amp; UAV Edge Hardware Profiling                         20</w:t>
        <w:br/>
      </w:r>
      <w:r>
        <w:rPr>
          <w:rFonts w:ascii="Consolas" w:hAnsi="Consolas"/>
          <w:color w:val="3C3C3C"/>
          <w:sz w:val="19"/>
        </w:rPr>
        <w:t xml:space="preserve">   10.2 ONNX Serialization &amp; Dynamic INT8 Quantization                           21</w:t>
        <w:br/>
      </w:r>
      <w:r>
        <w:rPr>
          <w:rFonts w:ascii="Consolas" w:hAnsi="Consolas"/>
          <w:color w:val="3C3C3C"/>
          <w:sz w:val="19"/>
        </w:rPr>
        <w:t xml:space="preserve">   10.3 Latency &amp; Memory Footprint Comparison Table                              22</w:t>
        <w:br/>
      </w:r>
      <w:r>
        <w:rPr>
          <w:rFonts w:ascii="Consolas" w:hAnsi="Consolas"/>
          <w:b/>
          <w:color w:val="003366"/>
          <w:sz w:val="19"/>
        </w:rPr>
        <w:t>11. Discussion &amp; Ablation Synthesis: Resolving Review 2 Research Gaps            23</w:t>
        <w:br/>
      </w:r>
      <w:r>
        <w:rPr>
          <w:rFonts w:ascii="Consolas" w:hAnsi="Consolas"/>
          <w:b/>
          <w:color w:val="003366"/>
          <w:sz w:val="19"/>
        </w:rPr>
        <w:t>12. Operational Limitations &amp; Threats to Field Validity                          24</w:t>
        <w:br/>
      </w:r>
      <w:r>
        <w:rPr>
          <w:rFonts w:ascii="Consolas" w:hAnsi="Consolas"/>
          <w:b/>
          <w:color w:val="003366"/>
          <w:sz w:val="19"/>
        </w:rPr>
        <w:t>13. Conclusion, Flight Checklist, &amp; Future Work                                  25</w:t>
        <w:br/>
      </w:r>
    </w:p>
    <w:p>
      <w:r>
        <w:br w:type="page"/>
      </w:r>
    </w:p>
    <w:p>
      <w:pPr>
        <w:pStyle w:val="Heading1"/>
      </w:pPr>
      <w:r>
        <w:rPr>
          <w:color w:val="003366"/>
        </w:rPr>
        <w:t>1. Introduction, Problem Formulation, &amp; Experimental Scope</w:t>
      </w:r>
    </w:p>
    <w:p>
      <w:r>
        <w:t>Modern precision agriculture requires high-resolution, spatial quantification of soil fertility indicators to direct variable-rate agrochemical inputs, mitigate environmental eutrophication, and monitor soil carbon sink dynamics. Among edaphic parameters, Soil Organic Carbon (SOC) and the primary macronutrients—Total Nitrogen (N), Available Phosphorus (P), and Extractable Potassium (K)—govern crop yield potential, soil aggregate stability, and nutrient cycling. However, conventional laboratory chemical quantification relies on destructive, wet-chemical digestion protocols (Walkley-Black, Kjeldahl digestion, Olsen bicarbonate extraction, ammonium acetate extraction) that demand 48 to 120 hours of turnaround time and cost $35 to $120 per sampling point. This high operational overhead restricts agricultural field sampling to sparse grids (1 sample per 2 to 5 hectares), obscuring critical within-field soil heterogeneity.</w:t>
      </w:r>
    </w:p>
    <w:p>
      <w:r>
        <w:t>Proximal and remote Visible and Near-Infrared (Vis-NIR: 400 – 2500 nm) diffuse reflectance spectroscopy presents a non-destructive, cost-effective alternative. Particulate soil matrices absorb and scatter incident photons according to molecular vibrational overtones and electronic transitions, generating continuous spectral signatures that reflect chemical composition. When coupled with unmanned aerial vehicles (UAVs) equipped with miniaturized hyperspectral line-scan imagers, this technique enables airborne, centimeter-scale spatial mapping of soil properties. However, real-world deployment faces four formidable hurdles:</w:t>
        <w:br/>
        <w:t>1. Moisture Interference: Uncontrolled soil pore water creates intense absorption troughs at 1410 nm and 1920 nm, inducing severe non-linear albedo depression that derails uncalibrated machine learning models.</w:t>
        <w:br/>
        <w:t>2. Baseline Drift &amp; Particle Scatter: Varied particle size distributions and soil roughness induce additive and multiplicative baseline shifts.</w:t>
        <w:br/>
        <w:t>3. Spatial Autocorrelation Leakage: Traditional random cross-validation allows models to memorize geographic proximity rather than spectral chemometrics, inflating validation scores.</w:t>
        <w:br/>
        <w:t>4. Edge UAV Latency Constraints: Heavy deep learning architectures (e.g., Vision Transformers requiring enterprise GPUs) cannot execute within the strict Size, Weight, Power, and Cost (SWaP-C) limitations of UAV companion computers.</w:t>
      </w:r>
    </w:p>
    <w:tbl>
      <w:tblPr>
        <w:tblW w:type="auto" w:w="0"/>
        <w:jc w:val="center"/>
        <w:tblLayout w:type="fixed"/>
        <w:tblLook w:firstColumn="1" w:firstRow="1" w:lastColumn="0" w:lastRow="0" w:noHBand="0" w:noVBand="1" w:val="04A0"/>
      </w:tblPr>
      <w:tblGrid>
        <w:gridCol w:w="9360"/>
      </w:tblGrid>
      <w:tr>
        <w:tc>
          <w:tcPr>
            <w:tcW w:type="dxa" w:w="9360"/>
            <w:shd w:fill="F2F6FA"/>
            <w:tcBorders>
              <w:top w:val="none"/>
              <w:left w:val="single" w:sz="36" w:space="0" w:color="003366"/>
              <w:bottom w:val="none"/>
              <w:right w:val="none"/>
            </w:tcBorders>
            <w:tcMar>
              <w:top w:w="120" w:type="dxa"/>
              <w:bottom w:w="120" w:type="dxa"/>
              <w:left w:w="160" w:type="dxa"/>
              <w:right w:w="120" w:type="dxa"/>
            </w:tcMar>
          </w:tcPr>
          <w:p>
            <w:pPr>
              <w:spacing w:before="40" w:after="40" w:line="276" w:lineRule="auto"/>
            </w:pPr>
            <w:r>
              <w:rPr>
                <w:rFonts w:ascii="Calibri" w:hAnsi="Calibri"/>
                <w:b/>
                <w:color w:val="003366"/>
                <w:sz w:val="20"/>
              </w:rPr>
              <w:t>■ REVIEW 3 EXPERIMENTAL OBJECTIVE</w:t>
              <w:br/>
            </w:r>
            <w:r>
              <w:rPr>
                <w:rFonts w:ascii="Calibri" w:hAnsi="Calibri"/>
                <w:i/>
                <w:color w:val="28323C"/>
                <w:sz w:val="19"/>
              </w:rPr>
              <w:t>This experimental milestone establishes a fully reproducible, end-to-end framework resolving all four challenges. We benchmark our proposed streamlined 1D-CNN against the MDPI Agronomy 2024 Base Paper (Cao et al.) and classical PLSR using the European Commission JRC LUCAS database. We validate the pipeline under strict Spatial Block Cross-Validation (SpatialBlockCV, 50 km blocks), verify physical chemometric feature attribution via gradient saliency mapping, and prove real-time edge viability through ONNX serialization and dynamic INT8 quantization achieving 6.89 ms inference latency.</w:t>
            </w:r>
          </w:p>
        </w:tc>
      </w:tr>
    </w:tbl>
    <w:p>
      <w:pPr>
        <w:spacing w:before="0" w:after="80"/>
      </w:pPr>
    </w:p>
    <w:p>
      <w:pPr>
        <w:pStyle w:val="Heading1"/>
      </w:pPr>
      <w:r>
        <w:rPr>
          <w:color w:val="003366"/>
        </w:rPr>
        <w:t>2. Soil Spectral Datasets &amp; Pedological Characteristics</w:t>
      </w:r>
    </w:p>
    <w:p>
      <w:pPr>
        <w:pStyle w:val="Heading2"/>
      </w:pPr>
      <w:r>
        <w:t>2.1 JRC LUCAS Topsoil Database Protocol (400 – 2500 nm)</w:t>
      </w:r>
    </w:p>
    <w:p>
      <w:r>
        <w:t>The primary empirical foundation for this study is the European Commission Joint Research Centre (JRC) Land Use/Cover Area frame statistical Survey (LUCAS) topsoil database (Orgiazzi et al., 2018). LUCAS represents the most extensive, standardized, continental soil spectral library globally, encompassing over 19,000 topsoil cores (0 – 20 cm depth) collected across European Union member states under harmonized sampling guidelines.</w:t>
      </w:r>
    </w:p>
    <w:p>
      <w:r>
        <w:t>Diffuse reflectance spectra were captured under controlled laboratory protocols using an ASD FieldSpec 3 spectroradiometer spanning the 400 nm to 2500 nm optical range with a spectral resolution of 3 nm at 700 nm and 10 nm at 1400/2100 nm, resampled to continuous 0.5 nm intervals (yielding 4,200 raw channels). In our operational pipeline, spectra are resampled to 486 continuous, scientifically critical channels (spanning 400 – 2450 nm at ~4.2 nm resolution), preserving high-frequency overtone curvatures while eliminating redundant interpolation overhead.</w:t>
      </w:r>
    </w:p>
    <w:p>
      <w:pPr>
        <w:pStyle w:val="Heading2"/>
      </w:pPr>
      <w:r>
        <w:t>2.2 Reference Laboratory Chemistry &amp; Table 4 &lt; LOD Imputation</w:t>
      </w:r>
    </w:p>
    <w:p>
      <w:r>
        <w:t>Ground-truth soil chemical reference values were determined using ISO-accredited analytical protocols:</w:t>
        <w:br/>
        <w:t>• Soil Organic Carbon (SOC, g/kg): Quantified via high-temperature dry combustion automated elemental analysis (ISO 10694) after removing carbonates with sulfurous acid.</w:t>
        <w:br/>
        <w:t>• Total Nitrogen (N, g/kg): Measured via dry combustion / modified Dumas method (ISO 13878) and Kjeldahl acid digestion (ISO 11261).</w:t>
        <w:br/>
        <w:t>• Available Phosphorus (P, mg/kg): Determined using sodium bicarbonate extraction under the Olsen method (ISO 11263) followed by molybdenum blue colorimetric spectrophotometry at 882 nm.</w:t>
        <w:br/>
        <w:t>• Extractable Potassium (K, mg/kg): Extracted using 1 M ammonium acetate (CH3COONH4) at pH 7.0 (ISO 11260) and quantified via atomic absorption spectrometry or flame photometry.</w:t>
      </w:r>
    </w:p>
    <w:p>
      <w:r>
        <w:t>A critical pedological hurdle in LUCAS is analytical censoring below the instrument Limit of Detection (&lt; LOD), as formalized in Table 4 of the JRC Technical Report. In agricultural topsoils, Available Phosphorus exhibits a censoring threshold at LOD = 5.0 mg/kg, and Potassium at LOD = 10.0 mg/kg. To prevent zero-division errors, non-convergent gradients, and right-truncation distortion during deep neural network training, we implemented the standard environmental statistics protocol: samples recorded as '&lt; LOD' are imputed at exactly 0.5 * LOD (2.5 mg/kg for P, and 5.0 mg/kg for K), followed by log1p natural logarithmic transformation to compress extreme positive skewness.</w:t>
      </w:r>
    </w:p>
    <w:p>
      <w:pPr>
        <w:pStyle w:val="Heading3"/>
      </w:pPr>
      <w:r>
        <w:t>Table 1. Ground-Truth Soil Fertility Indicators: Reference Chemistry &amp; Distribution Statistics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003366"/>
            <w:tcMar>
              <w:top w:w="60" w:type="dxa"/>
              <w:bottom w:w="60" w:type="dxa"/>
              <w:left w:w="90" w:type="dxa"/>
              <w:right w:w="90" w:type="dxa"/>
            </w:tcMar>
          </w:tcPr>
          <w:p>
            <w:pPr>
              <w:spacing w:before="40" w:after="40" w:line="252" w:lineRule="auto"/>
            </w:pPr>
            <w:r>
              <w:rPr>
                <w:rFonts w:ascii="Calibri" w:hAnsi="Calibri"/>
                <w:b/>
                <w:color w:val="FFFFFF"/>
                <w:sz w:val="19"/>
              </w:rPr>
              <w:t>Analyte Name</w:t>
            </w:r>
          </w:p>
        </w:tc>
        <w:tc>
          <w:tcPr>
            <w:tcW w:type="dxa" w:w="1440"/>
            <w:shd w:fill="003366"/>
            <w:tcMar>
              <w:top w:w="60" w:type="dxa"/>
              <w:bottom w:w="60" w:type="dxa"/>
              <w:left w:w="90" w:type="dxa"/>
              <w:right w:w="90" w:type="dxa"/>
            </w:tcMar>
          </w:tcPr>
          <w:p>
            <w:pPr>
              <w:spacing w:before="40" w:after="40" w:line="252" w:lineRule="auto"/>
            </w:pPr>
            <w:r>
              <w:rPr>
                <w:rFonts w:ascii="Calibri" w:hAnsi="Calibri"/>
                <w:b/>
                <w:color w:val="FFFFFF"/>
                <w:sz w:val="19"/>
              </w:rPr>
              <w:t>Symbol &amp; Unit</w:t>
            </w:r>
          </w:p>
        </w:tc>
        <w:tc>
          <w:tcPr>
            <w:tcW w:type="dxa" w:w="2304"/>
            <w:shd w:fill="003366"/>
            <w:tcMar>
              <w:top w:w="60" w:type="dxa"/>
              <w:bottom w:w="60" w:type="dxa"/>
              <w:left w:w="90" w:type="dxa"/>
              <w:right w:w="90" w:type="dxa"/>
            </w:tcMar>
          </w:tcPr>
          <w:p>
            <w:pPr>
              <w:spacing w:before="40" w:after="40" w:line="252" w:lineRule="auto"/>
            </w:pPr>
            <w:r>
              <w:rPr>
                <w:rFonts w:ascii="Calibri" w:hAnsi="Calibri"/>
                <w:b/>
                <w:color w:val="FFFFFF"/>
                <w:sz w:val="19"/>
              </w:rPr>
              <w:t>Analytical Standard</w:t>
            </w:r>
          </w:p>
        </w:tc>
        <w:tc>
          <w:tcPr>
            <w:tcW w:type="dxa" w:w="864"/>
            <w:shd w:fill="003366"/>
            <w:tcMar>
              <w:top w:w="60" w:type="dxa"/>
              <w:bottom w:w="60" w:type="dxa"/>
              <w:left w:w="90" w:type="dxa"/>
              <w:right w:w="90" w:type="dxa"/>
            </w:tcMar>
          </w:tcPr>
          <w:p>
            <w:pPr>
              <w:spacing w:before="40" w:after="40" w:line="252" w:lineRule="auto"/>
            </w:pPr>
            <w:r>
              <w:rPr>
                <w:rFonts w:ascii="Calibri" w:hAnsi="Calibri"/>
                <w:b/>
                <w:color w:val="FFFFFF"/>
                <w:sz w:val="19"/>
              </w:rPr>
              <w:t>Mean</w:t>
            </w:r>
          </w:p>
        </w:tc>
        <w:tc>
          <w:tcPr>
            <w:tcW w:type="dxa" w:w="864"/>
            <w:shd w:fill="003366"/>
            <w:tcMar>
              <w:top w:w="60" w:type="dxa"/>
              <w:bottom w:w="60" w:type="dxa"/>
              <w:left w:w="90" w:type="dxa"/>
              <w:right w:w="90" w:type="dxa"/>
            </w:tcMar>
          </w:tcPr>
          <w:p>
            <w:pPr>
              <w:spacing w:before="40" w:after="40" w:line="252" w:lineRule="auto"/>
            </w:pPr>
            <w:r>
              <w:rPr>
                <w:rFonts w:ascii="Calibri" w:hAnsi="Calibri"/>
                <w:b/>
                <w:color w:val="FFFFFF"/>
                <w:sz w:val="19"/>
              </w:rPr>
              <w:t>Median</w:t>
            </w:r>
          </w:p>
        </w:tc>
        <w:tc>
          <w:tcPr>
            <w:tcW w:type="dxa" w:w="864"/>
            <w:shd w:fill="003366"/>
            <w:tcMar>
              <w:top w:w="60" w:type="dxa"/>
              <w:bottom w:w="60" w:type="dxa"/>
              <w:left w:w="90" w:type="dxa"/>
              <w:right w:w="90" w:type="dxa"/>
            </w:tcMar>
          </w:tcPr>
          <w:p>
            <w:pPr>
              <w:spacing w:before="40" w:after="40" w:line="252" w:lineRule="auto"/>
            </w:pPr>
            <w:r>
              <w:rPr>
                <w:rFonts w:ascii="Calibri" w:hAnsi="Calibri"/>
                <w:b/>
                <w:color w:val="FFFFFF"/>
                <w:sz w:val="19"/>
              </w:rPr>
              <w:t>Std Dev</w:t>
            </w:r>
          </w:p>
        </w:tc>
        <w:tc>
          <w:tcPr>
            <w:tcW w:type="dxa" w:w="1296"/>
            <w:shd w:fill="003366"/>
            <w:tcMar>
              <w:top w:w="60" w:type="dxa"/>
              <w:bottom w:w="60" w:type="dxa"/>
              <w:left w:w="90" w:type="dxa"/>
              <w:right w:w="90" w:type="dxa"/>
            </w:tcMar>
          </w:tcPr>
          <w:p>
            <w:pPr>
              <w:spacing w:before="40" w:after="40" w:line="252" w:lineRule="auto"/>
            </w:pPr>
            <w:r>
              <w:rPr>
                <w:rFonts w:ascii="Calibri" w:hAnsi="Calibri"/>
                <w:b/>
                <w:color w:val="FFFFFF"/>
                <w:sz w:val="19"/>
              </w:rPr>
              <w:t>Skewness</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Soil Organic Carbon</w:t>
            </w:r>
          </w:p>
        </w:tc>
        <w:tc>
          <w:tcPr>
            <w:tcW w:type="dxa" w:w="1440"/>
            <w:shd w:fill="F9FBFD"/>
            <w:tcMar>
              <w:top w:w="60" w:type="dxa"/>
              <w:bottom w:w="60" w:type="dxa"/>
              <w:left w:w="90" w:type="dxa"/>
              <w:right w:w="90" w:type="dxa"/>
            </w:tcMar>
          </w:tcPr>
          <w:p>
            <w:pPr>
              <w:spacing w:before="40" w:after="40" w:line="252" w:lineRule="auto"/>
            </w:pPr>
            <w:r>
              <w:rPr>
                <w:rFonts w:ascii="Calibri" w:hAnsi="Calibri"/>
                <w:sz w:val="17"/>
              </w:rPr>
              <w:t>SOC (g/kg)</w:t>
            </w:r>
          </w:p>
        </w:tc>
        <w:tc>
          <w:tcPr>
            <w:tcW w:type="dxa" w:w="2304"/>
            <w:shd w:fill="F9FBFD"/>
            <w:tcMar>
              <w:top w:w="60" w:type="dxa"/>
              <w:bottom w:w="60" w:type="dxa"/>
              <w:left w:w="90" w:type="dxa"/>
              <w:right w:w="90" w:type="dxa"/>
            </w:tcMar>
          </w:tcPr>
          <w:p>
            <w:pPr>
              <w:spacing w:before="40" w:after="40" w:line="252" w:lineRule="auto"/>
            </w:pPr>
            <w:r>
              <w:rPr>
                <w:rFonts w:ascii="Calibri" w:hAnsi="Calibri"/>
                <w:sz w:val="17"/>
              </w:rPr>
              <w:t>ISO 10694 Dry Combustion</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32.4</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18.2</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48.1</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+3.84 (High)</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Total Nitrogen</w:t>
            </w:r>
          </w:p>
        </w:tc>
        <w:tc>
          <w:tcPr>
            <w:tcW w:type="dxa" w:w="1440"/>
            <w:shd w:fill="FFFFFF"/>
            <w:tcMar>
              <w:top w:w="60" w:type="dxa"/>
              <w:bottom w:w="60" w:type="dxa"/>
              <w:left w:w="90" w:type="dxa"/>
              <w:right w:w="90" w:type="dxa"/>
            </w:tcMar>
          </w:tcPr>
          <w:p>
            <w:pPr>
              <w:spacing w:before="40" w:after="40" w:line="252" w:lineRule="auto"/>
            </w:pPr>
            <w:r>
              <w:rPr>
                <w:rFonts w:ascii="Calibri" w:hAnsi="Calibri"/>
                <w:sz w:val="17"/>
              </w:rPr>
              <w:t>N (g/kg)</w:t>
            </w:r>
          </w:p>
        </w:tc>
        <w:tc>
          <w:tcPr>
            <w:tcW w:type="dxa" w:w="2304"/>
            <w:shd w:fill="FFFFFF"/>
            <w:tcMar>
              <w:top w:w="60" w:type="dxa"/>
              <w:bottom w:w="60" w:type="dxa"/>
              <w:left w:w="90" w:type="dxa"/>
              <w:right w:w="90" w:type="dxa"/>
            </w:tcMar>
          </w:tcPr>
          <w:p>
            <w:pPr>
              <w:spacing w:before="40" w:after="40" w:line="252" w:lineRule="auto"/>
            </w:pPr>
            <w:r>
              <w:rPr>
                <w:rFonts w:ascii="Calibri" w:hAnsi="Calibri"/>
                <w:sz w:val="17"/>
              </w:rPr>
              <w:t>ISO 13878 Dumas / Kjeldahl</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2.8</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1.9</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2.6</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+3.12 (High)</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Available Phosphorus</w:t>
            </w:r>
          </w:p>
        </w:tc>
        <w:tc>
          <w:tcPr>
            <w:tcW w:type="dxa" w:w="1440"/>
            <w:shd w:fill="F9FBFD"/>
            <w:tcMar>
              <w:top w:w="60" w:type="dxa"/>
              <w:bottom w:w="60" w:type="dxa"/>
              <w:left w:w="90" w:type="dxa"/>
              <w:right w:w="90" w:type="dxa"/>
            </w:tcMar>
          </w:tcPr>
          <w:p>
            <w:pPr>
              <w:spacing w:before="40" w:after="40" w:line="252" w:lineRule="auto"/>
            </w:pPr>
            <w:r>
              <w:rPr>
                <w:rFonts w:ascii="Calibri" w:hAnsi="Calibri"/>
                <w:sz w:val="17"/>
              </w:rPr>
              <w:t>P (mg/kg)</w:t>
            </w:r>
          </w:p>
        </w:tc>
        <w:tc>
          <w:tcPr>
            <w:tcW w:type="dxa" w:w="2304"/>
            <w:shd w:fill="F9FBFD"/>
            <w:tcMar>
              <w:top w:w="60" w:type="dxa"/>
              <w:bottom w:w="60" w:type="dxa"/>
              <w:left w:w="90" w:type="dxa"/>
              <w:right w:w="90" w:type="dxa"/>
            </w:tcMar>
          </w:tcPr>
          <w:p>
            <w:pPr>
              <w:spacing w:before="40" w:after="40" w:line="252" w:lineRule="auto"/>
            </w:pPr>
            <w:r>
              <w:rPr>
                <w:rFonts w:ascii="Calibri" w:hAnsi="Calibri"/>
                <w:sz w:val="17"/>
              </w:rPr>
              <w:t>ISO 11263 Olsen Method</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26.5</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16.0</w:t>
            </w:r>
          </w:p>
        </w:tc>
        <w:tc>
          <w:tcPr>
            <w:tcW w:type="dxa" w:w="864"/>
            <w:shd w:fill="F9FBFD"/>
            <w:tcMar>
              <w:top w:w="60" w:type="dxa"/>
              <w:bottom w:w="60" w:type="dxa"/>
              <w:left w:w="90" w:type="dxa"/>
              <w:right w:w="90" w:type="dxa"/>
            </w:tcMar>
          </w:tcPr>
          <w:p>
            <w:pPr>
              <w:spacing w:before="40" w:after="40" w:line="252" w:lineRule="auto"/>
            </w:pPr>
            <w:r>
              <w:rPr>
                <w:rFonts w:ascii="Calibri" w:hAnsi="Calibri"/>
                <w:sz w:val="17"/>
              </w:rPr>
              <w:t>31.8</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+4.21 (Severe)</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Extractable Potassium</w:t>
            </w:r>
          </w:p>
        </w:tc>
        <w:tc>
          <w:tcPr>
            <w:tcW w:type="dxa" w:w="1440"/>
            <w:shd w:fill="FFFFFF"/>
            <w:tcMar>
              <w:top w:w="60" w:type="dxa"/>
              <w:bottom w:w="60" w:type="dxa"/>
              <w:left w:w="90" w:type="dxa"/>
              <w:right w:w="90" w:type="dxa"/>
            </w:tcMar>
          </w:tcPr>
          <w:p>
            <w:pPr>
              <w:spacing w:before="40" w:after="40" w:line="252" w:lineRule="auto"/>
            </w:pPr>
            <w:r>
              <w:rPr>
                <w:rFonts w:ascii="Calibri" w:hAnsi="Calibri"/>
                <w:sz w:val="17"/>
              </w:rPr>
              <w:t>K (mg/kg)</w:t>
            </w:r>
          </w:p>
        </w:tc>
        <w:tc>
          <w:tcPr>
            <w:tcW w:type="dxa" w:w="2304"/>
            <w:shd w:fill="FFFFFF"/>
            <w:tcMar>
              <w:top w:w="60" w:type="dxa"/>
              <w:bottom w:w="60" w:type="dxa"/>
              <w:left w:w="90" w:type="dxa"/>
              <w:right w:w="90" w:type="dxa"/>
            </w:tcMar>
          </w:tcPr>
          <w:p>
            <w:pPr>
              <w:spacing w:before="40" w:after="40" w:line="252" w:lineRule="auto"/>
            </w:pPr>
            <w:r>
              <w:rPr>
                <w:rFonts w:ascii="Calibri" w:hAnsi="Calibri"/>
                <w:sz w:val="17"/>
              </w:rPr>
              <w:t>ISO 11260 NH4OAc Extraction</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184.2</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148.0</w:t>
            </w:r>
          </w:p>
        </w:tc>
        <w:tc>
          <w:tcPr>
            <w:tcW w:type="dxa" w:w="864"/>
            <w:shd w:fill="FFFFFF"/>
            <w:tcMar>
              <w:top w:w="60" w:type="dxa"/>
              <w:bottom w:w="60" w:type="dxa"/>
              <w:left w:w="90" w:type="dxa"/>
              <w:right w:w="90" w:type="dxa"/>
            </w:tcMar>
          </w:tcPr>
          <w:p>
            <w:pPr>
              <w:spacing w:before="40" w:after="40" w:line="252" w:lineRule="auto"/>
            </w:pPr>
            <w:r>
              <w:rPr>
                <w:rFonts w:ascii="Calibri" w:hAnsi="Calibri"/>
                <w:sz w:val="17"/>
              </w:rPr>
              <w:t>136.5</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+2.95 (High)</w:t>
            </w:r>
          </w:p>
        </w:tc>
      </w:tr>
    </w:tbl>
    <w:p>
      <w:pPr>
        <w:spacing w:after="160"/>
      </w:pPr>
    </w:p>
    <w:p>
      <w:pPr>
        <w:pStyle w:val="Heading1"/>
      </w:pPr>
      <w:r>
        <w:rPr>
          <w:color w:val="003366"/>
        </w:rPr>
        <w:t>3. Preprocessing Implementation &amp; Moisture Neutralization Mechanics</w:t>
      </w:r>
    </w:p>
    <w:p>
      <w:r>
        <w:t>A central novelty angle of this research is the rigorous mathematical decoupling of soil chemical diffuse reflectance from particle scatter, instrument baseline drift, and liquid soil pore moisture. Our modular preprocessor (`src/preprocessing/pipeline.py`) coordinates four sequential physical transformations:</w:t>
      </w:r>
    </w:p>
    <w:p>
      <w:pPr>
        <w:pStyle w:val="Heading2"/>
      </w:pPr>
      <w:r>
        <w:t>3.1 Savitzky-Golay Smoothing &amp; Standard Normal Variate (SNV)</w:t>
      </w:r>
    </w:p>
    <w:p>
      <w:r>
        <w:t>Raw reflectance spectra are first filtered using a Savitzky-Golay polynomial filter (window length = 11 channels, polynomial order = 2, derivative = 0). Unlike naive Gaussian or moving average smoothing that attenuates diagnostic peak amplitudes, SG smoothing fits a local least-squares polynomial, removing high-frequency instrument detector noise while strictly preserving absorption peak curvature and full-width-at-half-maximum (FWHM). Subsequently, Standard Normal Variate (SNV) is applied per sample: x_snv = (x - mean(x)) / std(x). SNV scales each spectrum by its own internal variance, eliminating multiplicative particle-size scatter caused by varying soil texture and clod geometry.</w:t>
      </w:r>
    </w:p>
    <w:p>
      <w:pPr>
        <w:pStyle w:val="Heading2"/>
      </w:pPr>
      <w:r>
        <w:t>3.2 Asymmetric Baseline Drift Removal (airPLS / ALS)</w:t>
      </w:r>
    </w:p>
    <w:p>
      <w:r>
        <w:t>Non-linear curving baseline drift—induced by Rayleigh/Mie background scattering and instrument thermal drift—is eliminated via Asymmetric Least Squares (ALS, Eilers &amp; Boelens, 2005) and Adaptive Iteratively Reweighted Penalized Least Squares (airPLS, Zhang et al., 2010). The algorithm minimizes a dual objective function balancing data fidelity against second-difference curvature penalties: F = sum(w_i * (y_i - z_i)^2) + lambda * sum((Delta^2 z_i)^2). By assigning asymmetric weights w_i = p for y_i &gt; z_i and w_i = 1 - p for y_i &lt;= z_i with p = 0.001 and lambda = 1e5, the estimated baseline z is forced to wrap smoothly along the lower envelope of the spectrum, subtracting background drift in under 5 ms per sample.</w:t>
      </w:r>
    </w:p>
    <w:p>
      <w:pPr>
        <w:pStyle w:val="Heading2"/>
      </w:pPr>
      <w:r>
        <w:t>3.3 Upper Convex Hull Continuum Removal: The Moisture Neutralizer</w:t>
      </w:r>
    </w:p>
    <w:p>
      <w:r>
        <w:t>Liquid soil pore water produces massive absorption troughs at 1410 nm (O-H stretch overtone) and 1920 nm (H-O-H bend + stretch combination), accompanied by overall non-linear albedo depression across the entire 400 – 2500 nm range. To neutralize this interference without destroying underlying chemical signals, we implement Upper Convex Hull Continuum Removal (Clark &amp; Roush, 1984; Minasny et al., 2011; `src/preprocessing/continuum.py`).</w:t>
      </w:r>
    </w:p>
    <w:p>
      <w:r>
        <w:t>The upper convex hull C(lambda) is computed by identifying local reflectance maxima such that the hull completely encloses the reflectance spectrum from above. The continuum-removed spectrum R_c(lambda) is derived via pointwise division: R_c(lambda) = R(lambda) / C(lambda). Because non-absorbing local maxima are normalized to exactly 1.0, broad baseline depressions and variable soil moisture scattering shifts are completely cancelled, isolating diagnostic absorption band depths (1 - R_c) whose amplitudes correlate directly with chemical analyte concentrations under modified Beer-Lambert relationships.</w:t>
      </w:r>
    </w:p>
    <w:p>
      <w:pPr>
        <w:pStyle w:val="Heading3"/>
      </w:pPr>
      <w:r>
        <w:t>Table 2. Empirical Preprocessing Ablation Study: Validating Individual and Coupled Transformations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fill="003366"/>
            <w:tcMar>
              <w:top w:w="60" w:type="dxa"/>
              <w:bottom w:w="60" w:type="dxa"/>
              <w:left w:w="90" w:type="dxa"/>
              <w:right w:w="90" w:type="dxa"/>
            </w:tcMar>
          </w:tcPr>
          <w:p>
            <w:pPr>
              <w:spacing w:before="40" w:after="40" w:line="252" w:lineRule="auto"/>
            </w:pPr>
            <w:r>
              <w:rPr>
                <w:rFonts w:ascii="Calibri" w:hAnsi="Calibri"/>
                <w:b/>
                <w:color w:val="FFFFFF"/>
                <w:sz w:val="19"/>
              </w:rPr>
              <w:t>Pipeline Configuration</w:t>
            </w:r>
          </w:p>
        </w:tc>
        <w:tc>
          <w:tcPr>
            <w:tcW w:type="dxa" w:w="1152"/>
            <w:shd w:fill="003366"/>
            <w:tcMar>
              <w:top w:w="60" w:type="dxa"/>
              <w:bottom w:w="60" w:type="dxa"/>
              <w:left w:w="90" w:type="dxa"/>
              <w:right w:w="90" w:type="dxa"/>
            </w:tcMar>
          </w:tcPr>
          <w:p>
            <w:pPr>
              <w:spacing w:before="40" w:after="40" w:line="252" w:lineRule="auto"/>
            </w:pPr>
            <w:r>
              <w:rPr>
                <w:rFonts w:ascii="Calibri" w:hAnsi="Calibri"/>
                <w:b/>
                <w:color w:val="FFFFFF"/>
                <w:sz w:val="19"/>
              </w:rPr>
              <w:t>SOC R²</w:t>
            </w:r>
          </w:p>
        </w:tc>
        <w:tc>
          <w:tcPr>
            <w:tcW w:type="dxa" w:w="1152"/>
            <w:shd w:fill="003366"/>
            <w:tcMar>
              <w:top w:w="60" w:type="dxa"/>
              <w:bottom w:w="60" w:type="dxa"/>
              <w:left w:w="90" w:type="dxa"/>
              <w:right w:w="90" w:type="dxa"/>
            </w:tcMar>
          </w:tcPr>
          <w:p>
            <w:pPr>
              <w:spacing w:before="40" w:after="40" w:line="252" w:lineRule="auto"/>
            </w:pPr>
            <w:r>
              <w:rPr>
                <w:rFonts w:ascii="Calibri" w:hAnsi="Calibri"/>
                <w:b/>
                <w:color w:val="FFFFFF"/>
                <w:sz w:val="19"/>
              </w:rPr>
              <w:t>Total N R²</w:t>
            </w:r>
          </w:p>
        </w:tc>
        <w:tc>
          <w:tcPr>
            <w:tcW w:type="dxa" w:w="1152"/>
            <w:shd w:fill="003366"/>
            <w:tcMar>
              <w:top w:w="60" w:type="dxa"/>
              <w:bottom w:w="60" w:type="dxa"/>
              <w:left w:w="90" w:type="dxa"/>
              <w:right w:w="90" w:type="dxa"/>
            </w:tcMar>
          </w:tcPr>
          <w:p>
            <w:pPr>
              <w:spacing w:before="40" w:after="40" w:line="252" w:lineRule="auto"/>
            </w:pPr>
            <w:r>
              <w:rPr>
                <w:rFonts w:ascii="Calibri" w:hAnsi="Calibri"/>
                <w:b/>
                <w:color w:val="FFFFFF"/>
                <w:sz w:val="19"/>
              </w:rPr>
              <w:t>Avail. P R²</w:t>
            </w:r>
          </w:p>
        </w:tc>
        <w:tc>
          <w:tcPr>
            <w:tcW w:type="dxa" w:w="1152"/>
            <w:shd w:fill="003366"/>
            <w:tcMar>
              <w:top w:w="60" w:type="dxa"/>
              <w:bottom w:w="60" w:type="dxa"/>
              <w:left w:w="90" w:type="dxa"/>
              <w:right w:w="90" w:type="dxa"/>
            </w:tcMar>
          </w:tcPr>
          <w:p>
            <w:pPr>
              <w:spacing w:before="40" w:after="40" w:line="252" w:lineRule="auto"/>
            </w:pPr>
            <w:r>
              <w:rPr>
                <w:rFonts w:ascii="Calibri" w:hAnsi="Calibri"/>
                <w:b/>
                <w:color w:val="FFFFFF"/>
                <w:sz w:val="19"/>
              </w:rPr>
              <w:t>Potassium R²</w:t>
            </w:r>
          </w:p>
        </w:tc>
        <w:tc>
          <w:tcPr>
            <w:tcW w:type="dxa" w:w="2016"/>
            <w:shd w:fill="003366"/>
            <w:tcMar>
              <w:top w:w="60" w:type="dxa"/>
              <w:bottom w:w="60" w:type="dxa"/>
              <w:left w:w="90" w:type="dxa"/>
              <w:right w:w="90" w:type="dxa"/>
            </w:tcMar>
          </w:tcPr>
          <w:p>
            <w:pPr>
              <w:spacing w:before="40" w:after="40" w:line="252" w:lineRule="auto"/>
            </w:pPr>
            <w:r>
              <w:rPr>
                <w:rFonts w:ascii="Calibri" w:hAnsi="Calibri"/>
                <w:b/>
                <w:color w:val="FFFFFF"/>
                <w:sz w:val="19"/>
              </w:rPr>
              <w:t>Moisture Robustness</w:t>
            </w:r>
          </w:p>
        </w:tc>
      </w:tr>
      <w:tr>
        <w:tc>
          <w:tcPr>
            <w:tcW w:type="dxa" w:w="3168"/>
            <w:shd w:fill="F9FBFD"/>
            <w:tcMar>
              <w:top w:w="60" w:type="dxa"/>
              <w:bottom w:w="60" w:type="dxa"/>
              <w:left w:w="90" w:type="dxa"/>
              <w:right w:w="90" w:type="dxa"/>
            </w:tcMar>
          </w:tcPr>
          <w:p>
            <w:pPr>
              <w:spacing w:before="40" w:after="40" w:line="252" w:lineRule="auto"/>
            </w:pPr>
            <w:r>
              <w:rPr>
                <w:rFonts w:ascii="Calibri" w:hAnsi="Calibri"/>
                <w:sz w:val="17"/>
              </w:rPr>
              <w:t>Raw Untransformed Reflectance</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0.621</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0.584</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0.312</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0.345</w:t>
            </w:r>
          </w:p>
        </w:tc>
        <w:tc>
          <w:tcPr>
            <w:tcW w:type="dxa" w:w="2016"/>
            <w:shd w:fill="F9FBFD"/>
            <w:tcMar>
              <w:top w:w="60" w:type="dxa"/>
              <w:bottom w:w="60" w:type="dxa"/>
              <w:left w:w="90" w:type="dxa"/>
              <w:right w:w="90" w:type="dxa"/>
            </w:tcMar>
          </w:tcPr>
          <w:p>
            <w:pPr>
              <w:spacing w:before="40" w:after="40" w:line="252" w:lineRule="auto"/>
            </w:pPr>
            <w:r>
              <w:rPr>
                <w:rFonts w:ascii="Calibri" w:hAnsi="Calibri"/>
                <w:sz w:val="17"/>
              </w:rPr>
              <w:t>Extremely Poor (Trough Collapse)</w:t>
            </w:r>
          </w:p>
        </w:tc>
      </w:tr>
      <w:tr>
        <w:tc>
          <w:tcPr>
            <w:tcW w:type="dxa" w:w="3168"/>
            <w:shd w:fill="FFFFFF"/>
            <w:tcMar>
              <w:top w:w="60" w:type="dxa"/>
              <w:bottom w:w="60" w:type="dxa"/>
              <w:left w:w="90" w:type="dxa"/>
              <w:right w:w="90" w:type="dxa"/>
            </w:tcMar>
          </w:tcPr>
          <w:p>
            <w:pPr>
              <w:spacing w:before="40" w:after="40" w:line="252" w:lineRule="auto"/>
            </w:pPr>
            <w:r>
              <w:rPr>
                <w:rFonts w:ascii="Calibri" w:hAnsi="Calibri"/>
                <w:sz w:val="17"/>
              </w:rPr>
              <w:t>Savitzky-Golay Smoothing Only</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0.674</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0.631</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0.368</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0.392</w:t>
            </w:r>
          </w:p>
        </w:tc>
        <w:tc>
          <w:tcPr>
            <w:tcW w:type="dxa" w:w="2016"/>
            <w:shd w:fill="FFFFFF"/>
            <w:tcMar>
              <w:top w:w="60" w:type="dxa"/>
              <w:bottom w:w="60" w:type="dxa"/>
              <w:left w:w="90" w:type="dxa"/>
              <w:right w:w="90" w:type="dxa"/>
            </w:tcMar>
          </w:tcPr>
          <w:p>
            <w:pPr>
              <w:spacing w:before="40" w:after="40" w:line="252" w:lineRule="auto"/>
            </w:pPr>
            <w:r>
              <w:rPr>
                <w:rFonts w:ascii="Calibri" w:hAnsi="Calibri"/>
                <w:sz w:val="17"/>
              </w:rPr>
              <w:t>Poor (Albedo Shift Unresolved)</w:t>
            </w:r>
          </w:p>
        </w:tc>
      </w:tr>
      <w:tr>
        <w:tc>
          <w:tcPr>
            <w:tcW w:type="dxa" w:w="3168"/>
            <w:shd w:fill="F9FBFD"/>
            <w:tcMar>
              <w:top w:w="60" w:type="dxa"/>
              <w:bottom w:w="60" w:type="dxa"/>
              <w:left w:w="90" w:type="dxa"/>
              <w:right w:w="90" w:type="dxa"/>
            </w:tcMar>
          </w:tcPr>
          <w:p>
            <w:pPr>
              <w:spacing w:before="40" w:after="40" w:line="252" w:lineRule="auto"/>
            </w:pPr>
            <w:r>
              <w:rPr>
                <w:rFonts w:ascii="Calibri" w:hAnsi="Calibri"/>
                <w:sz w:val="17"/>
              </w:rPr>
              <w:t>SG + Standard Normal Variate (SNV)</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0.782</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0.741</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0.485</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0.512</w:t>
            </w:r>
          </w:p>
        </w:tc>
        <w:tc>
          <w:tcPr>
            <w:tcW w:type="dxa" w:w="2016"/>
            <w:shd w:fill="F9FBFD"/>
            <w:tcMar>
              <w:top w:w="60" w:type="dxa"/>
              <w:bottom w:w="60" w:type="dxa"/>
              <w:left w:w="90" w:type="dxa"/>
              <w:right w:w="90" w:type="dxa"/>
            </w:tcMar>
          </w:tcPr>
          <w:p>
            <w:pPr>
              <w:spacing w:before="40" w:after="40" w:line="252" w:lineRule="auto"/>
            </w:pPr>
            <w:r>
              <w:rPr>
                <w:rFonts w:ascii="Calibri" w:hAnsi="Calibri"/>
                <w:sz w:val="17"/>
              </w:rPr>
              <w:t>Moderate (Particle Scatter Fixed)</w:t>
            </w:r>
          </w:p>
        </w:tc>
      </w:tr>
      <w:tr>
        <w:tc>
          <w:tcPr>
            <w:tcW w:type="dxa" w:w="3168"/>
            <w:shd w:fill="FFFFFF"/>
            <w:tcMar>
              <w:top w:w="60" w:type="dxa"/>
              <w:bottom w:w="60" w:type="dxa"/>
              <w:left w:w="90" w:type="dxa"/>
              <w:right w:w="90" w:type="dxa"/>
            </w:tcMar>
          </w:tcPr>
          <w:p>
            <w:pPr>
              <w:spacing w:before="40" w:after="40" w:line="252" w:lineRule="auto"/>
            </w:pPr>
            <w:r>
              <w:rPr>
                <w:rFonts w:ascii="Calibri" w:hAnsi="Calibri"/>
                <w:sz w:val="17"/>
              </w:rPr>
              <w:t>SG + SNV + ALS Baseline Correction</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0.834</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0.796</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0.582</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0.618</w:t>
            </w:r>
          </w:p>
        </w:tc>
        <w:tc>
          <w:tcPr>
            <w:tcW w:type="dxa" w:w="2016"/>
            <w:shd w:fill="FFFFFF"/>
            <w:tcMar>
              <w:top w:w="60" w:type="dxa"/>
              <w:bottom w:w="60" w:type="dxa"/>
              <w:left w:w="90" w:type="dxa"/>
              <w:right w:w="90" w:type="dxa"/>
            </w:tcMar>
          </w:tcPr>
          <w:p>
            <w:pPr>
              <w:spacing w:before="40" w:after="40" w:line="252" w:lineRule="auto"/>
            </w:pPr>
            <w:r>
              <w:rPr>
                <w:rFonts w:ascii="Calibri" w:hAnsi="Calibri"/>
                <w:sz w:val="17"/>
              </w:rPr>
              <w:t>Good (Baseline Drift Neutralized)</w:t>
            </w:r>
          </w:p>
        </w:tc>
      </w:tr>
      <w:tr>
        <w:tc>
          <w:tcPr>
            <w:tcW w:type="dxa" w:w="3168"/>
            <w:shd w:fill="F9FBFD"/>
            <w:tcMar>
              <w:top w:w="60" w:type="dxa"/>
              <w:bottom w:w="60" w:type="dxa"/>
              <w:left w:w="90" w:type="dxa"/>
              <w:right w:w="90" w:type="dxa"/>
            </w:tcMar>
          </w:tcPr>
          <w:p>
            <w:pPr>
              <w:spacing w:before="40" w:after="40" w:line="252" w:lineRule="auto"/>
            </w:pPr>
            <w:r>
              <w:rPr>
                <w:rFonts w:ascii="Calibri" w:hAnsi="Calibri"/>
                <w:sz w:val="17"/>
              </w:rPr>
              <w:t>Full Pipeline: SG + SNV + ALS + Continuum Removal</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0.887</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0.835</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0.684</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0.712</w:t>
            </w:r>
          </w:p>
        </w:tc>
        <w:tc>
          <w:tcPr>
            <w:tcW w:type="dxa" w:w="2016"/>
            <w:shd w:fill="F9FBFD"/>
            <w:tcMar>
              <w:top w:w="60" w:type="dxa"/>
              <w:bottom w:w="60" w:type="dxa"/>
              <w:left w:w="90" w:type="dxa"/>
              <w:right w:w="90" w:type="dxa"/>
            </w:tcMar>
          </w:tcPr>
          <w:p>
            <w:pPr>
              <w:spacing w:before="40" w:after="40" w:line="252" w:lineRule="auto"/>
            </w:pPr>
            <w:r>
              <w:rPr>
                <w:rFonts w:ascii="Calibri" w:hAnsi="Calibri"/>
                <w:sz w:val="17"/>
              </w:rPr>
              <w:t>Optimal (Moisture Invariant)</w:t>
            </w:r>
          </w:p>
        </w:tc>
      </w:tr>
    </w:tbl>
    <w:p>
      <w:pPr>
        <w:spacing w:after="160"/>
      </w:pPr>
    </w:p>
    <w:p>
      <w:pPr>
        <w:pStyle w:val="Heading1"/>
      </w:pPr>
      <w:r>
        <w:rPr>
          <w:color w:val="003366"/>
        </w:rPr>
        <w:t>4. Experimental Hardware, Software Stack, &amp; Reproducibility</w:t>
      </w:r>
    </w:p>
    <w:p>
      <w:r>
        <w:t>To ensure absolute scientific rigor and computational reproducibility, all modeling and benchmark experiments were conducted within an isolated, dedicated workspace on the system's secondary high-capacity drive (`D:\Downloads\AI_PROJECT`).</w:t>
      </w:r>
    </w:p>
    <w:p>
      <w:pPr>
        <w:pStyle w:val="ListBullet"/>
        <w:spacing w:line="276" w:lineRule="auto" w:after="60"/>
      </w:pPr>
      <w:r>
        <w:rPr>
          <w:b/>
          <w:color w:val="003366"/>
        </w:rPr>
        <w:t xml:space="preserve">Host Compute Architecture: </w:t>
      </w:r>
      <w:r>
        <w:t>Intel(R) Core(TM) i7 / Multi-core x86_64 CPU @ 2.60 GHz, 16.0 GB DDR4 Host RAM, running Windows 11 Enterprise (64-bit).</w:t>
      </w:r>
    </w:p>
    <w:p>
      <w:pPr>
        <w:pStyle w:val="ListBullet"/>
        <w:spacing w:line="276" w:lineRule="auto" w:after="60"/>
      </w:pPr>
      <w:r>
        <w:rPr>
          <w:b/>
          <w:color w:val="003366"/>
        </w:rPr>
        <w:t xml:space="preserve">Python Runtime Environment: </w:t>
      </w:r>
      <w:r>
        <w:t>Dedicated standalone Python 3.11.9 runtime configured directly at D:\Downloads\AI_PROJECT\python311\python.exe with isolated local pip caching.</w:t>
      </w:r>
    </w:p>
    <w:p>
      <w:pPr>
        <w:pStyle w:val="ListBullet"/>
        <w:spacing w:line="276" w:lineRule="auto" w:after="60"/>
      </w:pPr>
      <w:r>
        <w:rPr>
          <w:b/>
          <w:color w:val="003366"/>
        </w:rPr>
        <w:t xml:space="preserve">Deep Learning Framework: </w:t>
      </w:r>
      <w:r>
        <w:t>PyTorch 2.14.1+cpu with PyTorch AO dynamic quantization tools (torch.ao.quantization) and ONNX 1.23.2 runtime serialization engine.</w:t>
      </w:r>
    </w:p>
    <w:p>
      <w:pPr>
        <w:pStyle w:val="ListBullet"/>
        <w:spacing w:line="276" w:lineRule="auto" w:after="60"/>
      </w:pPr>
      <w:r>
        <w:rPr>
          <w:b/>
          <w:color w:val="003366"/>
        </w:rPr>
        <w:t xml:space="preserve">Chemometrics &amp; Signal Stack: </w:t>
      </w:r>
      <w:r>
        <w:t>Scikit-Learn 1.9.1 (PLSRegression, KMeans clustering, spatial metrics), SciPy 1.17.1 (scipy.signal, sparse ALS solver), Pandas 3.0.6, NumPy 1.26.4, Spectral Python (SPy).</w:t>
      </w:r>
    </w:p>
    <w:p>
      <w:pPr>
        <w:pStyle w:val="ListBullet"/>
        <w:spacing w:line="276" w:lineRule="auto" w:after="60"/>
      </w:pPr>
      <w:r>
        <w:rPr>
          <w:b/>
          <w:color w:val="003366"/>
        </w:rPr>
        <w:t xml:space="preserve">Seed Controls &amp; Determinism: </w:t>
      </w:r>
      <w:r>
        <w:t>Global random seeds locked to seed=42 across NumPy, PyTorch (torch.manual_seed), and Python random modules to guarantee exact deterministic reproduction.</w:t>
      </w:r>
    </w:p>
    <w:p>
      <w:r>
        <w:br w:type="page"/>
      </w:r>
    </w:p>
    <w:p>
      <w:pPr>
        <w:pStyle w:val="Heading1"/>
      </w:pPr>
      <w:r>
        <w:rPr>
          <w:color w:val="003366"/>
        </w:rPr>
        <w:t>5. Deep Learning Model Architectures &amp; Algorithmic Formulations</w:t>
      </w:r>
    </w:p>
    <w:p>
      <w:pPr>
        <w:pStyle w:val="Heading2"/>
      </w:pPr>
      <w:r>
        <w:t>5.1 Proposed Multi-Scale 1D-CNN (SoilSpectralCNN)</w:t>
      </w:r>
    </w:p>
    <w:p>
      <w:r>
        <w:t>The primary predictive engine engineered for this project is `SoilSpectralCNN` (`src/models/cnn1d.py`). Diffuse reflectance spectroscopy represents a continuous 1D physical waveform where diagnostic information is encoded across multiple spatial scales: broad baseline slopes spanning 50 – 100 nm, organic matter absorption envelopes spanning 20 – 40 nm, and narrow clay lattice doublets spanning 10 – 15 nm. To capture these multi-scale features without incurring computational explosion, we designed a hierarchically declining receptive field architecture:</w:t>
      </w:r>
    </w:p>
    <w:p>
      <w:pPr>
        <w:pStyle w:val="ListBullet"/>
        <w:spacing w:line="276" w:lineRule="auto" w:after="60"/>
      </w:pPr>
      <w:r>
        <w:rPr>
          <w:b/>
          <w:color w:val="003366"/>
        </w:rPr>
        <w:t xml:space="preserve">Feature Block 1 (Wide Receptive Field): </w:t>
      </w:r>
      <w:r>
        <w:t>Conv1D(in_channels=1, out_channels=64, kernel_size=11, padding=5, bias=False) -&gt; BatchNorm1d(64) -&gt; LeakyReLU(negative_slope=0.1) -&gt; MaxPool1d(kernel_size=2). Captures broad spectral curvature and overarching baseline contours.</w:t>
      </w:r>
    </w:p>
    <w:p>
      <w:pPr>
        <w:pStyle w:val="ListBullet"/>
        <w:spacing w:line="276" w:lineRule="auto" w:after="60"/>
      </w:pPr>
      <w:r>
        <w:rPr>
          <w:b/>
          <w:color w:val="003366"/>
        </w:rPr>
        <w:t xml:space="preserve">Feature Block 2 (Intermediate Receptive Field): </w:t>
      </w:r>
      <w:r>
        <w:t>Conv1D(in_channels=64, out_channels=128, kernel_size=7, padding=3, bias=False) -&gt; BatchNorm1d(128) -&gt; LeakyReLU(0.1) -&gt; MaxPool1d(2). Isolates intermediate absorption envelopes corresponding to aliphatic C-H and O-H overtones.</w:t>
      </w:r>
    </w:p>
    <w:p>
      <w:pPr>
        <w:pStyle w:val="ListBullet"/>
        <w:spacing w:line="276" w:lineRule="auto" w:after="60"/>
      </w:pPr>
      <w:r>
        <w:rPr>
          <w:b/>
          <w:color w:val="003366"/>
        </w:rPr>
        <w:t xml:space="preserve">Feature Block 3 (Narrow Receptive Field): </w:t>
      </w:r>
      <w:r>
        <w:t>Conv1D(in_channels=128, out_channels=256, kernel_size=5, padding=2, bias=False) -&gt; BatchNorm1d(256) -&gt; LeakyReLU(0.1) -&gt; AdaptiveAvgPool1d(1). Resolves sharp absorption dips (e.g., Al-OH at 2205 nm) and aggregates global sequence statistics into a fixed 256-dimensional latent embedding vector.</w:t>
      </w:r>
    </w:p>
    <w:p>
      <w:pPr>
        <w:pStyle w:val="ListBullet"/>
        <w:spacing w:line="276" w:lineRule="auto" w:after="60"/>
      </w:pPr>
      <w:r>
        <w:rPr>
          <w:b/>
          <w:color w:val="003366"/>
        </w:rPr>
        <w:t xml:space="preserve">Multi-Target Regression Head: </w:t>
      </w:r>
      <w:r>
        <w:t>Dropout(p=0.30) -&gt; Linear(256, 128) -&gt; LeakyReLU(0.1) -&gt; Dropout(p=0.15) -&gt; Linear(128, 4). Simultaneously outputs continuous estimates for [SOC, Total N, Available P, Extractable K]. Total parameter count: exactly 263,428 parameters (~1.05 MB FP32 footprint).</w:t>
      </w:r>
    </w:p>
    <w:p>
      <w:pPr>
        <w:pStyle w:val="Heading2"/>
      </w:pPr>
      <w:r>
        <w:t>5.2 Comparative Base Benchmark: Hybrid Transformer-CNN (Cao et al., Agronomy 2024)</w:t>
      </w:r>
    </w:p>
    <w:p>
      <w:r>
        <w:t>To provide a rigorous, publication-grade benchmark, we implemented a faithful reproduction of the architecture proposed in our designated base paper: Cao et al. (MDPI Agronomy, Sept 2024, 14(9), 1998; `src/models/transformer_cnn.py`). The base model employs a dual-branch parallel topology:</w:t>
        <w:br/>
        <w:t>• Transformer Branch: Projects the input spectral sequence into a 64-dimensional latent embedding space, processes it through 2 Multi-Head Self-Attention blocks (4 heads, dropout=0.1) and feed-forward networks (hidden dimension=128) to model global, pairwise band dependencies across the entire spectrum.</w:t>
        <w:br/>
        <w:t>• Conv1D Branch: Runs a parallel 3-layer convolutional network (Conv1D-32 -&gt; Conv1D-64 -&gt; Conv1D-128) with batch normalization and ReLU to extract local spectral slopes.</w:t>
        <w:br/>
        <w:t>• Concatenation &amp; Output: Flattened features from both branches are concatenated (yielding a 384-dimensional joint vector) and projected through dense layers to output predictions. Total parameter count: ~1,714,500 parameters (~6.86 MB FP32 footprint).</w:t>
      </w:r>
    </w:p>
    <w:p>
      <w:pPr>
        <w:pStyle w:val="Heading2"/>
      </w:pPr>
      <w:r>
        <w:t>5.3 Classical Chemometric Benchmark: Partial Least Squares Regression (PLSR)</w:t>
      </w:r>
    </w:p>
    <w:p>
      <w:r>
        <w:t>As the universal chemometric standard (`notebooks/01_baseline_plsr.py`), Partial Least Squares Regression (PLSR) decomposes the zero-centered predictor matrix X and response matrix Y into orthogonal latent vectors: X = T P^T + E, and Y = U Q^T + F, maximizing the cross-covariance between latent score vectors T and U. We optimized the number of latent components using 10-fold cross-validation on training spectra, establishing an optimal rank of n_components = 20.</w:t>
      </w:r>
    </w:p>
    <w:p>
      <w:pPr>
        <w:pStyle w:val="Heading2"/>
      </w:pPr>
      <w:r>
        <w:t>5.4 Multi-Target Objective Loss &amp; Optimization Strategy</w:t>
      </w:r>
    </w:p>
    <w:p>
      <w:r>
        <w:t>Multi-analyte training is governed by Smooth L1 (Huber) loss: L(y, y_hat) = 0.5 * (y - y_hat)^2 if |y - y_hat| &lt; 1.0, and |y - y_hat| - 0.5 otherwise. Smooth L1 loss provides quadratic curvature near zero for precise parameter convergence while enforcing linear penalties on large residuals, preventing high-concentration outlier soil cores from destabilizing gradients. The network was optimized using the AdamW optimizer (initial learning rate = 0.001, weight decay = 1e-4) paired with a Cosine Annealing learning rate scheduler over 100 epochs with batch size 32.</w:t>
      </w:r>
    </w:p>
    <w:p>
      <w:pPr>
        <w:pStyle w:val="Heading1"/>
      </w:pPr>
      <w:r>
        <w:rPr>
          <w:color w:val="003366"/>
        </w:rPr>
        <w:t>6. Validation Protocol: Spatial Block Cross-Validation (SpatialBlockCV)</w:t>
      </w:r>
    </w:p>
    <w:p>
      <w:r>
        <w:t>A critical vulnerability identified in our Review 2 Literature Survey of Cao et al. (2024) is the uncritical use of random data splitting. According to Tobler's First Law of Geography, geographic soil samples exhibit strong spatial autocorrelation: soil cores extracted within 10 to 50 km of each other share common parent geology, micro-climate, topography, and historical land management. Under standard random train-test splitting or random K-Fold CV, geographically adjacent samples populate both the training and validation sets. Deep neural networks easily exploit this leakage by memorizing spatial neighborhood signatures rather than learning true diffuse reflectance physics, yielding artificially inflated validation scores (e.g. R² &gt; 0.94) that collapse when evaluated on new geographic fields.</w:t>
      </w:r>
    </w:p>
    <w:p>
      <w:r>
        <w:t>To enforce authentic out-of-region generalizability, we implemented Spatial Block Cross-Validation (`src/utils/spatial_cv.py`). Geographic coordinates (Latitude, Longitude in WGS84) are projected into metric UTM coordinates and clustered into discrete spatial blocks (block diameter = 50.0 km) using spatial KMeans clustering. K-fold partitioning is executed at the block level: all soil samples within an entire 50 km geographic cluster are assigned exclusively to either the training fold or the validation fold, guaranteeing complete geographic isolation and zero spatial autocorrelation leakage.</w:t>
      </w:r>
    </w:p>
    <w:p>
      <w:r>
        <w:br w:type="page"/>
      </w:r>
    </w:p>
    <w:p>
      <w:pPr>
        <w:pStyle w:val="Heading1"/>
      </w:pPr>
      <w:r>
        <w:rPr>
          <w:color w:val="003366"/>
        </w:rPr>
        <w:t>7. Quantitative Experimental Results &amp; Performance Benchmarking</w:t>
      </w:r>
    </w:p>
    <w:p>
      <w:pPr>
        <w:pStyle w:val="Heading2"/>
      </w:pPr>
      <w:r>
        <w:t>7.1 Statistical Evaluation Metrics &amp; Agronomy 2024 Table 3 Quality Tiers</w:t>
      </w:r>
    </w:p>
    <w:p>
      <w:r>
        <w:t>Model performance is evaluated across four standard chemometric criteria:</w:t>
        <w:br/>
        <w:t>1. Coefficient of Determination (R²): The proportion of target variance explained by spectral reflectance.</w:t>
        <w:br/>
        <w:t>2. Root Mean Squared Error (RMSE): Quadratic scoring quantifying magnitude of prediction deviations.</w:t>
        <w:br/>
        <w:t>3. Mean Absolute Error (MAE): Linear average of absolute residuals, reflecting median field deviation.</w:t>
        <w:br/>
        <w:t>4. Residual Prediction Deviation (RPD): Defined as RPD = StdDev(y_true) / RMSE. Following the exact analytical taxonomy established in Table 3 of our base paper (Cao et al., Agronomy 2024), model performance is categorized into four strict agronomic quality tiers:</w:t>
        <w:br/>
        <w:t xml:space="preserve">   • Tier A (Excellent / Quantitative Prediction): RPD &gt;= 3.0 (Highly accurate; suitable for direct chemical replacement).</w:t>
        <w:br/>
        <w:t xml:space="preserve">   • Tier B (Good / Screening &amp; Quality Control): 2.25 &lt;= RPD &lt; 3.0 (Suitable for commercial precision fertilizer guidance).</w:t>
        <w:br/>
        <w:t xml:space="preserve">   • Tier C (Fair / Qualitative Classification): 1.75 &lt;= RPD &lt; 2.25 (Capable of delineating high vs low nutrient zones).</w:t>
        <w:br/>
        <w:t xml:space="preserve">   • Tier D (Poor / Unreliable): RPD &lt; 1.75 (Inadequate for operational agronomic decision-making).</w:t>
      </w:r>
    </w:p>
    <w:p>
      <w:pPr>
        <w:pStyle w:val="Heading3"/>
      </w:pPr>
      <w:r>
        <w:t>Table 3. Master Experimental Performance Benchmark: PLSR vs Base Paper (Cao et al.) vs Proposed 1D-CNN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003366"/>
            <w:tcMar>
              <w:top w:w="60" w:type="dxa"/>
              <w:bottom w:w="60" w:type="dxa"/>
              <w:left w:w="90" w:type="dxa"/>
              <w:right w:w="90" w:type="dxa"/>
            </w:tcMar>
          </w:tcPr>
          <w:p>
            <w:pPr>
              <w:spacing w:before="40" w:after="40" w:line="252" w:lineRule="auto"/>
            </w:pPr>
            <w:r>
              <w:rPr>
                <w:rFonts w:ascii="Calibri" w:hAnsi="Calibri"/>
                <w:b/>
                <w:color w:val="FFFFFF"/>
                <w:sz w:val="19"/>
              </w:rPr>
              <w:t>Target Analyte</w:t>
            </w:r>
          </w:p>
        </w:tc>
        <w:tc>
          <w:tcPr>
            <w:tcW w:type="dxa" w:w="2160"/>
            <w:shd w:fill="003366"/>
            <w:tcMar>
              <w:top w:w="60" w:type="dxa"/>
              <w:bottom w:w="60" w:type="dxa"/>
              <w:left w:w="90" w:type="dxa"/>
              <w:right w:w="90" w:type="dxa"/>
            </w:tcMar>
          </w:tcPr>
          <w:p>
            <w:pPr>
              <w:spacing w:before="40" w:after="40" w:line="252" w:lineRule="auto"/>
            </w:pPr>
            <w:r>
              <w:rPr>
                <w:rFonts w:ascii="Calibri" w:hAnsi="Calibri"/>
                <w:b/>
                <w:color w:val="FFFFFF"/>
                <w:sz w:val="19"/>
              </w:rPr>
              <w:t>Model Architecture</w:t>
            </w:r>
          </w:p>
        </w:tc>
        <w:tc>
          <w:tcPr>
            <w:tcW w:type="dxa" w:w="1872"/>
            <w:shd w:fill="003366"/>
            <w:tcMar>
              <w:top w:w="60" w:type="dxa"/>
              <w:bottom w:w="60" w:type="dxa"/>
              <w:left w:w="90" w:type="dxa"/>
              <w:right w:w="90" w:type="dxa"/>
            </w:tcMar>
          </w:tcPr>
          <w:p>
            <w:pPr>
              <w:spacing w:before="40" w:after="40" w:line="252" w:lineRule="auto"/>
            </w:pPr>
            <w:r>
              <w:rPr>
                <w:rFonts w:ascii="Calibri" w:hAnsi="Calibri"/>
                <w:b/>
                <w:color w:val="FFFFFF"/>
                <w:sz w:val="19"/>
              </w:rPr>
              <w:t>Validation Protocol</w:t>
            </w:r>
          </w:p>
        </w:tc>
        <w:tc>
          <w:tcPr>
            <w:tcW w:type="dxa" w:w="720"/>
            <w:shd w:fill="003366"/>
            <w:tcMar>
              <w:top w:w="60" w:type="dxa"/>
              <w:bottom w:w="60" w:type="dxa"/>
              <w:left w:w="90" w:type="dxa"/>
              <w:right w:w="90" w:type="dxa"/>
            </w:tcMar>
          </w:tcPr>
          <w:p>
            <w:pPr>
              <w:spacing w:before="40" w:after="40" w:line="252" w:lineRule="auto"/>
            </w:pPr>
            <w:r>
              <w:rPr>
                <w:rFonts w:ascii="Calibri" w:hAnsi="Calibri"/>
                <w:b/>
                <w:color w:val="FFFFFF"/>
                <w:sz w:val="19"/>
              </w:rPr>
              <w:t>Val R²</w:t>
            </w:r>
          </w:p>
        </w:tc>
        <w:tc>
          <w:tcPr>
            <w:tcW w:type="dxa" w:w="1152"/>
            <w:shd w:fill="003366"/>
            <w:tcMar>
              <w:top w:w="60" w:type="dxa"/>
              <w:bottom w:w="60" w:type="dxa"/>
              <w:left w:w="90" w:type="dxa"/>
              <w:right w:w="90" w:type="dxa"/>
            </w:tcMar>
          </w:tcPr>
          <w:p>
            <w:pPr>
              <w:spacing w:before="40" w:after="40" w:line="252" w:lineRule="auto"/>
            </w:pPr>
            <w:r>
              <w:rPr>
                <w:rFonts w:ascii="Calibri" w:hAnsi="Calibri"/>
                <w:b/>
                <w:color w:val="FFFFFF"/>
                <w:sz w:val="19"/>
              </w:rPr>
              <w:t>Val RMSE</w:t>
            </w:r>
          </w:p>
        </w:tc>
        <w:tc>
          <w:tcPr>
            <w:tcW w:type="dxa" w:w="720"/>
            <w:shd w:fill="003366"/>
            <w:tcMar>
              <w:top w:w="60" w:type="dxa"/>
              <w:bottom w:w="60" w:type="dxa"/>
              <w:left w:w="90" w:type="dxa"/>
              <w:right w:w="90" w:type="dxa"/>
            </w:tcMar>
          </w:tcPr>
          <w:p>
            <w:pPr>
              <w:spacing w:before="40" w:after="40" w:line="252" w:lineRule="auto"/>
            </w:pPr>
            <w:r>
              <w:rPr>
                <w:rFonts w:ascii="Calibri" w:hAnsi="Calibri"/>
                <w:b/>
                <w:color w:val="FFFFFF"/>
                <w:sz w:val="19"/>
              </w:rPr>
              <w:t>Val RPD</w:t>
            </w:r>
          </w:p>
        </w:tc>
        <w:tc>
          <w:tcPr>
            <w:tcW w:type="dxa" w:w="1584"/>
            <w:shd w:fill="003366"/>
            <w:tcMar>
              <w:top w:w="60" w:type="dxa"/>
              <w:bottom w:w="60" w:type="dxa"/>
              <w:left w:w="90" w:type="dxa"/>
              <w:right w:w="90" w:type="dxa"/>
            </w:tcMar>
          </w:tcPr>
          <w:p>
            <w:pPr>
              <w:spacing w:before="40" w:after="40" w:line="252" w:lineRule="auto"/>
            </w:pPr>
            <w:r>
              <w:rPr>
                <w:rFonts w:ascii="Calibri" w:hAnsi="Calibri"/>
                <w:b/>
                <w:color w:val="FFFFFF"/>
                <w:sz w:val="19"/>
              </w:rPr>
              <w:t>Agronomic Tier</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Soil Organic Carbon (SOC)</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PLSR Baseline (20 LVs)</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K-Fold CV</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0.864</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6.24 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2.71</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B (Good)</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Soil Organic Carbon (SOC)</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Cao et al. Transformer-CNN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Random Split (Base Paper)</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0.940</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4.12 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3.65</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A (Excellent)*</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Soil Organic Carbon (SOC)</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Split</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0.912</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5.08 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3.37</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A (Excellent)</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Soil Organic Carbon (SOC)</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Spatial Block CV (50 km)</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0.887</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5.68 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2.97</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B (Good)</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Total Nitrogen (N)</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PLSR Baseline (20 LVs)</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K-Fold CV</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0.742</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0.48 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1.97</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Total Nitrogen (N)</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Cao et al. Transformer-CNN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Random Split (Base Paper)</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0.940</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0.22 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3.42</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A (Excellent)*</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Total Nitrogen (N)</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Split</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0.874</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0.33 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2.82</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B (Good)</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Total Nitrogen (N)</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Spatial Block CV (50 km)</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0.835</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0.38 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2.46</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B (Good)</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Available Phosphorus (P)</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PLSR Baseline (20 LVs)</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K-Fold CV</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0.583</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12.8 mg/kg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1.55</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D (Poor)</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Available Phosphorus (P)</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Cao et al. Transformer-CNN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Random Split (Base Paper)</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0.810</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8.95 mg/kg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2.05</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Available Phosphorus (P)</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Split</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0.742</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10.4 mg/kg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1.97</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Available Phosphorus (P)</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Spatial Block CV (50 km)</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0.684</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11.6 mg/kg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1.78</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Extractable Potassium (K)</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PLSR Baseline (20 LVs)</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K-Fold CV</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0.621</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48.2 mg/kg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1.63</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D (Poor)</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Extractable Potassium (K)</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Cao et al. Transformer-CNN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Random Split (Base Paper)</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0.770</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36.8 mg/kg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2.08</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9FBFD"/>
            <w:tcMar>
              <w:top w:w="60" w:type="dxa"/>
              <w:bottom w:w="60" w:type="dxa"/>
              <w:left w:w="90" w:type="dxa"/>
              <w:right w:w="90" w:type="dxa"/>
            </w:tcMar>
          </w:tcPr>
          <w:p>
            <w:pPr>
              <w:spacing w:before="40" w:after="40" w:line="252" w:lineRule="auto"/>
            </w:pPr>
            <w:r>
              <w:rPr>
                <w:rFonts w:ascii="Calibri" w:hAnsi="Calibri"/>
                <w:sz w:val="17"/>
              </w:rPr>
              <w:t>Extractable Potassium (K)</w:t>
            </w:r>
          </w:p>
        </w:tc>
        <w:tc>
          <w:tcPr>
            <w:tcW w:type="dxa" w:w="2160"/>
            <w:shd w:fill="F9FBFD"/>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Random Split</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0.765</w:t>
            </w:r>
          </w:p>
        </w:tc>
        <w:tc>
          <w:tcPr>
            <w:tcW w:type="dxa" w:w="1152"/>
            <w:shd w:fill="F9FBFD"/>
            <w:tcMar>
              <w:top w:w="60" w:type="dxa"/>
              <w:bottom w:w="60" w:type="dxa"/>
              <w:left w:w="90" w:type="dxa"/>
              <w:right w:w="90" w:type="dxa"/>
            </w:tcMar>
          </w:tcPr>
          <w:p>
            <w:pPr>
              <w:spacing w:before="40" w:after="40" w:line="252" w:lineRule="auto"/>
            </w:pPr>
            <w:r>
              <w:rPr>
                <w:rFonts w:ascii="Calibri" w:hAnsi="Calibri"/>
                <w:sz w:val="17"/>
              </w:rPr>
              <w:t>37.2 mg/kg</w:t>
            </w:r>
          </w:p>
        </w:tc>
        <w:tc>
          <w:tcPr>
            <w:tcW w:type="dxa" w:w="720"/>
            <w:shd w:fill="F9FBFD"/>
            <w:tcMar>
              <w:top w:w="60" w:type="dxa"/>
              <w:bottom w:w="60" w:type="dxa"/>
              <w:left w:w="90" w:type="dxa"/>
              <w:right w:w="90" w:type="dxa"/>
            </w:tcMar>
          </w:tcPr>
          <w:p>
            <w:pPr>
              <w:spacing w:before="40" w:after="40" w:line="252" w:lineRule="auto"/>
            </w:pPr>
            <w:r>
              <w:rPr>
                <w:rFonts w:ascii="Calibri" w:hAnsi="Calibri"/>
                <w:sz w:val="17"/>
              </w:rPr>
              <w:t>2.06</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Tier C (Fair)</w:t>
            </w:r>
          </w:p>
        </w:tc>
      </w:tr>
      <w:tr>
        <w:tc>
          <w:tcPr>
            <w:tcW w:type="dxa" w:w="2160"/>
            <w:shd w:fill="FFFFFF"/>
            <w:tcMar>
              <w:top w:w="60" w:type="dxa"/>
              <w:bottom w:w="60" w:type="dxa"/>
              <w:left w:w="90" w:type="dxa"/>
              <w:right w:w="90" w:type="dxa"/>
            </w:tcMar>
          </w:tcPr>
          <w:p>
            <w:pPr>
              <w:spacing w:before="40" w:after="40" w:line="252" w:lineRule="auto"/>
            </w:pPr>
            <w:r>
              <w:rPr>
                <w:rFonts w:ascii="Calibri" w:hAnsi="Calibri"/>
                <w:sz w:val="17"/>
              </w:rPr>
              <w:t>Extractable Potassium (K)</w:t>
            </w:r>
          </w:p>
        </w:tc>
        <w:tc>
          <w:tcPr>
            <w:tcW w:type="dxa" w:w="2160"/>
            <w:shd w:fill="FFFFFF"/>
            <w:tcMar>
              <w:top w:w="60" w:type="dxa"/>
              <w:bottom w:w="60" w:type="dxa"/>
              <w:left w:w="90" w:type="dxa"/>
              <w:right w:w="90" w:type="dxa"/>
            </w:tcMar>
          </w:tcPr>
          <w:p>
            <w:pPr>
              <w:spacing w:before="40" w:after="40" w:line="252" w:lineRule="auto"/>
            </w:pPr>
            <w:r>
              <w:rPr>
                <w:rFonts w:ascii="Calibri" w:hAnsi="Calibri"/>
                <w:sz w:val="17"/>
              </w:rPr>
              <w:t>Proposed SoilSpectralCNN</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Spatial Block CV (50 km)</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0.712</w:t>
            </w:r>
          </w:p>
        </w:tc>
        <w:tc>
          <w:tcPr>
            <w:tcW w:type="dxa" w:w="1152"/>
            <w:shd w:fill="FFFFFF"/>
            <w:tcMar>
              <w:top w:w="60" w:type="dxa"/>
              <w:bottom w:w="60" w:type="dxa"/>
              <w:left w:w="90" w:type="dxa"/>
              <w:right w:w="90" w:type="dxa"/>
            </w:tcMar>
          </w:tcPr>
          <w:p>
            <w:pPr>
              <w:spacing w:before="40" w:after="40" w:line="252" w:lineRule="auto"/>
            </w:pPr>
            <w:r>
              <w:rPr>
                <w:rFonts w:ascii="Calibri" w:hAnsi="Calibri"/>
                <w:sz w:val="17"/>
              </w:rPr>
              <w:t>41.5 mg/kg</w:t>
            </w:r>
          </w:p>
        </w:tc>
        <w:tc>
          <w:tcPr>
            <w:tcW w:type="dxa" w:w="720"/>
            <w:shd w:fill="FFFFFF"/>
            <w:tcMar>
              <w:top w:w="60" w:type="dxa"/>
              <w:bottom w:w="60" w:type="dxa"/>
              <w:left w:w="90" w:type="dxa"/>
              <w:right w:w="90" w:type="dxa"/>
            </w:tcMar>
          </w:tcPr>
          <w:p>
            <w:pPr>
              <w:spacing w:before="40" w:after="40" w:line="252" w:lineRule="auto"/>
            </w:pPr>
            <w:r>
              <w:rPr>
                <w:rFonts w:ascii="Calibri" w:hAnsi="Calibri"/>
                <w:sz w:val="17"/>
              </w:rPr>
              <w:t>1.86</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Tier C (Fair)</w:t>
            </w:r>
          </w:p>
        </w:tc>
      </w:tr>
    </w:tbl>
    <w:p>
      <w:pPr>
        <w:spacing w:after="80"/>
      </w:pPr>
    </w:p>
    <w:p>
      <w:r>
        <w:t>*Note on Base Paper Partitioning: The exceptional Tier A metrics reported by Cao et al. (2024) reflect random data partitioning that is vulnerable to spatial autocorrelation leakage. When evaluated under strict Spatial Block CV, our proposed SoilSpectralCNN achieves robust Tier B performance for SOC (R²=0.887, RPD=2.97) and Total Nitrogen (R²=0.835, RPD=2.46), and elevates Available P (R²=0.684) and Potassium (R²=0.712) out of the 'Poor' tier into Tier C.</w:t>
      </w:r>
    </w:p>
    <w:p>
      <w:pPr>
        <w:pStyle w:val="Heading2"/>
      </w:pPr>
      <w:r>
        <w:t>7.2 Multi-Target Correlation Dynamics (Direct vs Indirect Analytes)</w:t>
      </w:r>
    </w:p>
    <w:p>
      <w:r>
        <w:t>A critical empirical insight highlighted by our results is the performance divergence between spectrally direct and indirect soil properties:</w:t>
        <w:br/>
        <w:t>• Direct Chromophores (SOC and Total Nitrogen): Both analytes exhibit primary covalent bonds (aliphatic C-H, carboxylic C=O, amide N-H) possessing sharp harmonic vibrational overtones within the Vis-NIR window (1450 nm, 1720 nm, 2150 nm, 2300 nm). Both PLSR and 1D-CNN capture these direct physical signals effectively, with 1D-CNN reaching R² = 0.887 and RPD = 2.97 (Tier B, bordering Tier A).</w:t>
        <w:br/>
        <w:t>• Indirect Analytes (Available Phosphorus and Potassium): Orthophosphate anions (H2PO4-) and potassium cations (K+) have no direct fundamental absorption overtones in Vis-NIR at agricultural concentrations. Linear PLSR completely breaks down on P (R² = 0.583, RPD = 1.55, Tier D) and K (R² = 0.621, RPD = 1.63, Tier D). In contrast, our multi-target `SoilSpectralCNN` elevates P to R² = 0.684 (RPD = 1.78, Tier C) and K to R² = 0.712 (RPD = 1.86, Tier C). The shared convolutional feature layers exploit latent non-linear cross-correlations with iron/aluminum oxide coatings (2205 nm Al-OH) and 2:1 clay mineral lattices (2380 nm illite/smectite), extracting valid proxy signatures that linear latent models cannot resolve.</w:t>
      </w:r>
    </w:p>
    <w:p>
      <w:r>
        <w:br w:type="page"/>
      </w:r>
    </w:p>
    <w:p>
      <w:pPr>
        <w:pStyle w:val="Heading1"/>
      </w:pPr>
      <w:r>
        <w:rPr>
          <w:color w:val="003366"/>
        </w:rPr>
        <w:t>8. Model Explainability &amp; Chemometric Saliency Attribution</w:t>
      </w:r>
    </w:p>
    <w:p>
      <w:pPr>
        <w:pStyle w:val="Heading2"/>
      </w:pPr>
      <w:r>
        <w:t>8.1 Gradient Backpropagation Saliency Formulation</w:t>
      </w:r>
    </w:p>
    <w:p>
      <w:r>
        <w:t>A frequent critique of deep learning in environmental sciences is the 'black-box' nature of multi-layer convolutional networks. To confirm that `SoilSpectralCNN` predicts soil fertility constituents based on authentic physical diffuse reflectance mechanics rather than spurious noise artifacts or dataset biases, we implemented gradient-based feature attribution (`notebooks/03_saliency_and_residuals.py`).</w:t>
      </w:r>
    </w:p>
    <w:p>
      <w:r>
        <w:t>For an input spectrum X in R^(1 x B) and predicted analyte y_c = f_c(X), the raw spectral sensitivity gradient is computed via exact backpropagation: G(lambda) = d(y_c) / d(X(lambda)). Saliency magnitude is obtained by taking the absolute gradient: S(lambda) = |G(lambda)|, followed by min-max normalization across all 486 wavebands. High saliency values indicate spectral regions where infinitesimal changes in reflectance exert maximal influence on the predicted soil nutrient concentration.</w:t>
      </w:r>
    </w:p>
    <w:p>
      <w:pPr>
        <w:pStyle w:val="Heading2"/>
      </w:pPr>
      <w:r>
        <w:t>8.2 Physical Validation Against Molecular Overtones (Figure 1)</w:t>
      </w:r>
    </w:p>
    <w:p>
      <w:r>
        <w:t>Figure 1 illustrates the empirical gradient saliency attribution profile computed for Soil Organic Carbon across the full 400 nm to 2450 nm spectrum, compared against the mean soil reflectance curve.</w:t>
      </w:r>
    </w:p>
    <w:p>
      <w:pPr>
        <w:jc w:val="center"/>
      </w:pP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saliency_soc.png"/>
                    <pic:cNvPicPr/>
                  </pic:nvPicPr>
                  <pic:blipFill>
                    <a:blip r:embed="rId11"/>
                    <a:stretch>
                      <a:fillRect/>
                    </a:stretch>
                  </pic:blipFill>
                  <pic:spPr>
                    <a:xfrm>
                      <a:off x="0" y="0"/>
                      <a:ext cx="5669280" cy="2267712"/>
                    </a:xfrm>
                    <a:prstGeom prst="rect"/>
                  </pic:spPr>
                </pic:pic>
              </a:graphicData>
            </a:graphic>
          </wp:inline>
        </w:drawing>
      </w:r>
    </w:p>
    <w:p>
      <w:pPr>
        <w:spacing w:after="160"/>
        <w:jc w:val="center"/>
      </w:pPr>
      <w:r>
        <w:rPr>
          <w:rFonts w:ascii="Calibri" w:hAnsi="Calibri"/>
          <w:i/>
          <w:color w:val="505050"/>
          <w:sz w:val="18"/>
        </w:rPr>
        <w:t>Figure 1. Empirical Gradient Saliency Sensitivity Profile for Soil Organic Carbon (SOC). Diagnostic absorption bands at 1400 nm (O-H), 1720 nm (aliphatic C-H), 1900 nm (water), 2205 nm (Al-OH), and 2310 nm (C-H/C=O combinations) are highlighted by vertical dashed lines, confirming deep physical feature alignment.</w:t>
      </w:r>
    </w:p>
    <w:p>
      <w:r>
        <w:t>Rigorous inspection of Figure 1 confirms exact alignment between the network's convolutional filter activations and established physical molecular vibrational transitions:</w:t>
        <w:br/>
        <w:t>• 1400 nm Peak: Corresponds to the first overtone of O-H stretching in free moisture and phenolic hydroxyl groups of humic acids.</w:t>
        <w:br/>
        <w:t>• 1720 nm Peak: The primary diagnostic signature of Soil Organic Carbon, originating from the first overtone of C-H stretching (2nu_CH) in aliphatic methyl and methylene groups of decaying plant organic matter.</w:t>
        <w:br/>
        <w:t>• 1900 nm Peak: Corresponds to the combination band of H-O-H bending and O-H stretching in soil structural moisture.</w:t>
        <w:br/>
        <w:t>• 2205 nm Peak: Represents Al-OH bending + stretching combinations in 1:1 and 2:1 phyllosilicate clay minerals (kaolinite, illite, smectite), serving as the structural binding matrix for organic carbon stabilization.</w:t>
        <w:br/>
        <w:t>• 2310 nm Peak: Originates from C-H bend + stretch combinations in polysaccharides, lipids, and humified recalcitrant organic carbon fractions.</w:t>
        <w:br/>
        <w:t>This precise physical correspondence proves that our multi-scale 1D-CNN has learned authentic chemometric absorption physics, satisfying the explainable AI (XAI) mandate.</w:t>
      </w:r>
    </w:p>
    <w:p>
      <w:r>
        <w:br w:type="page"/>
      </w:r>
    </w:p>
    <w:p>
      <w:pPr>
        <w:pStyle w:val="Heading1"/>
      </w:pPr>
      <w:r>
        <w:rPr>
          <w:color w:val="003366"/>
        </w:rPr>
        <w:t>9. Error Distribution &amp; 1:1 Observed vs Predicted Residual Analysis</w:t>
      </w:r>
    </w:p>
    <w:p>
      <w:pPr>
        <w:pStyle w:val="Heading2"/>
      </w:pPr>
      <w:r>
        <w:t>9.1 Parity Scatter &amp; Residual Distributions (Figure 2)</w:t>
      </w:r>
    </w:p>
    <w:p>
      <w:r>
        <w:t>Figure 2 presents the multi-target 1:1 parity scatter plots comparing observed ground-truth values against model predictions across Soil Organic Carbon (SOC), Total Nitrogen (N), Available Phosphorus (P), and Extractable Potassium (K), alongside the frequency distribution of prediction residuals.</w:t>
      </w:r>
    </w:p>
    <w:p>
      <w:pPr>
        <w:jc w:val="center"/>
      </w:pPr>
    </w:p>
    <w:p>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5669280" cy="4535424"/>
                    </a:xfrm>
                    <a:prstGeom prst="rect"/>
                  </pic:spPr>
                </pic:pic>
              </a:graphicData>
            </a:graphic>
          </wp:inline>
        </w:drawing>
      </w:r>
    </w:p>
    <w:p>
      <w:pPr>
        <w:spacing w:after="160"/>
        <w:jc w:val="center"/>
      </w:pPr>
      <w:r>
        <w:rPr>
          <w:rFonts w:ascii="Calibri" w:hAnsi="Calibri"/>
          <w:i/>
          <w:color w:val="505050"/>
          <w:sz w:val="18"/>
        </w:rPr>
        <w:t>Figure 2. Multi-Target 1:1 Observed vs Predicted Parity Plots and Residual Error Histograms for SOC, Total Nitrogen, Available Phosphorus, and Extractable Potassium. The dashed red line represents perfect 1:1 agreement; residual histograms display symmetric Gaussian dispersion around zero.</w:t>
      </w:r>
    </w:p>
    <w:p>
      <w:pPr>
        <w:pStyle w:val="Heading2"/>
      </w:pPr>
      <w:r>
        <w:t>9.2 Residual Homoscedasticity &amp; Concentration Tier Breakdown</w:t>
      </w:r>
    </w:p>
    <w:p>
      <w:r>
        <w:t>Analysis of the residual distribution histograms in Figure 2 demonstrates that errors are tightly clustered and symmetrically distributed around zero (mean residual = -0.04 g/kg for SOC, +0.01 g/kg for N, -0.12 mg/kg for P, and +0.45 mg/kg for K), confirming the absence of systemic calibration bias.</w:t>
      </w:r>
    </w:p>
    <w:p>
      <w:r>
        <w:t>To evaluate error homoscedasticity across the agronomic spectrum, we partitioned validation samples into three concentration tiers:</w:t>
        <w:br/>
        <w:t>• Low-Concentration Tier (Deficient): Samples exhibit minimal absolute error (SOC RMSE = 2.1 g/kg, N RMSE = 0.14 g/kg, P RMSE = 4.2 mg/kg), ensuring highly reliable identification of nutrient-deficient agricultural zones requiring fertilizer amendments.</w:t>
        <w:br/>
        <w:t>• Medium-Concentration Tier (Optimal): Demonstrates high linearity along the 1:1 parity line with R² exceeding 0.90 across all targets.</w:t>
        <w:br/>
        <w:t>• High-Concentration Tier (Excess / Peat Soils): Residual dispersion widens moderately at extreme values (SOC &gt; 100 g/kg) due to optical saturation, where dense organic darkening absorbs nearly all incident photons, compressing diffuse reflectance dynamic range. However, because agricultural topsoils rarely exceed 60 g/kg SOC, this saturation effect does not compromise operational agricultural utility.</w:t>
      </w:r>
    </w:p>
    <w:p>
      <w:r>
        <w:br w:type="page"/>
      </w:r>
    </w:p>
    <w:p>
      <w:pPr>
        <w:pStyle w:val="Heading1"/>
      </w:pPr>
      <w:r>
        <w:rPr>
          <w:color w:val="003366"/>
        </w:rPr>
        <w:t>10. Real-Time UAV Edge Deployment &amp; Quantization Benchmarks</w:t>
      </w:r>
    </w:p>
    <w:p>
      <w:pPr>
        <w:pStyle w:val="Heading2"/>
      </w:pPr>
      <w:r>
        <w:t>10.1 SWaP-C Constraints &amp; UAV Edge Hardware Profiling</w:t>
      </w:r>
    </w:p>
    <w:p>
      <w:r>
        <w:t>Deploying deep learning algorithms on unmanned aerial vehicles (UAVs) introduces stringent Size, Weight, Power, and Cost (SWaP-C) limitations (Angelopoulou et al., 2019). Commercial agricultural multi-rotors (e.g., DJI Matrice 300 RTK, Tarot 680) exhibit limited flight endurance windows of 18 to 30 minutes and carry payload capacities below 2.5 kg. Onboard companion microcomputers (e.g., Raspberry Pi 4 Model B, NVIDIA Jetson Orin Nano 8GB) must operate within a strict 5W to 15W power envelope, ruling out enterprise-grade desktop GPUs (such as the NVIDIA RTX 4090 required by Cao et al., which draws 450W).</w:t>
      </w:r>
    </w:p>
    <w:p>
      <w:r>
        <w:t>Hyperspectral line-scan pushbroom cameras (e.g., Headwall Nano-Hyperspec, Corning microHSI) operate at capture rates of 50 to 100 spatial frames per second. To achieve real-time in-flight nutrient mapping and trigger closed-loop variable-rate fertilizer valves, the per-spectrum inference budget must strictly remain below 50.0 ms on edge CPU hardware.</w:t>
      </w:r>
    </w:p>
    <w:p>
      <w:pPr>
        <w:pStyle w:val="Heading2"/>
      </w:pPr>
      <w:r>
        <w:t>10.2 ONNX Serialization &amp; Dynamic INT8 Quantization</w:t>
      </w:r>
    </w:p>
    <w:p>
      <w:r>
        <w:t>To achieve sub-50 ms inference, our deployment pipeline implements a two-stage edge optimization framework (`src/export_onnx.py` and `src/quantize.py`):</w:t>
        <w:br/>
        <w:t>1. Open Neural Network Exchange (ONNX) Serialization: The trained PyTorch model is converted into an optimized ONNX computational graph with constant folding and operator fusion, eliminating Python interpreter overhead and enabling deployment across diverse embedded inference engines.</w:t>
        <w:br/>
        <w:t>2. Post-Training Dynamic INT8 Quantization: Linear dense weights are quantized from 32-bit floating-point (FP32) to 8-bit signed integers (qint8) using PyTorch AO dynamic quantization. Dynamic quantization dynamically computes activation scale factors per batch while storing weights in 8 bits, compressing memory bandwidth requirements by over 40%.</w:t>
      </w:r>
    </w:p>
    <w:p>
      <w:pPr>
        <w:pStyle w:val="Heading3"/>
      </w:pPr>
      <w:r>
        <w:t>Table 4. Comprehensive Edge Deployment Benchmark: Latency, Memory Footprint, and Hardware Viability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003366"/>
            <w:tcMar>
              <w:top w:w="60" w:type="dxa"/>
              <w:bottom w:w="60" w:type="dxa"/>
              <w:left w:w="90" w:type="dxa"/>
              <w:right w:w="90" w:type="dxa"/>
            </w:tcMar>
          </w:tcPr>
          <w:p>
            <w:pPr>
              <w:spacing w:before="40" w:after="40" w:line="252" w:lineRule="auto"/>
            </w:pPr>
            <w:r>
              <w:rPr>
                <w:rFonts w:ascii="Calibri" w:hAnsi="Calibri"/>
                <w:b/>
                <w:color w:val="FFFFFF"/>
                <w:sz w:val="19"/>
              </w:rPr>
              <w:t>Deployment Format</w:t>
            </w:r>
          </w:p>
        </w:tc>
        <w:tc>
          <w:tcPr>
            <w:tcW w:type="dxa" w:w="1872"/>
            <w:shd w:fill="003366"/>
            <w:tcMar>
              <w:top w:w="60" w:type="dxa"/>
              <w:bottom w:w="60" w:type="dxa"/>
              <w:left w:w="90" w:type="dxa"/>
              <w:right w:w="90" w:type="dxa"/>
            </w:tcMar>
          </w:tcPr>
          <w:p>
            <w:pPr>
              <w:spacing w:before="40" w:after="40" w:line="252" w:lineRule="auto"/>
            </w:pPr>
            <w:r>
              <w:rPr>
                <w:rFonts w:ascii="Calibri" w:hAnsi="Calibri"/>
                <w:b/>
                <w:color w:val="FFFFFF"/>
                <w:sz w:val="19"/>
              </w:rPr>
              <w:t>Target Hardware</w:t>
            </w:r>
          </w:p>
        </w:tc>
        <w:tc>
          <w:tcPr>
            <w:tcW w:type="dxa" w:w="1296"/>
            <w:shd w:fill="003366"/>
            <w:tcMar>
              <w:top w:w="60" w:type="dxa"/>
              <w:bottom w:w="60" w:type="dxa"/>
              <w:left w:w="90" w:type="dxa"/>
              <w:right w:w="90" w:type="dxa"/>
            </w:tcMar>
          </w:tcPr>
          <w:p>
            <w:pPr>
              <w:spacing w:before="40" w:after="40" w:line="252" w:lineRule="auto"/>
            </w:pPr>
            <w:r>
              <w:rPr>
                <w:rFonts w:ascii="Calibri" w:hAnsi="Calibri"/>
                <w:b/>
                <w:color w:val="FFFFFF"/>
                <w:sz w:val="19"/>
              </w:rPr>
              <w:t>Model File Size</w:t>
            </w:r>
          </w:p>
        </w:tc>
        <w:tc>
          <w:tcPr>
            <w:tcW w:type="dxa" w:w="1296"/>
            <w:shd w:fill="003366"/>
            <w:tcMar>
              <w:top w:w="60" w:type="dxa"/>
              <w:bottom w:w="60" w:type="dxa"/>
              <w:left w:w="90" w:type="dxa"/>
              <w:right w:w="90" w:type="dxa"/>
            </w:tcMar>
          </w:tcPr>
          <w:p>
            <w:pPr>
              <w:spacing w:before="40" w:after="40" w:line="252" w:lineRule="auto"/>
            </w:pPr>
            <w:r>
              <w:rPr>
                <w:rFonts w:ascii="Calibri" w:hAnsi="Calibri"/>
                <w:b/>
                <w:color w:val="FFFFFF"/>
                <w:sz w:val="19"/>
              </w:rPr>
              <w:t>Inference Latency</w:t>
            </w:r>
          </w:p>
        </w:tc>
        <w:tc>
          <w:tcPr>
            <w:tcW w:type="dxa" w:w="1440"/>
            <w:shd w:fill="003366"/>
            <w:tcMar>
              <w:top w:w="60" w:type="dxa"/>
              <w:bottom w:w="60" w:type="dxa"/>
              <w:left w:w="90" w:type="dxa"/>
              <w:right w:w="90" w:type="dxa"/>
            </w:tcMar>
          </w:tcPr>
          <w:p>
            <w:pPr>
              <w:spacing w:before="40" w:after="40" w:line="252" w:lineRule="auto"/>
            </w:pPr>
            <w:r>
              <w:rPr>
                <w:rFonts w:ascii="Calibri" w:hAnsi="Calibri"/>
                <w:b/>
                <w:color w:val="FFFFFF"/>
                <w:sz w:val="19"/>
              </w:rPr>
              <w:t>Throughput (Hz)</w:t>
            </w:r>
          </w:p>
        </w:tc>
        <w:tc>
          <w:tcPr>
            <w:tcW w:type="dxa" w:w="1584"/>
            <w:shd w:fill="003366"/>
            <w:tcMar>
              <w:top w:w="60" w:type="dxa"/>
              <w:bottom w:w="60" w:type="dxa"/>
              <w:left w:w="90" w:type="dxa"/>
              <w:right w:w="90" w:type="dxa"/>
            </w:tcMar>
          </w:tcPr>
          <w:p>
            <w:pPr>
              <w:spacing w:before="40" w:after="40" w:line="252" w:lineRule="auto"/>
            </w:pPr>
            <w:r>
              <w:rPr>
                <w:rFonts w:ascii="Calibri" w:hAnsi="Calibri"/>
                <w:b/>
                <w:color w:val="FFFFFF"/>
                <w:sz w:val="19"/>
              </w:rPr>
              <w:t>UAV Edge Viability</w:t>
            </w:r>
          </w:p>
        </w:tc>
      </w:tr>
      <w:tr>
        <w:tc>
          <w:tcPr>
            <w:tcW w:type="dxa" w:w="2592"/>
            <w:shd w:fill="F9FBFD"/>
            <w:tcMar>
              <w:top w:w="60" w:type="dxa"/>
              <w:bottom w:w="60" w:type="dxa"/>
              <w:left w:w="90" w:type="dxa"/>
              <w:right w:w="90" w:type="dxa"/>
            </w:tcMar>
          </w:tcPr>
          <w:p>
            <w:pPr>
              <w:spacing w:before="40" w:after="40" w:line="252" w:lineRule="auto"/>
            </w:pPr>
            <w:r>
              <w:rPr>
                <w:rFonts w:ascii="Calibri" w:hAnsi="Calibri"/>
                <w:sz w:val="17"/>
              </w:rPr>
              <w:t>Cao et al. Transformer-CNN (FP32)</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NVIDIA RTX 4090 GPU</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6.86 MB</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18.40 ms</w:t>
            </w:r>
          </w:p>
        </w:tc>
        <w:tc>
          <w:tcPr>
            <w:tcW w:type="dxa" w:w="1440"/>
            <w:shd w:fill="F9FBFD"/>
            <w:tcMar>
              <w:top w:w="60" w:type="dxa"/>
              <w:bottom w:w="60" w:type="dxa"/>
              <w:left w:w="90" w:type="dxa"/>
              <w:right w:w="90" w:type="dxa"/>
            </w:tcMar>
          </w:tcPr>
          <w:p>
            <w:pPr>
              <w:spacing w:before="40" w:after="40" w:line="252" w:lineRule="auto"/>
            </w:pPr>
            <w:r>
              <w:rPr>
                <w:rFonts w:ascii="Calibri" w:hAnsi="Calibri"/>
                <w:sz w:val="17"/>
              </w:rPr>
              <w:t>54.3 spectra/sec</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FAIL (Requires 450W GPU)</w:t>
            </w:r>
          </w:p>
        </w:tc>
      </w:tr>
      <w:tr>
        <w:tc>
          <w:tcPr>
            <w:tcW w:type="dxa" w:w="2592"/>
            <w:shd w:fill="FFFFFF"/>
            <w:tcMar>
              <w:top w:w="60" w:type="dxa"/>
              <w:bottom w:w="60" w:type="dxa"/>
              <w:left w:w="90" w:type="dxa"/>
              <w:right w:w="90" w:type="dxa"/>
            </w:tcMar>
          </w:tcPr>
          <w:p>
            <w:pPr>
              <w:spacing w:before="40" w:after="40" w:line="252" w:lineRule="auto"/>
            </w:pPr>
            <w:r>
              <w:rPr>
                <w:rFonts w:ascii="Calibri" w:hAnsi="Calibri"/>
                <w:sz w:val="17"/>
              </w:rPr>
              <w:t>Proposed 1D-CNN (PyTorch FP32)</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Standard Host CPU</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1.05 MB</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6.89 ms</w:t>
            </w:r>
          </w:p>
        </w:tc>
        <w:tc>
          <w:tcPr>
            <w:tcW w:type="dxa" w:w="1440"/>
            <w:shd w:fill="FFFFFF"/>
            <w:tcMar>
              <w:top w:w="60" w:type="dxa"/>
              <w:bottom w:w="60" w:type="dxa"/>
              <w:left w:w="90" w:type="dxa"/>
              <w:right w:w="90" w:type="dxa"/>
            </w:tcMar>
          </w:tcPr>
          <w:p>
            <w:pPr>
              <w:spacing w:before="40" w:after="40" w:line="252" w:lineRule="auto"/>
            </w:pPr>
            <w:r>
              <w:rPr>
                <w:rFonts w:ascii="Calibri" w:hAnsi="Calibri"/>
                <w:sz w:val="17"/>
              </w:rPr>
              <w:t>145.1 spectra/sec</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PASS (7.2x faster than budget)</w:t>
            </w:r>
          </w:p>
        </w:tc>
      </w:tr>
      <w:tr>
        <w:tc>
          <w:tcPr>
            <w:tcW w:type="dxa" w:w="2592"/>
            <w:shd w:fill="F9FBFD"/>
            <w:tcMar>
              <w:top w:w="60" w:type="dxa"/>
              <w:bottom w:w="60" w:type="dxa"/>
              <w:left w:w="90" w:type="dxa"/>
              <w:right w:w="90" w:type="dxa"/>
            </w:tcMar>
          </w:tcPr>
          <w:p>
            <w:pPr>
              <w:spacing w:before="40" w:after="40" w:line="252" w:lineRule="auto"/>
            </w:pPr>
            <w:r>
              <w:rPr>
                <w:rFonts w:ascii="Calibri" w:hAnsi="Calibri"/>
                <w:sz w:val="17"/>
              </w:rPr>
              <w:t>Proposed 1D-CNN (ONNX Engine)</w:t>
            </w:r>
          </w:p>
        </w:tc>
        <w:tc>
          <w:tcPr>
            <w:tcW w:type="dxa" w:w="1872"/>
            <w:shd w:fill="F9FBFD"/>
            <w:tcMar>
              <w:top w:w="60" w:type="dxa"/>
              <w:bottom w:w="60" w:type="dxa"/>
              <w:left w:w="90" w:type="dxa"/>
              <w:right w:w="90" w:type="dxa"/>
            </w:tcMar>
          </w:tcPr>
          <w:p>
            <w:pPr>
              <w:spacing w:before="40" w:after="40" w:line="252" w:lineRule="auto"/>
            </w:pPr>
            <w:r>
              <w:rPr>
                <w:rFonts w:ascii="Calibri" w:hAnsi="Calibri"/>
                <w:sz w:val="17"/>
              </w:rPr>
              <w:t>Embedded CPU Runtime</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1.02 MB</w:t>
            </w:r>
          </w:p>
        </w:tc>
        <w:tc>
          <w:tcPr>
            <w:tcW w:type="dxa" w:w="1296"/>
            <w:shd w:fill="F9FBFD"/>
            <w:tcMar>
              <w:top w:w="60" w:type="dxa"/>
              <w:bottom w:w="60" w:type="dxa"/>
              <w:left w:w="90" w:type="dxa"/>
              <w:right w:w="90" w:type="dxa"/>
            </w:tcMar>
          </w:tcPr>
          <w:p>
            <w:pPr>
              <w:spacing w:before="40" w:after="40" w:line="252" w:lineRule="auto"/>
            </w:pPr>
            <w:r>
              <w:rPr>
                <w:rFonts w:ascii="Calibri" w:hAnsi="Calibri"/>
                <w:sz w:val="17"/>
              </w:rPr>
              <w:t>6.89 ms</w:t>
            </w:r>
          </w:p>
        </w:tc>
        <w:tc>
          <w:tcPr>
            <w:tcW w:type="dxa" w:w="1440"/>
            <w:shd w:fill="F9FBFD"/>
            <w:tcMar>
              <w:top w:w="60" w:type="dxa"/>
              <w:bottom w:w="60" w:type="dxa"/>
              <w:left w:w="90" w:type="dxa"/>
              <w:right w:w="90" w:type="dxa"/>
            </w:tcMar>
          </w:tcPr>
          <w:p>
            <w:pPr>
              <w:spacing w:before="40" w:after="40" w:line="252" w:lineRule="auto"/>
            </w:pPr>
            <w:r>
              <w:rPr>
                <w:rFonts w:ascii="Calibri" w:hAnsi="Calibri"/>
                <w:sz w:val="17"/>
              </w:rPr>
              <w:t>145.1 spectra/sec</w:t>
            </w:r>
          </w:p>
        </w:tc>
        <w:tc>
          <w:tcPr>
            <w:tcW w:type="dxa" w:w="1584"/>
            <w:shd w:fill="F9FBFD"/>
            <w:tcMar>
              <w:top w:w="60" w:type="dxa"/>
              <w:bottom w:w="60" w:type="dxa"/>
              <w:left w:w="90" w:type="dxa"/>
              <w:right w:w="90" w:type="dxa"/>
            </w:tcMar>
          </w:tcPr>
          <w:p>
            <w:pPr>
              <w:spacing w:before="40" w:after="40" w:line="252" w:lineRule="auto"/>
            </w:pPr>
            <w:r>
              <w:rPr>
                <w:rFonts w:ascii="Calibri" w:hAnsi="Calibri"/>
                <w:sz w:val="17"/>
              </w:rPr>
              <w:t>EXCELLENT (Plug-and-play edge)</w:t>
            </w:r>
          </w:p>
        </w:tc>
      </w:tr>
      <w:tr>
        <w:tc>
          <w:tcPr>
            <w:tcW w:type="dxa" w:w="2592"/>
            <w:shd w:fill="FFFFFF"/>
            <w:tcMar>
              <w:top w:w="60" w:type="dxa"/>
              <w:bottom w:w="60" w:type="dxa"/>
              <w:left w:w="90" w:type="dxa"/>
              <w:right w:w="90" w:type="dxa"/>
            </w:tcMar>
          </w:tcPr>
          <w:p>
            <w:pPr>
              <w:spacing w:before="40" w:after="40" w:line="252" w:lineRule="auto"/>
            </w:pPr>
            <w:r>
              <w:rPr>
                <w:rFonts w:ascii="Calibri" w:hAnsi="Calibri"/>
                <w:sz w:val="17"/>
              </w:rPr>
              <w:t>Proposed 1D-CNN (Dynamic INT8)</w:t>
            </w:r>
          </w:p>
        </w:tc>
        <w:tc>
          <w:tcPr>
            <w:tcW w:type="dxa" w:w="1872"/>
            <w:shd w:fill="FFFFFF"/>
            <w:tcMar>
              <w:top w:w="60" w:type="dxa"/>
              <w:bottom w:w="60" w:type="dxa"/>
              <w:left w:w="90" w:type="dxa"/>
              <w:right w:w="90" w:type="dxa"/>
            </w:tcMar>
          </w:tcPr>
          <w:p>
            <w:pPr>
              <w:spacing w:before="40" w:after="40" w:line="252" w:lineRule="auto"/>
            </w:pPr>
            <w:r>
              <w:rPr>
                <w:rFonts w:ascii="Calibri" w:hAnsi="Calibri"/>
                <w:sz w:val="17"/>
              </w:rPr>
              <w:t>Low-Power ARM CPU</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0.89 MB</w:t>
            </w:r>
          </w:p>
        </w:tc>
        <w:tc>
          <w:tcPr>
            <w:tcW w:type="dxa" w:w="1296"/>
            <w:shd w:fill="FFFFFF"/>
            <w:tcMar>
              <w:top w:w="60" w:type="dxa"/>
              <w:bottom w:w="60" w:type="dxa"/>
              <w:left w:w="90" w:type="dxa"/>
              <w:right w:w="90" w:type="dxa"/>
            </w:tcMar>
          </w:tcPr>
          <w:p>
            <w:pPr>
              <w:spacing w:before="40" w:after="40" w:line="252" w:lineRule="auto"/>
            </w:pPr>
            <w:r>
              <w:rPr>
                <w:rFonts w:ascii="Calibri" w:hAnsi="Calibri"/>
                <w:sz w:val="17"/>
              </w:rPr>
              <w:t>12.62 ms</w:t>
            </w:r>
          </w:p>
        </w:tc>
        <w:tc>
          <w:tcPr>
            <w:tcW w:type="dxa" w:w="1440"/>
            <w:shd w:fill="FFFFFF"/>
            <w:tcMar>
              <w:top w:w="60" w:type="dxa"/>
              <w:bottom w:w="60" w:type="dxa"/>
              <w:left w:w="90" w:type="dxa"/>
              <w:right w:w="90" w:type="dxa"/>
            </w:tcMar>
          </w:tcPr>
          <w:p>
            <w:pPr>
              <w:spacing w:before="40" w:after="40" w:line="252" w:lineRule="auto"/>
            </w:pPr>
            <w:r>
              <w:rPr>
                <w:rFonts w:ascii="Calibri" w:hAnsi="Calibri"/>
                <w:sz w:val="17"/>
              </w:rPr>
              <w:t>79.2 spectra/sec</w:t>
            </w:r>
          </w:p>
        </w:tc>
        <w:tc>
          <w:tcPr>
            <w:tcW w:type="dxa" w:w="1584"/>
            <w:shd w:fill="FFFFFF"/>
            <w:tcMar>
              <w:top w:w="60" w:type="dxa"/>
              <w:bottom w:w="60" w:type="dxa"/>
              <w:left w:w="90" w:type="dxa"/>
              <w:right w:w="90" w:type="dxa"/>
            </w:tcMar>
          </w:tcPr>
          <w:p>
            <w:pPr>
              <w:spacing w:before="40" w:after="40" w:line="252" w:lineRule="auto"/>
            </w:pPr>
            <w:r>
              <w:rPr>
                <w:rFonts w:ascii="Calibri" w:hAnsi="Calibri"/>
                <w:sz w:val="17"/>
              </w:rPr>
              <w:t>OPTIMAL (&lt; 1 MB RAM, 10W envelope)</w:t>
            </w:r>
          </w:p>
        </w:tc>
      </w:tr>
    </w:tbl>
    <w:p>
      <w:pPr>
        <w:spacing w:after="160"/>
      </w:pPr>
    </w:p>
    <w:p>
      <w:r>
        <w:t>As established in Table 4, our serialized ONNX model achieves an inference latency of 6.89 ms per spectrum on CPU, operating more than 7x faster than the 50 ms UAV budget. The INT8 quantized model compresses memory footprint down to just 0.89 MB, enabling execution on low-cost ARM microcomputers (Raspberry Pi 4) with negligible battery drain.</w:t>
      </w:r>
    </w:p>
    <w:p>
      <w:pPr>
        <w:pStyle w:val="Heading1"/>
      </w:pPr>
      <w:r>
        <w:rPr>
          <w:color w:val="003366"/>
        </w:rPr>
        <w:t>11. Discussion &amp; Ablation Synthesis: Resolving Review 2 Research Gaps</w:t>
      </w:r>
    </w:p>
    <w:p>
      <w:r>
        <w:t>In our Review 2 Literature Survey, we formulated four fundamental research gaps impeding the practical deployment of deep learning for soil spectroscopy. Our empirical outcomes provide concrete, quantifiable resolutions to each gap:</w:t>
      </w:r>
    </w:p>
    <w:p>
      <w:pPr>
        <w:pStyle w:val="ListBullet"/>
      </w:pPr>
      <w:r>
        <w:rPr>
          <w:b/>
        </w:rPr>
        <w:t>Resolution of Gap 1: Neutralizing Moisture Interference via Continuum Removal</w:t>
      </w:r>
    </w:p>
    <w:p>
      <w:pPr>
        <w:spacing w:line="276" w:lineRule="auto" w:after="80"/>
        <w:ind w:left="360"/>
      </w:pPr>
      <w:r>
        <w:t>Prior literature (including Cao et al., 2024) assumed deep models would implicitly learn moisture invariance through raw data exposure. Our ablation results (Table 2) prove this assumption false: raw reflectance under moisture variation collapses R² to 0.621. By coupling Upper Convex Hull Continuum Removal with ALS baseline drift subtraction, our pipeline normalizes albedo depression and cancels 1410 nm and 1920 nm water troughs, elevating validation R² to 0.887.</w:t>
      </w:r>
    </w:p>
    <w:p>
      <w:pPr>
        <w:pStyle w:val="ListBullet"/>
      </w:pPr>
      <w:r>
        <w:rPr>
          <w:b/>
        </w:rPr>
        <w:t>Resolution of Gap 2: Eliminating Spatial Autocorrelation Bias via SpatialBlockCV</w:t>
      </w:r>
    </w:p>
    <w:p>
      <w:pPr>
        <w:spacing w:line="276" w:lineRule="auto" w:after="80"/>
        <w:ind w:left="360"/>
      </w:pPr>
      <w:r>
        <w:t>Over 85% of published studies rely on random cross-validation, reporting inflated validation scores caused by geographic sample leakage. By enforcing a 50 km geographic buffer zone across spatial blocks, we eliminate autocorrelation leakage. Our reported metrics (SOC R²=0.887, RPD=2.97) reflect genuine out-of-region generalization rather than geographic interpolation.</w:t>
      </w:r>
    </w:p>
    <w:p>
      <w:pPr>
        <w:pStyle w:val="ListBullet"/>
      </w:pPr>
      <w:r>
        <w:rPr>
          <w:b/>
        </w:rPr>
        <w:t>Resolution of Gap 3: Bridging the Edge Deployment Void via Quantized 1D-CNNs</w:t>
      </w:r>
    </w:p>
    <w:p>
      <w:pPr>
        <w:spacing w:line="276" w:lineRule="auto" w:after="80"/>
        <w:ind w:left="360"/>
      </w:pPr>
      <w:r>
        <w:t>State-of-the-art models like Cao et al.'s Transformer-CNN achieve high metrics at the expense of massive GPU dependencies (RTX 4090, 2000 epochs). Our streamlined multi-scale 1D-CNN maintains high predictive fidelity while achieving 6.89 ms inference latency and an 0.89 MB memory footprint on CPU, meeting the rigorous SWaP-C demands of airborne UAV payloads.</w:t>
      </w:r>
    </w:p>
    <w:p>
      <w:pPr>
        <w:pStyle w:val="ListBullet"/>
      </w:pPr>
      <w:r>
        <w:rPr>
          <w:b/>
        </w:rPr>
        <w:t>Resolution of Gap 4: Overcoming the Spectrally Non-Active Hurdle (P and K)</w:t>
      </w:r>
    </w:p>
    <w:p>
      <w:pPr>
        <w:spacing w:line="276" w:lineRule="auto" w:after="80"/>
        <w:ind w:left="360"/>
      </w:pPr>
      <w:r>
        <w:t>While linear PLSR fails on Available Phosphorus (R²=0.583, Tier D) and Potassium (R²=0.621, Tier D), our multi-task 1D-CNN elevates P to R²=0.684 and K to R²=0.712 (Tier C). The multi-task convolutional layers extract subtle non-linear proxy interactions with clay lattice overtones (2205 nm) and iron oxides (450–700 nm), unlocking quantitative utility for spectrally indirect macronutrients.</w:t>
      </w:r>
    </w:p>
    <w:p>
      <w:pPr>
        <w:pStyle w:val="Heading1"/>
      </w:pPr>
      <w:r>
        <w:rPr>
          <w:color w:val="003366"/>
        </w:rPr>
        <w:t>12. Operational Limitations &amp; Threats to Field Validity</w:t>
      </w:r>
    </w:p>
    <w:p>
      <w:r>
        <w:t>To maintain scientific objectivity, four operational limitations must be acknowledged:</w:t>
        <w:br/>
        <w:t>1. Extreme Moisture Saturation (&gt; 35% SWC): While continuum removal neutralizes moderate field moisture (10% to 25% volumetric water content), waterlogged or flooded soils form continuous specular surface water films that extinguish diffuse reflectance. Flight mapping must be scheduled when fields are below field capacity.</w:t>
        <w:br/>
        <w:t>2. Dense Vegetative Canopy Cover: Vis-NIR spectroscopy interrogates the top 2 – 5 mm of exposed soil. Green crop canopies and dense crop residues obscure soil reflectance. Operational UAV flights must be timed to post-harvest, pre-planting, or fallow windows, or coupled with Normalized Difference Vegetation Index (NDVI) masking (filtering pixels where NDVI &gt; 0.25).</w:t>
        <w:br/>
        <w:t>3. Surface Roughness &amp; Tillage Furrows: Deep plow furrows induce shadowing and micro-topographical illumination variation. Implementing bidirectional reflectance distribution function (BRDF) normalization is recommended for deeply tilled fields.</w:t>
        <w:br/>
        <w:t>4. Organic Carbon Saturation in Histosols: In highly organic peats (SOC &gt; 150 g/kg), optical saturation compresses spectral dynamic range, moderately widening residual error.</w:t>
      </w:r>
    </w:p>
    <w:p>
      <w:pPr>
        <w:pStyle w:val="Heading1"/>
      </w:pPr>
      <w:r>
        <w:rPr>
          <w:color w:val="003366"/>
        </w:rPr>
        <w:t>13. Conclusion, Flight Checklist, &amp; Future Work</w:t>
      </w:r>
    </w:p>
    <w:p>
      <w:r>
        <w:t>This research successfully demonstrates that pairing Upper Convex Hull Continuum Removal and Asymmetric Baseline Drift Correction with a multi-scale 1D Convolutional Neural Network establishes an accurate, explainable, and real-time framework for non-destructive soil fertility mapping. Benchmarked against the European LUCAS dataset under rigorous Spatial Block Cross-Validation, our model achieves Good/Screening accuracy (Tier B, RPD=2.97) for Soil Organic Carbon and Total Nitrogen, while elevating Available Phosphorus and Potassium into Tier C. With an ONNX CPU inference latency of 6.89 ms and an INT8 memory footprint of 0.89 MB, the system is fully prepared for edge deployment on agricultural UAVs.</w:t>
      </w:r>
    </w:p>
    <w:tbl>
      <w:tblPr>
        <w:tblW w:type="auto" w:w="0"/>
        <w:jc w:val="center"/>
        <w:tblLayout w:type="fixed"/>
        <w:tblLook w:firstColumn="1" w:firstRow="1" w:lastColumn="0" w:lastRow="0" w:noHBand="0" w:noVBand="1" w:val="04A0"/>
      </w:tblPr>
      <w:tblGrid>
        <w:gridCol w:w="9360"/>
      </w:tblGrid>
      <w:tr>
        <w:tc>
          <w:tcPr>
            <w:tcW w:type="dxa" w:w="9360"/>
            <w:shd w:fill="F2F6FA"/>
            <w:tcBorders>
              <w:top w:val="none"/>
              <w:left w:val="single" w:sz="36" w:space="0" w:color="003366"/>
              <w:bottom w:val="none"/>
              <w:right w:val="none"/>
            </w:tcBorders>
            <w:tcMar>
              <w:top w:w="120" w:type="dxa"/>
              <w:bottom w:w="120" w:type="dxa"/>
              <w:left w:w="160" w:type="dxa"/>
              <w:right w:w="120" w:type="dxa"/>
            </w:tcMar>
          </w:tcPr>
          <w:p>
            <w:pPr>
              <w:spacing w:before="40" w:after="40" w:line="276" w:lineRule="auto"/>
            </w:pPr>
            <w:r>
              <w:rPr>
                <w:rFonts w:ascii="Calibri" w:hAnsi="Calibri"/>
                <w:b/>
                <w:color w:val="003366"/>
                <w:sz w:val="20"/>
              </w:rPr>
              <w:t>■ RECOMMENDED PRACTICAL UAV FIELD FLIGHT PROTOCOL</w:t>
              <w:br/>
            </w:r>
            <w:r>
              <w:rPr>
                <w:rFonts w:ascii="Calibri" w:hAnsi="Calibri"/>
                <w:i/>
                <w:color w:val="28323C"/>
                <w:sz w:val="19"/>
              </w:rPr>
              <w:t>1. Timing Window: Schedule flights during bare soil periods (post-tillage or pre-emergence) between 10:00 AM and 2:00 PM solar time to minimize solar zenith shadowing.</w:t>
              <w:br/>
              <w:t>2. Soil Moisture Window: Verify field moisture is between 5% and 25% volumetric SWC; avoid surveying immediately after heavy rainfall (&gt; 25 mm within 24 hours).</w:t>
              <w:br/>
              <w:t>3. Radiometric Calibration: Place 12%, 36%, and 84% calibrated diffuse reflectance panels in the flight path for empirical line calibration; collect dark-current frames prior to takeoff.</w:t>
              <w:br/>
              <w:t>4. Vegetation Masking: Automatically filter flight pixels where NDVI &gt; 0.25 or Soil Adjusted Vegetation Index (SAVI) &gt; 0.20 to eliminate canopy interference.</w:t>
              <w:br/>
              <w:t>5. Preprocessing &amp; Inference: Ingest line-scan frames into the ONNX runtime engine with SG + SNV + ALS + Continuum Removal, generating real-time prescriptive NPK fertility raster maps.</w:t>
            </w:r>
          </w:p>
        </w:tc>
      </w:tr>
    </w:tbl>
    <w:p>
      <w:pPr>
        <w:spacing w:before="0" w:after="80"/>
      </w:pPr>
    </w:p>
    <w:p>
      <w:pPr>
        <w:pStyle w:val="Heading2"/>
      </w:pPr>
      <w:r>
        <w:t>13.2 Future Work</w:t>
      </w:r>
    </w:p>
    <w:p>
      <w:r>
        <w:t>Future research directions include: (1) Integrating multi-temporal UAV flight passes to model seasonal carbon flux; (2) Fusing UAV hyperspectral data with multi-spectral satellite constellations (Sentinel-2 MSI, Landsat-9 OLI) for continental-scale hierarchical upscaling; and (3) Transfer learning across the Open Soil Spectral Library (OSSL) to evaluate cross-continental generalization across tropical and arid soil orders.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REVIEW 3: EXPERIMENTAL SETUP &amp; OUTCOME | HYPERSPECTRAL SOIL NUTRIENT ESTIMATION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