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F87" w:rsidRDefault="001D2F87">
      <w:pPr>
        <w:rPr>
          <w:noProof/>
        </w:rPr>
      </w:pPr>
    </w:p>
    <w:p w:rsidR="001D2F87" w:rsidRDefault="001D2F87">
      <w:pPr>
        <w:rPr>
          <w:noProof/>
        </w:rPr>
      </w:pPr>
    </w:p>
    <w:p w:rsidR="001D2F87" w:rsidRDefault="001D2F87">
      <w:pPr>
        <w:rPr>
          <w:noProof/>
        </w:rPr>
      </w:pPr>
    </w:p>
    <w:p w:rsidR="001D2F87" w:rsidRDefault="001D2F87">
      <w:pPr>
        <w:rPr>
          <w:noProof/>
        </w:rPr>
      </w:pPr>
    </w:p>
    <w:p w:rsidR="001D2F87" w:rsidRDefault="001D2F87">
      <w:pPr>
        <w:rPr>
          <w:noProof/>
        </w:rPr>
      </w:pPr>
    </w:p>
    <w:p w:rsidR="000F01FA" w:rsidRDefault="000F01FA" w:rsidP="001D031E">
      <w:pPr>
        <w:spacing w:before="49"/>
        <w:ind w:right="960" w:firstLine="720"/>
        <w:jc w:val="center"/>
        <w:rPr>
          <w:rFonts w:ascii="Arial"/>
          <w:b/>
          <w:color w:val="006FC0"/>
          <w:spacing w:val="-5"/>
          <w:sz w:val="40"/>
        </w:rPr>
      </w:pPr>
      <w:r>
        <w:rPr>
          <w:rFonts w:ascii="Arial"/>
          <w:b/>
          <w:color w:val="006FC0"/>
          <w:spacing w:val="-5"/>
          <w:sz w:val="40"/>
        </w:rPr>
        <w:t xml:space="preserve">Azure Infra Provisioning </w:t>
      </w:r>
    </w:p>
    <w:p w:rsidR="002E6155" w:rsidRDefault="000F01FA" w:rsidP="001D031E">
      <w:pPr>
        <w:spacing w:before="49"/>
        <w:ind w:right="960" w:firstLine="720"/>
        <w:jc w:val="center"/>
        <w:rPr>
          <w:rFonts w:ascii="Arial"/>
          <w:b/>
          <w:color w:val="006FC0"/>
          <w:spacing w:val="-5"/>
          <w:sz w:val="40"/>
        </w:rPr>
      </w:pPr>
      <w:r>
        <w:rPr>
          <w:rFonts w:ascii="Arial"/>
          <w:b/>
          <w:color w:val="006FC0"/>
          <w:spacing w:val="-5"/>
          <w:sz w:val="40"/>
        </w:rPr>
        <w:t xml:space="preserve"> </w:t>
      </w:r>
      <w:r w:rsidR="008A5006">
        <w:rPr>
          <w:rFonts w:ascii="Arial"/>
          <w:b/>
          <w:color w:val="006FC0"/>
          <w:spacing w:val="-5"/>
          <w:sz w:val="40"/>
        </w:rPr>
        <w:t>HIPAA Compliance Standard</w:t>
      </w:r>
      <w:r>
        <w:rPr>
          <w:rFonts w:ascii="Arial"/>
          <w:b/>
          <w:color w:val="006FC0"/>
          <w:spacing w:val="-5"/>
          <w:sz w:val="40"/>
        </w:rPr>
        <w:t xml:space="preserve"> for HealthCare projects</w:t>
      </w:r>
    </w:p>
    <w:p w:rsidR="001D2F87" w:rsidRDefault="001D2F87" w:rsidP="001D2F87">
      <w:pPr>
        <w:spacing w:before="49"/>
        <w:ind w:right="960"/>
        <w:jc w:val="center"/>
        <w:rPr>
          <w:rFonts w:ascii="Arial"/>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1D031E" w:rsidRPr="002E6155" w:rsidRDefault="001D031E" w:rsidP="001D2F87">
      <w:pPr>
        <w:spacing w:before="49"/>
        <w:ind w:right="960"/>
        <w:jc w:val="center"/>
        <w:rPr>
          <w:rFonts w:ascii="Arial"/>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bl>
      <w:tblPr>
        <w:tblW w:w="9838" w:type="dxa"/>
        <w:tblInd w:w="470" w:type="dxa"/>
        <w:tblLook w:val="04A0" w:firstRow="1" w:lastRow="0" w:firstColumn="1" w:lastColumn="0" w:noHBand="0" w:noVBand="1"/>
      </w:tblPr>
      <w:tblGrid>
        <w:gridCol w:w="1306"/>
        <w:gridCol w:w="4074"/>
        <w:gridCol w:w="4458"/>
      </w:tblGrid>
      <w:tr w:rsidR="00643482" w:rsidRPr="001D031E" w:rsidTr="00643482">
        <w:trPr>
          <w:trHeight w:hRule="exact" w:val="531"/>
        </w:trPr>
        <w:tc>
          <w:tcPr>
            <w:tcW w:w="1306" w:type="dxa"/>
            <w:tcBorders>
              <w:top w:val="single" w:sz="8" w:space="0" w:color="auto"/>
              <w:left w:val="single" w:sz="8" w:space="0" w:color="auto"/>
              <w:bottom w:val="single" w:sz="8" w:space="0" w:color="auto"/>
              <w:right w:val="single" w:sz="8" w:space="0" w:color="auto"/>
            </w:tcBorders>
            <w:shd w:val="clear" w:color="000000" w:fill="41C0F8"/>
            <w:vAlign w:val="center"/>
            <w:hideMark/>
          </w:tcPr>
          <w:p w:rsidR="00643482" w:rsidRPr="001D031E" w:rsidRDefault="00643482" w:rsidP="001D031E">
            <w:pPr>
              <w:spacing w:after="0" w:line="240" w:lineRule="auto"/>
              <w:jc w:val="center"/>
              <w:rPr>
                <w:rFonts w:ascii="Calibri" w:eastAsia="Times New Roman" w:hAnsi="Calibri" w:cs="Times New Roman"/>
                <w:color w:val="000000"/>
              </w:rPr>
            </w:pPr>
            <w:r w:rsidRPr="001D031E">
              <w:rPr>
                <w:rFonts w:ascii="Calibri" w:eastAsia="Times New Roman" w:hAnsi="Calibri" w:cs="Times New Roman"/>
                <w:color w:val="000000"/>
              </w:rPr>
              <w:t> </w:t>
            </w:r>
          </w:p>
        </w:tc>
        <w:tc>
          <w:tcPr>
            <w:tcW w:w="4074" w:type="dxa"/>
            <w:tcBorders>
              <w:top w:val="single" w:sz="8" w:space="0" w:color="auto"/>
              <w:left w:val="nil"/>
              <w:bottom w:val="nil"/>
              <w:right w:val="single" w:sz="8" w:space="0" w:color="252525"/>
            </w:tcBorders>
            <w:shd w:val="clear" w:color="000000" w:fill="41C0F8"/>
            <w:vAlign w:val="center"/>
            <w:hideMark/>
          </w:tcPr>
          <w:p w:rsidR="00643482" w:rsidRPr="001D031E" w:rsidRDefault="00643482" w:rsidP="001D031E">
            <w:pPr>
              <w:spacing w:after="0" w:line="240" w:lineRule="auto"/>
              <w:jc w:val="center"/>
              <w:rPr>
                <w:rFonts w:ascii="Arial" w:eastAsia="Times New Roman" w:hAnsi="Arial" w:cs="Arial"/>
                <w:b/>
                <w:bCs/>
                <w:color w:val="000000"/>
                <w:sz w:val="21"/>
                <w:szCs w:val="21"/>
              </w:rPr>
            </w:pPr>
            <w:bookmarkStart w:id="0" w:name="RANGE!G7"/>
            <w:r w:rsidRPr="001D031E">
              <w:rPr>
                <w:rFonts w:ascii="Arial" w:eastAsia="Times New Roman" w:hAnsi="Arial" w:cs="Arial"/>
                <w:b/>
                <w:bCs/>
                <w:color w:val="000000"/>
                <w:sz w:val="21"/>
                <w:szCs w:val="21"/>
              </w:rPr>
              <w:t>Prepared By / Last Updated By</w:t>
            </w:r>
            <w:bookmarkEnd w:id="0"/>
          </w:p>
        </w:tc>
        <w:tc>
          <w:tcPr>
            <w:tcW w:w="4458" w:type="dxa"/>
            <w:tcBorders>
              <w:top w:val="single" w:sz="8" w:space="0" w:color="auto"/>
              <w:left w:val="nil"/>
              <w:bottom w:val="single" w:sz="8" w:space="0" w:color="252525"/>
              <w:right w:val="single" w:sz="8" w:space="0" w:color="252525"/>
            </w:tcBorders>
            <w:shd w:val="clear" w:color="000000" w:fill="41C0F8"/>
            <w:vAlign w:val="center"/>
            <w:hideMark/>
          </w:tcPr>
          <w:p w:rsidR="00643482" w:rsidRPr="001D031E" w:rsidRDefault="00643482" w:rsidP="001D031E">
            <w:pPr>
              <w:spacing w:after="0" w:line="240" w:lineRule="auto"/>
              <w:jc w:val="center"/>
              <w:rPr>
                <w:rFonts w:ascii="Arial" w:eastAsia="Times New Roman" w:hAnsi="Arial" w:cs="Arial"/>
                <w:b/>
                <w:bCs/>
                <w:color w:val="000000"/>
                <w:sz w:val="20"/>
                <w:szCs w:val="20"/>
              </w:rPr>
            </w:pPr>
            <w:r w:rsidRPr="001D031E">
              <w:rPr>
                <w:rFonts w:ascii="Arial" w:eastAsia="Times New Roman" w:hAnsi="Arial" w:cs="Arial"/>
                <w:b/>
                <w:bCs/>
                <w:color w:val="000000"/>
                <w:sz w:val="20"/>
                <w:szCs w:val="20"/>
              </w:rPr>
              <w:t>Reviewed By</w:t>
            </w:r>
          </w:p>
        </w:tc>
      </w:tr>
      <w:tr w:rsidR="00643482" w:rsidRPr="001D031E" w:rsidTr="00643482">
        <w:trPr>
          <w:trHeight w:val="480"/>
        </w:trPr>
        <w:tc>
          <w:tcPr>
            <w:tcW w:w="1306" w:type="dxa"/>
            <w:tcBorders>
              <w:top w:val="nil"/>
              <w:left w:val="single" w:sz="8" w:space="0" w:color="auto"/>
              <w:bottom w:val="single" w:sz="8" w:space="0" w:color="auto"/>
              <w:right w:val="single" w:sz="8" w:space="0" w:color="auto"/>
            </w:tcBorders>
            <w:shd w:val="clear" w:color="000000" w:fill="41C0F8"/>
            <w:vAlign w:val="center"/>
            <w:hideMark/>
          </w:tcPr>
          <w:p w:rsidR="00643482" w:rsidRPr="001D031E" w:rsidRDefault="00643482" w:rsidP="00643482">
            <w:pPr>
              <w:spacing w:after="0" w:line="240" w:lineRule="auto"/>
              <w:jc w:val="center"/>
              <w:rPr>
                <w:rFonts w:ascii="Arial" w:eastAsia="Times New Roman" w:hAnsi="Arial" w:cs="Arial"/>
                <w:b/>
                <w:bCs/>
                <w:color w:val="000000"/>
                <w:sz w:val="20"/>
                <w:szCs w:val="20"/>
              </w:rPr>
            </w:pPr>
            <w:bookmarkStart w:id="1" w:name="RANGE!F8"/>
            <w:r w:rsidRPr="001D031E">
              <w:rPr>
                <w:rFonts w:ascii="Arial" w:eastAsia="Times New Roman" w:hAnsi="Arial" w:cs="Arial"/>
                <w:b/>
                <w:bCs/>
                <w:color w:val="000000"/>
                <w:sz w:val="20"/>
                <w:szCs w:val="20"/>
              </w:rPr>
              <w:t>Name</w:t>
            </w:r>
            <w:bookmarkEnd w:id="1"/>
          </w:p>
        </w:tc>
        <w:tc>
          <w:tcPr>
            <w:tcW w:w="4074" w:type="dxa"/>
            <w:tcBorders>
              <w:top w:val="nil"/>
              <w:left w:val="nil"/>
              <w:bottom w:val="single" w:sz="8" w:space="0" w:color="252525"/>
              <w:right w:val="single" w:sz="8" w:space="0" w:color="252525"/>
            </w:tcBorders>
            <w:shd w:val="clear" w:color="auto" w:fill="auto"/>
            <w:vAlign w:val="center"/>
            <w:hideMark/>
          </w:tcPr>
          <w:p w:rsidR="00643482" w:rsidRDefault="00643482" w:rsidP="00643482">
            <w:pPr>
              <w:spacing w:after="0" w:line="240" w:lineRule="auto"/>
              <w:jc w:val="center"/>
              <w:rPr>
                <w:rFonts w:ascii="Arial" w:eastAsia="Times New Roman" w:hAnsi="Arial" w:cs="Arial"/>
                <w:color w:val="000000"/>
                <w:sz w:val="21"/>
                <w:szCs w:val="21"/>
              </w:rPr>
            </w:pPr>
            <w:r>
              <w:rPr>
                <w:rFonts w:ascii="Arial" w:eastAsia="Times New Roman" w:hAnsi="Arial" w:cs="Arial"/>
                <w:color w:val="000000"/>
                <w:sz w:val="21"/>
                <w:szCs w:val="21"/>
              </w:rPr>
              <w:t>Nagarajan M – Cloud Architect</w:t>
            </w:r>
          </w:p>
          <w:p w:rsidR="00643482" w:rsidRPr="001D031E" w:rsidRDefault="00643482" w:rsidP="00643482">
            <w:pPr>
              <w:spacing w:after="0" w:line="240" w:lineRule="auto"/>
              <w:jc w:val="center"/>
              <w:rPr>
                <w:rFonts w:ascii="Arial" w:eastAsia="Times New Roman" w:hAnsi="Arial" w:cs="Arial"/>
                <w:color w:val="000000"/>
                <w:sz w:val="21"/>
                <w:szCs w:val="21"/>
              </w:rPr>
            </w:pPr>
            <w:r>
              <w:rPr>
                <w:rFonts w:ascii="Arial" w:eastAsia="Times New Roman" w:hAnsi="Arial" w:cs="Arial"/>
                <w:color w:val="000000"/>
                <w:sz w:val="21"/>
                <w:szCs w:val="21"/>
              </w:rPr>
              <w:t>Anirudh KC – Cloud Engineer</w:t>
            </w:r>
          </w:p>
        </w:tc>
        <w:tc>
          <w:tcPr>
            <w:tcW w:w="4458" w:type="dxa"/>
            <w:tcBorders>
              <w:top w:val="nil"/>
              <w:left w:val="nil"/>
              <w:bottom w:val="single" w:sz="8" w:space="0" w:color="252525"/>
              <w:right w:val="single" w:sz="8" w:space="0" w:color="252525"/>
            </w:tcBorders>
            <w:shd w:val="clear" w:color="auto" w:fill="auto"/>
            <w:vAlign w:val="center"/>
            <w:hideMark/>
          </w:tcPr>
          <w:p w:rsidR="00643482" w:rsidRPr="001D031E" w:rsidRDefault="00643482" w:rsidP="00643482">
            <w:pPr>
              <w:spacing w:after="0" w:line="240" w:lineRule="auto"/>
              <w:jc w:val="center"/>
              <w:rPr>
                <w:rFonts w:ascii="Arial" w:eastAsia="Times New Roman" w:hAnsi="Arial" w:cs="Arial"/>
                <w:color w:val="000000"/>
                <w:sz w:val="21"/>
                <w:szCs w:val="21"/>
              </w:rPr>
            </w:pPr>
            <w:r w:rsidRPr="001D031E">
              <w:rPr>
                <w:rFonts w:ascii="Arial" w:eastAsia="Times New Roman" w:hAnsi="Arial" w:cs="Arial"/>
                <w:color w:val="000000"/>
                <w:sz w:val="21"/>
                <w:szCs w:val="21"/>
              </w:rPr>
              <w:t>Ramakrishnan Madhan</w:t>
            </w:r>
            <w:r>
              <w:rPr>
                <w:rFonts w:ascii="Arial" w:eastAsia="Times New Roman" w:hAnsi="Arial" w:cs="Arial"/>
                <w:color w:val="000000"/>
                <w:sz w:val="21"/>
                <w:szCs w:val="21"/>
              </w:rPr>
              <w:t xml:space="preserve"> – Senior Manager</w:t>
            </w:r>
          </w:p>
        </w:tc>
      </w:tr>
      <w:tr w:rsidR="00643482" w:rsidRPr="001D031E" w:rsidTr="00643482">
        <w:trPr>
          <w:trHeight w:val="480"/>
        </w:trPr>
        <w:tc>
          <w:tcPr>
            <w:tcW w:w="1306" w:type="dxa"/>
            <w:tcBorders>
              <w:top w:val="nil"/>
              <w:left w:val="single" w:sz="8" w:space="0" w:color="auto"/>
              <w:bottom w:val="single" w:sz="8" w:space="0" w:color="auto"/>
              <w:right w:val="single" w:sz="8" w:space="0" w:color="auto"/>
            </w:tcBorders>
            <w:shd w:val="clear" w:color="000000" w:fill="41C0F8"/>
            <w:vAlign w:val="center"/>
            <w:hideMark/>
          </w:tcPr>
          <w:p w:rsidR="00643482" w:rsidRPr="001D031E" w:rsidRDefault="00643482" w:rsidP="00643482">
            <w:pPr>
              <w:spacing w:after="0" w:line="240" w:lineRule="auto"/>
              <w:jc w:val="center"/>
              <w:rPr>
                <w:rFonts w:ascii="Calibri" w:eastAsia="Times New Roman" w:hAnsi="Calibri" w:cs="Times New Roman"/>
                <w:color w:val="000000"/>
              </w:rPr>
            </w:pPr>
            <w:r w:rsidRPr="00643482">
              <w:rPr>
                <w:rFonts w:ascii="Arial" w:eastAsia="Times New Roman" w:hAnsi="Arial" w:cs="Arial"/>
                <w:b/>
                <w:bCs/>
                <w:color w:val="000000"/>
                <w:sz w:val="20"/>
                <w:szCs w:val="20"/>
              </w:rPr>
              <w:t>Practice</w:t>
            </w:r>
            <w:r w:rsidRPr="001D031E">
              <w:rPr>
                <w:rFonts w:ascii="Calibri" w:eastAsia="Times New Roman" w:hAnsi="Calibri" w:cs="Times New Roman"/>
                <w:color w:val="000000"/>
              </w:rPr>
              <w:t> </w:t>
            </w:r>
          </w:p>
        </w:tc>
        <w:tc>
          <w:tcPr>
            <w:tcW w:w="4074" w:type="dxa"/>
            <w:tcBorders>
              <w:top w:val="nil"/>
              <w:left w:val="nil"/>
              <w:bottom w:val="single" w:sz="8" w:space="0" w:color="252525"/>
              <w:right w:val="single" w:sz="8" w:space="0" w:color="252525"/>
            </w:tcBorders>
            <w:shd w:val="clear" w:color="auto" w:fill="auto"/>
            <w:vAlign w:val="center"/>
            <w:hideMark/>
          </w:tcPr>
          <w:p w:rsidR="00643482" w:rsidRPr="001D031E" w:rsidRDefault="00643482" w:rsidP="00643482">
            <w:pPr>
              <w:spacing w:after="0" w:line="240" w:lineRule="auto"/>
              <w:jc w:val="center"/>
              <w:rPr>
                <w:rFonts w:ascii="Arial" w:eastAsia="Times New Roman" w:hAnsi="Arial" w:cs="Arial"/>
                <w:color w:val="000000"/>
                <w:sz w:val="21"/>
                <w:szCs w:val="21"/>
              </w:rPr>
            </w:pPr>
            <w:r>
              <w:rPr>
                <w:rFonts w:ascii="Arial" w:eastAsia="Times New Roman" w:hAnsi="Arial" w:cs="Arial"/>
                <w:color w:val="000000"/>
                <w:sz w:val="21"/>
                <w:szCs w:val="21"/>
              </w:rPr>
              <w:t>CCS</w:t>
            </w:r>
          </w:p>
        </w:tc>
        <w:tc>
          <w:tcPr>
            <w:tcW w:w="4458" w:type="dxa"/>
            <w:tcBorders>
              <w:top w:val="nil"/>
              <w:left w:val="nil"/>
              <w:bottom w:val="single" w:sz="8" w:space="0" w:color="252525"/>
              <w:right w:val="single" w:sz="8" w:space="0" w:color="252525"/>
            </w:tcBorders>
            <w:shd w:val="clear" w:color="auto" w:fill="auto"/>
            <w:vAlign w:val="center"/>
            <w:hideMark/>
          </w:tcPr>
          <w:p w:rsidR="00643482" w:rsidRPr="001D031E" w:rsidRDefault="00643482" w:rsidP="00643482">
            <w:pPr>
              <w:spacing w:after="0" w:line="240" w:lineRule="auto"/>
              <w:jc w:val="center"/>
              <w:rPr>
                <w:rFonts w:ascii="Arial" w:eastAsia="Times New Roman" w:hAnsi="Arial" w:cs="Arial"/>
                <w:color w:val="000000"/>
                <w:sz w:val="21"/>
                <w:szCs w:val="21"/>
              </w:rPr>
            </w:pPr>
            <w:r>
              <w:rPr>
                <w:rFonts w:ascii="Arial" w:eastAsia="Times New Roman" w:hAnsi="Arial" w:cs="Arial"/>
                <w:color w:val="000000"/>
                <w:sz w:val="21"/>
                <w:szCs w:val="21"/>
              </w:rPr>
              <w:t>CCS</w:t>
            </w:r>
          </w:p>
        </w:tc>
      </w:tr>
      <w:tr w:rsidR="00643482" w:rsidRPr="001D031E" w:rsidTr="00643482">
        <w:trPr>
          <w:trHeight w:val="480"/>
        </w:trPr>
        <w:tc>
          <w:tcPr>
            <w:tcW w:w="1306" w:type="dxa"/>
            <w:tcBorders>
              <w:top w:val="nil"/>
              <w:left w:val="single" w:sz="8" w:space="0" w:color="auto"/>
              <w:bottom w:val="single" w:sz="8" w:space="0" w:color="auto"/>
              <w:right w:val="single" w:sz="8" w:space="0" w:color="252525"/>
            </w:tcBorders>
            <w:shd w:val="clear" w:color="000000" w:fill="41C0F8"/>
            <w:vAlign w:val="center"/>
            <w:hideMark/>
          </w:tcPr>
          <w:p w:rsidR="00643482" w:rsidRPr="001D031E" w:rsidRDefault="00643482" w:rsidP="00643482">
            <w:pPr>
              <w:spacing w:after="0" w:line="240" w:lineRule="auto"/>
              <w:jc w:val="center"/>
              <w:rPr>
                <w:rFonts w:ascii="Arial" w:eastAsia="Times New Roman" w:hAnsi="Arial" w:cs="Arial"/>
                <w:b/>
                <w:bCs/>
                <w:color w:val="000000"/>
                <w:sz w:val="21"/>
                <w:szCs w:val="21"/>
              </w:rPr>
            </w:pPr>
            <w:r w:rsidRPr="001D031E">
              <w:rPr>
                <w:rFonts w:ascii="Arial" w:eastAsia="Times New Roman" w:hAnsi="Arial" w:cs="Arial"/>
                <w:b/>
                <w:bCs/>
                <w:color w:val="000000"/>
                <w:sz w:val="21"/>
                <w:szCs w:val="21"/>
              </w:rPr>
              <w:t>Date</w:t>
            </w:r>
          </w:p>
        </w:tc>
        <w:tc>
          <w:tcPr>
            <w:tcW w:w="4074" w:type="dxa"/>
            <w:tcBorders>
              <w:top w:val="nil"/>
              <w:left w:val="nil"/>
              <w:bottom w:val="single" w:sz="8" w:space="0" w:color="auto"/>
              <w:right w:val="single" w:sz="8" w:space="0" w:color="252525"/>
            </w:tcBorders>
            <w:shd w:val="clear" w:color="auto" w:fill="auto"/>
            <w:vAlign w:val="center"/>
            <w:hideMark/>
          </w:tcPr>
          <w:p w:rsidR="00643482" w:rsidRPr="001D031E" w:rsidRDefault="00643482" w:rsidP="0064348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w:t>
            </w:r>
            <w:r w:rsidRPr="001D031E">
              <w:rPr>
                <w:rFonts w:ascii="Calibri" w:eastAsia="Times New Roman" w:hAnsi="Calibri" w:cs="Times New Roman"/>
                <w:color w:val="000000"/>
              </w:rPr>
              <w:t>-Jan-17</w:t>
            </w:r>
          </w:p>
        </w:tc>
        <w:tc>
          <w:tcPr>
            <w:tcW w:w="4458" w:type="dxa"/>
            <w:tcBorders>
              <w:top w:val="nil"/>
              <w:left w:val="nil"/>
              <w:bottom w:val="single" w:sz="8" w:space="0" w:color="auto"/>
              <w:right w:val="single" w:sz="8" w:space="0" w:color="252525"/>
            </w:tcBorders>
            <w:shd w:val="clear" w:color="auto" w:fill="auto"/>
            <w:vAlign w:val="center"/>
            <w:hideMark/>
          </w:tcPr>
          <w:p w:rsidR="00643482" w:rsidRPr="001D031E" w:rsidRDefault="00643482" w:rsidP="0064348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w:t>
            </w:r>
            <w:r w:rsidRPr="001D031E">
              <w:rPr>
                <w:rFonts w:ascii="Calibri" w:eastAsia="Times New Roman" w:hAnsi="Calibri" w:cs="Times New Roman"/>
                <w:color w:val="000000"/>
              </w:rPr>
              <w:t>-Jan-17</w:t>
            </w:r>
          </w:p>
        </w:tc>
      </w:tr>
    </w:tbl>
    <w:p w:rsidR="001D2F87" w:rsidRDefault="001D2F87" w:rsidP="001D031E">
      <w:pPr>
        <w:spacing w:before="49"/>
        <w:ind w:right="960"/>
        <w:rPr>
          <w:rFonts w:ascii="Arial" w:eastAsia="Arial" w:hAnsi="Arial" w:cs="Arial"/>
          <w:sz w:val="40"/>
          <w:szCs w:val="40"/>
        </w:rPr>
      </w:pPr>
    </w:p>
    <w:p w:rsidR="001D2F87" w:rsidRDefault="001D2F87"/>
    <w:p w:rsidR="001D2F87" w:rsidRDefault="001D2F87"/>
    <w:p w:rsidR="001D2F87" w:rsidRDefault="001D2F87">
      <w:r>
        <w:br w:type="page"/>
      </w:r>
    </w:p>
    <w:p w:rsidR="00AF205E" w:rsidRDefault="00AF205E"/>
    <w:p w:rsidR="00C73D59" w:rsidRPr="00C73D59" w:rsidRDefault="00C73D59" w:rsidP="00C73D59">
      <w:pPr>
        <w:jc w:val="center"/>
        <w:rPr>
          <w:rFonts w:eastAsia="Calibri" w:hAnsi="Calibri" w:cs="Calibri"/>
          <w:b/>
          <w:sz w:val="36"/>
          <w:szCs w:val="36"/>
        </w:rPr>
      </w:pPr>
      <w:r w:rsidRPr="00C73D59">
        <w:rPr>
          <w:b/>
          <w:sz w:val="36"/>
          <w:szCs w:val="36"/>
        </w:rPr>
        <w:t>Table of</w:t>
      </w:r>
      <w:r w:rsidRPr="00C73D59">
        <w:rPr>
          <w:b/>
          <w:spacing w:val="3"/>
          <w:sz w:val="36"/>
          <w:szCs w:val="36"/>
        </w:rPr>
        <w:t xml:space="preserve"> </w:t>
      </w:r>
      <w:r w:rsidRPr="00C73D59">
        <w:rPr>
          <w:b/>
          <w:sz w:val="36"/>
          <w:szCs w:val="36"/>
        </w:rPr>
        <w:t>Contents</w:t>
      </w:r>
    </w:p>
    <w:sdt>
      <w:sdtPr>
        <w:rPr>
          <w:rFonts w:asciiTheme="minorHAnsi" w:eastAsiaTheme="minorHAnsi" w:hAnsiTheme="minorHAnsi" w:cstheme="minorBidi"/>
          <w:color w:val="auto"/>
          <w:sz w:val="22"/>
          <w:szCs w:val="22"/>
        </w:rPr>
        <w:id w:val="-1879312636"/>
        <w:docPartObj>
          <w:docPartGallery w:val="Table of Contents"/>
          <w:docPartUnique/>
        </w:docPartObj>
      </w:sdtPr>
      <w:sdtEndPr>
        <w:rPr>
          <w:b/>
          <w:bCs/>
          <w:noProof/>
        </w:rPr>
      </w:sdtEndPr>
      <w:sdtContent>
        <w:p w:rsidR="00643482" w:rsidRDefault="00643482">
          <w:pPr>
            <w:pStyle w:val="TOCHeading"/>
          </w:pPr>
          <w:r>
            <w:t>Contents</w:t>
          </w:r>
        </w:p>
        <w:p w:rsidR="007D363E" w:rsidRDefault="00643482">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471759965" w:history="1">
            <w:r w:rsidR="007D363E" w:rsidRPr="005D6AA2">
              <w:rPr>
                <w:rStyle w:val="Hyperlink"/>
                <w:b/>
                <w:noProof/>
              </w:rPr>
              <w:t>1.</w:t>
            </w:r>
            <w:r w:rsidR="007D363E">
              <w:rPr>
                <w:rFonts w:eastAsiaTheme="minorEastAsia"/>
                <w:noProof/>
              </w:rPr>
              <w:tab/>
            </w:r>
            <w:r w:rsidR="007D363E" w:rsidRPr="005D6AA2">
              <w:rPr>
                <w:rStyle w:val="Hyperlink"/>
                <w:b/>
                <w:noProof/>
              </w:rPr>
              <w:t>Objective</w:t>
            </w:r>
            <w:r w:rsidR="007D363E">
              <w:rPr>
                <w:noProof/>
                <w:webHidden/>
              </w:rPr>
              <w:tab/>
            </w:r>
            <w:r w:rsidR="007D363E">
              <w:rPr>
                <w:noProof/>
                <w:webHidden/>
              </w:rPr>
              <w:fldChar w:fldCharType="begin"/>
            </w:r>
            <w:r w:rsidR="007D363E">
              <w:rPr>
                <w:noProof/>
                <w:webHidden/>
              </w:rPr>
              <w:instrText xml:space="preserve"> PAGEREF _Toc471759965 \h </w:instrText>
            </w:r>
            <w:r w:rsidR="007D363E">
              <w:rPr>
                <w:noProof/>
                <w:webHidden/>
              </w:rPr>
            </w:r>
            <w:r w:rsidR="007D363E">
              <w:rPr>
                <w:noProof/>
                <w:webHidden/>
              </w:rPr>
              <w:fldChar w:fldCharType="separate"/>
            </w:r>
            <w:r w:rsidR="007D363E">
              <w:rPr>
                <w:noProof/>
                <w:webHidden/>
              </w:rPr>
              <w:t>3</w:t>
            </w:r>
            <w:r w:rsidR="007D363E">
              <w:rPr>
                <w:noProof/>
                <w:webHidden/>
              </w:rPr>
              <w:fldChar w:fldCharType="end"/>
            </w:r>
          </w:hyperlink>
        </w:p>
        <w:p w:rsidR="007D363E" w:rsidRDefault="007D363E">
          <w:pPr>
            <w:pStyle w:val="TOC1"/>
            <w:tabs>
              <w:tab w:val="left" w:pos="440"/>
              <w:tab w:val="right" w:leader="dot" w:pos="10790"/>
            </w:tabs>
            <w:rPr>
              <w:rFonts w:eastAsiaTheme="minorEastAsia"/>
              <w:noProof/>
            </w:rPr>
          </w:pPr>
          <w:hyperlink w:anchor="_Toc471759966" w:history="1">
            <w:r w:rsidRPr="005D6AA2">
              <w:rPr>
                <w:rStyle w:val="Hyperlink"/>
                <w:b/>
                <w:noProof/>
              </w:rPr>
              <w:t>2.</w:t>
            </w:r>
            <w:r>
              <w:rPr>
                <w:rFonts w:eastAsiaTheme="minorEastAsia"/>
                <w:noProof/>
              </w:rPr>
              <w:tab/>
            </w:r>
            <w:r w:rsidRPr="005D6AA2">
              <w:rPr>
                <w:rStyle w:val="Hyperlink"/>
                <w:b/>
                <w:noProof/>
              </w:rPr>
              <w:t>HIPAA Guideline Source</w:t>
            </w:r>
            <w:r>
              <w:rPr>
                <w:noProof/>
                <w:webHidden/>
              </w:rPr>
              <w:tab/>
            </w:r>
            <w:r>
              <w:rPr>
                <w:noProof/>
                <w:webHidden/>
              </w:rPr>
              <w:fldChar w:fldCharType="begin"/>
            </w:r>
            <w:r>
              <w:rPr>
                <w:noProof/>
                <w:webHidden/>
              </w:rPr>
              <w:instrText xml:space="preserve"> PAGEREF _Toc471759966 \h </w:instrText>
            </w:r>
            <w:r>
              <w:rPr>
                <w:noProof/>
                <w:webHidden/>
              </w:rPr>
            </w:r>
            <w:r>
              <w:rPr>
                <w:noProof/>
                <w:webHidden/>
              </w:rPr>
              <w:fldChar w:fldCharType="separate"/>
            </w:r>
            <w:r>
              <w:rPr>
                <w:noProof/>
                <w:webHidden/>
              </w:rPr>
              <w:t>3</w:t>
            </w:r>
            <w:r>
              <w:rPr>
                <w:noProof/>
                <w:webHidden/>
              </w:rPr>
              <w:fldChar w:fldCharType="end"/>
            </w:r>
          </w:hyperlink>
        </w:p>
        <w:p w:rsidR="007D363E" w:rsidRDefault="007D363E">
          <w:pPr>
            <w:pStyle w:val="TOC1"/>
            <w:tabs>
              <w:tab w:val="left" w:pos="440"/>
              <w:tab w:val="right" w:leader="dot" w:pos="10790"/>
            </w:tabs>
            <w:rPr>
              <w:rFonts w:eastAsiaTheme="minorEastAsia"/>
              <w:noProof/>
            </w:rPr>
          </w:pPr>
          <w:hyperlink w:anchor="_Toc471759967" w:history="1">
            <w:r w:rsidRPr="005D6AA2">
              <w:rPr>
                <w:rStyle w:val="Hyperlink"/>
                <w:b/>
                <w:noProof/>
              </w:rPr>
              <w:t>3.</w:t>
            </w:r>
            <w:r>
              <w:rPr>
                <w:rFonts w:eastAsiaTheme="minorEastAsia"/>
                <w:noProof/>
              </w:rPr>
              <w:tab/>
            </w:r>
            <w:r w:rsidRPr="005D6AA2">
              <w:rPr>
                <w:rStyle w:val="Hyperlink"/>
                <w:b/>
                <w:noProof/>
              </w:rPr>
              <w:t>Microsoft Azure HIPAA/HITECH Act Compliance</w:t>
            </w:r>
            <w:r>
              <w:rPr>
                <w:noProof/>
                <w:webHidden/>
              </w:rPr>
              <w:tab/>
            </w:r>
            <w:r>
              <w:rPr>
                <w:noProof/>
                <w:webHidden/>
              </w:rPr>
              <w:fldChar w:fldCharType="begin"/>
            </w:r>
            <w:r>
              <w:rPr>
                <w:noProof/>
                <w:webHidden/>
              </w:rPr>
              <w:instrText xml:space="preserve"> PAGEREF _Toc471759967 \h </w:instrText>
            </w:r>
            <w:r>
              <w:rPr>
                <w:noProof/>
                <w:webHidden/>
              </w:rPr>
            </w:r>
            <w:r>
              <w:rPr>
                <w:noProof/>
                <w:webHidden/>
              </w:rPr>
              <w:fldChar w:fldCharType="separate"/>
            </w:r>
            <w:r>
              <w:rPr>
                <w:noProof/>
                <w:webHidden/>
              </w:rPr>
              <w:t>3</w:t>
            </w:r>
            <w:r>
              <w:rPr>
                <w:noProof/>
                <w:webHidden/>
              </w:rPr>
              <w:fldChar w:fldCharType="end"/>
            </w:r>
          </w:hyperlink>
        </w:p>
        <w:p w:rsidR="007D363E" w:rsidRDefault="007D363E">
          <w:pPr>
            <w:pStyle w:val="TOC1"/>
            <w:tabs>
              <w:tab w:val="left" w:pos="440"/>
              <w:tab w:val="right" w:leader="dot" w:pos="10790"/>
            </w:tabs>
            <w:rPr>
              <w:rFonts w:eastAsiaTheme="minorEastAsia"/>
              <w:noProof/>
            </w:rPr>
          </w:pPr>
          <w:hyperlink w:anchor="_Toc471759968" w:history="1">
            <w:r w:rsidRPr="005D6AA2">
              <w:rPr>
                <w:rStyle w:val="Hyperlink"/>
                <w:b/>
                <w:noProof/>
              </w:rPr>
              <w:t>4.</w:t>
            </w:r>
            <w:r>
              <w:rPr>
                <w:rFonts w:eastAsiaTheme="minorEastAsia"/>
                <w:noProof/>
              </w:rPr>
              <w:tab/>
            </w:r>
            <w:r w:rsidRPr="005D6AA2">
              <w:rPr>
                <w:rStyle w:val="Hyperlink"/>
                <w:b/>
                <w:noProof/>
              </w:rPr>
              <w:t>Signing a Microsoft Business Associate Agreement (BAA)</w:t>
            </w:r>
            <w:r>
              <w:rPr>
                <w:noProof/>
                <w:webHidden/>
              </w:rPr>
              <w:tab/>
            </w:r>
            <w:r>
              <w:rPr>
                <w:noProof/>
                <w:webHidden/>
              </w:rPr>
              <w:fldChar w:fldCharType="begin"/>
            </w:r>
            <w:r>
              <w:rPr>
                <w:noProof/>
                <w:webHidden/>
              </w:rPr>
              <w:instrText xml:space="preserve"> PAGEREF _Toc471759968 \h </w:instrText>
            </w:r>
            <w:r>
              <w:rPr>
                <w:noProof/>
                <w:webHidden/>
              </w:rPr>
            </w:r>
            <w:r>
              <w:rPr>
                <w:noProof/>
                <w:webHidden/>
              </w:rPr>
              <w:fldChar w:fldCharType="separate"/>
            </w:r>
            <w:r>
              <w:rPr>
                <w:noProof/>
                <w:webHidden/>
              </w:rPr>
              <w:t>4</w:t>
            </w:r>
            <w:r>
              <w:rPr>
                <w:noProof/>
                <w:webHidden/>
              </w:rPr>
              <w:fldChar w:fldCharType="end"/>
            </w:r>
          </w:hyperlink>
        </w:p>
        <w:p w:rsidR="007D363E" w:rsidRDefault="007D363E">
          <w:pPr>
            <w:pStyle w:val="TOC1"/>
            <w:tabs>
              <w:tab w:val="left" w:pos="440"/>
              <w:tab w:val="right" w:leader="dot" w:pos="10790"/>
            </w:tabs>
            <w:rPr>
              <w:rFonts w:eastAsiaTheme="minorEastAsia"/>
              <w:noProof/>
            </w:rPr>
          </w:pPr>
          <w:hyperlink w:anchor="_Toc471759969" w:history="1">
            <w:r w:rsidRPr="005D6AA2">
              <w:rPr>
                <w:rStyle w:val="Hyperlink"/>
                <w:b/>
                <w:noProof/>
              </w:rPr>
              <w:t>5.</w:t>
            </w:r>
            <w:r>
              <w:rPr>
                <w:rFonts w:eastAsiaTheme="minorEastAsia"/>
                <w:noProof/>
              </w:rPr>
              <w:tab/>
            </w:r>
            <w:r w:rsidRPr="005D6AA2">
              <w:rPr>
                <w:rStyle w:val="Hyperlink"/>
                <w:b/>
                <w:noProof/>
              </w:rPr>
              <w:t>General HIPAA Compliance Guidelines for Azure HC projects</w:t>
            </w:r>
            <w:r>
              <w:rPr>
                <w:noProof/>
                <w:webHidden/>
              </w:rPr>
              <w:tab/>
            </w:r>
            <w:r>
              <w:rPr>
                <w:noProof/>
                <w:webHidden/>
              </w:rPr>
              <w:fldChar w:fldCharType="begin"/>
            </w:r>
            <w:r>
              <w:rPr>
                <w:noProof/>
                <w:webHidden/>
              </w:rPr>
              <w:instrText xml:space="preserve"> PAGEREF _Toc471759969 \h </w:instrText>
            </w:r>
            <w:r>
              <w:rPr>
                <w:noProof/>
                <w:webHidden/>
              </w:rPr>
            </w:r>
            <w:r>
              <w:rPr>
                <w:noProof/>
                <w:webHidden/>
              </w:rPr>
              <w:fldChar w:fldCharType="separate"/>
            </w:r>
            <w:r>
              <w:rPr>
                <w:noProof/>
                <w:webHidden/>
              </w:rPr>
              <w:t>4</w:t>
            </w:r>
            <w:r>
              <w:rPr>
                <w:noProof/>
                <w:webHidden/>
              </w:rPr>
              <w:fldChar w:fldCharType="end"/>
            </w:r>
          </w:hyperlink>
        </w:p>
        <w:p w:rsidR="007D363E" w:rsidRDefault="007D363E">
          <w:pPr>
            <w:pStyle w:val="TOC1"/>
            <w:tabs>
              <w:tab w:val="left" w:pos="440"/>
              <w:tab w:val="right" w:leader="dot" w:pos="10790"/>
            </w:tabs>
            <w:rPr>
              <w:rFonts w:eastAsiaTheme="minorEastAsia"/>
              <w:noProof/>
            </w:rPr>
          </w:pPr>
          <w:hyperlink w:anchor="_Toc471759970" w:history="1">
            <w:r w:rsidRPr="005D6AA2">
              <w:rPr>
                <w:rStyle w:val="Hyperlink"/>
                <w:b/>
                <w:noProof/>
              </w:rPr>
              <w:t>6.</w:t>
            </w:r>
            <w:r>
              <w:rPr>
                <w:rFonts w:eastAsiaTheme="minorEastAsia"/>
                <w:noProof/>
              </w:rPr>
              <w:tab/>
            </w:r>
            <w:r w:rsidRPr="005D6AA2">
              <w:rPr>
                <w:rStyle w:val="Hyperlink"/>
                <w:b/>
                <w:noProof/>
              </w:rPr>
              <w:t>HIPAA Compliance – Claimsphere Health Care Project</w:t>
            </w:r>
            <w:r>
              <w:rPr>
                <w:noProof/>
                <w:webHidden/>
              </w:rPr>
              <w:tab/>
            </w:r>
            <w:r>
              <w:rPr>
                <w:noProof/>
                <w:webHidden/>
              </w:rPr>
              <w:fldChar w:fldCharType="begin"/>
            </w:r>
            <w:r>
              <w:rPr>
                <w:noProof/>
                <w:webHidden/>
              </w:rPr>
              <w:instrText xml:space="preserve"> PAGEREF _Toc471759970 \h </w:instrText>
            </w:r>
            <w:r>
              <w:rPr>
                <w:noProof/>
                <w:webHidden/>
              </w:rPr>
            </w:r>
            <w:r>
              <w:rPr>
                <w:noProof/>
                <w:webHidden/>
              </w:rPr>
              <w:fldChar w:fldCharType="separate"/>
            </w:r>
            <w:r>
              <w:rPr>
                <w:noProof/>
                <w:webHidden/>
              </w:rPr>
              <w:t>5</w:t>
            </w:r>
            <w:r>
              <w:rPr>
                <w:noProof/>
                <w:webHidden/>
              </w:rPr>
              <w:fldChar w:fldCharType="end"/>
            </w:r>
          </w:hyperlink>
        </w:p>
        <w:p w:rsidR="00643482" w:rsidRDefault="00643482">
          <w:r>
            <w:rPr>
              <w:b/>
              <w:bCs/>
              <w:noProof/>
            </w:rPr>
            <w:fldChar w:fldCharType="end"/>
          </w:r>
        </w:p>
      </w:sdtContent>
    </w:sdt>
    <w:p w:rsidR="00B85BE6" w:rsidRDefault="00B85BE6" w:rsidP="00C73D59">
      <w:pPr>
        <w:ind w:left="360"/>
      </w:pPr>
    </w:p>
    <w:p w:rsidR="00C73D59" w:rsidRDefault="00C73D59">
      <w:r>
        <w:br w:type="page"/>
      </w:r>
    </w:p>
    <w:p w:rsidR="00B85BE6" w:rsidRDefault="00B85BE6" w:rsidP="00B85BE6">
      <w:pPr>
        <w:pStyle w:val="Default"/>
      </w:pPr>
    </w:p>
    <w:p w:rsidR="00B85BE6" w:rsidRPr="00E12764" w:rsidRDefault="00B85BE6" w:rsidP="00E12764">
      <w:pPr>
        <w:pStyle w:val="Heading1"/>
        <w:numPr>
          <w:ilvl w:val="0"/>
          <w:numId w:val="15"/>
        </w:numPr>
        <w:rPr>
          <w:b/>
        </w:rPr>
      </w:pPr>
      <w:bookmarkStart w:id="2" w:name="_Ref471757464"/>
      <w:bookmarkStart w:id="3" w:name="_Toc471759965"/>
      <w:r w:rsidRPr="00E12764">
        <w:rPr>
          <w:b/>
        </w:rPr>
        <w:t>Objective</w:t>
      </w:r>
      <w:bookmarkEnd w:id="2"/>
      <w:bookmarkEnd w:id="3"/>
    </w:p>
    <w:p w:rsidR="00374EAB" w:rsidRDefault="00B85BE6" w:rsidP="00374EAB">
      <w:pPr>
        <w:ind w:left="735" w:firstLine="705"/>
        <w:rPr>
          <w:rFonts w:ascii="Calibri" w:hAnsi="Calibri" w:cs="Calibri"/>
          <w:color w:val="000000"/>
          <w:sz w:val="24"/>
          <w:szCs w:val="24"/>
        </w:rPr>
      </w:pPr>
      <w:r w:rsidRPr="00374EAB">
        <w:rPr>
          <w:rFonts w:ascii="Calibri" w:hAnsi="Calibri" w:cs="Calibri"/>
          <w:color w:val="000000"/>
          <w:sz w:val="24"/>
          <w:szCs w:val="24"/>
        </w:rPr>
        <w:t xml:space="preserve">The purpose of this document is to provide the </w:t>
      </w:r>
      <w:r w:rsidR="00A8727C">
        <w:rPr>
          <w:rFonts w:ascii="Calibri" w:hAnsi="Calibri" w:cs="Calibri"/>
          <w:color w:val="000000"/>
          <w:sz w:val="24"/>
          <w:szCs w:val="24"/>
        </w:rPr>
        <w:t>basic</w:t>
      </w:r>
      <w:r w:rsidR="001D09BD">
        <w:rPr>
          <w:rFonts w:ascii="Calibri" w:hAnsi="Calibri" w:cs="Calibri"/>
          <w:color w:val="000000"/>
          <w:sz w:val="24"/>
          <w:szCs w:val="24"/>
        </w:rPr>
        <w:t xml:space="preserve"> </w:t>
      </w:r>
      <w:r w:rsidRPr="00374EAB">
        <w:rPr>
          <w:rFonts w:ascii="Calibri" w:hAnsi="Calibri" w:cs="Calibri"/>
          <w:color w:val="000000"/>
          <w:sz w:val="24"/>
          <w:szCs w:val="24"/>
        </w:rPr>
        <w:t xml:space="preserve">HIPAA Compliance </w:t>
      </w:r>
      <w:r w:rsidR="002B4075">
        <w:rPr>
          <w:rFonts w:ascii="Calibri" w:hAnsi="Calibri" w:cs="Calibri"/>
          <w:color w:val="000000"/>
          <w:sz w:val="24"/>
          <w:szCs w:val="24"/>
        </w:rPr>
        <w:t>guidelines</w:t>
      </w:r>
      <w:r w:rsidRPr="00374EAB">
        <w:rPr>
          <w:rFonts w:ascii="Calibri" w:hAnsi="Calibri" w:cs="Calibri"/>
          <w:color w:val="000000"/>
          <w:sz w:val="24"/>
          <w:szCs w:val="24"/>
        </w:rPr>
        <w:t xml:space="preserve"> to be </w:t>
      </w:r>
      <w:r w:rsidR="001D09BD">
        <w:rPr>
          <w:rFonts w:ascii="Calibri" w:hAnsi="Calibri" w:cs="Calibri"/>
          <w:color w:val="000000"/>
          <w:sz w:val="24"/>
          <w:szCs w:val="24"/>
        </w:rPr>
        <w:t xml:space="preserve">followed for </w:t>
      </w:r>
      <w:r w:rsidR="002468F7">
        <w:rPr>
          <w:rFonts w:ascii="Calibri" w:hAnsi="Calibri" w:cs="Calibri"/>
          <w:color w:val="000000"/>
          <w:sz w:val="24"/>
          <w:szCs w:val="24"/>
        </w:rPr>
        <w:t xml:space="preserve">Healthcare </w:t>
      </w:r>
      <w:r w:rsidR="00B77E58">
        <w:rPr>
          <w:rFonts w:ascii="Calibri" w:hAnsi="Calibri" w:cs="Calibri"/>
          <w:color w:val="000000"/>
          <w:sz w:val="24"/>
          <w:szCs w:val="24"/>
        </w:rPr>
        <w:t xml:space="preserve">project </w:t>
      </w:r>
      <w:r w:rsidR="001D09BD">
        <w:rPr>
          <w:rFonts w:ascii="Calibri" w:hAnsi="Calibri" w:cs="Calibri"/>
          <w:color w:val="000000"/>
          <w:sz w:val="24"/>
          <w:szCs w:val="24"/>
        </w:rPr>
        <w:t>during</w:t>
      </w:r>
      <w:r w:rsidR="006D5C4B">
        <w:rPr>
          <w:rFonts w:ascii="Calibri" w:hAnsi="Calibri" w:cs="Calibri"/>
          <w:color w:val="000000"/>
          <w:sz w:val="24"/>
          <w:szCs w:val="24"/>
        </w:rPr>
        <w:t xml:space="preserve"> Azure</w:t>
      </w:r>
      <w:r w:rsidR="00302744">
        <w:rPr>
          <w:rFonts w:ascii="Calibri" w:hAnsi="Calibri" w:cs="Calibri"/>
          <w:color w:val="000000"/>
          <w:sz w:val="24"/>
          <w:szCs w:val="24"/>
        </w:rPr>
        <w:t xml:space="preserve"> Infra</w:t>
      </w:r>
      <w:r w:rsidR="001D09BD">
        <w:rPr>
          <w:rFonts w:ascii="Calibri" w:hAnsi="Calibri" w:cs="Calibri"/>
          <w:color w:val="000000"/>
          <w:sz w:val="24"/>
          <w:szCs w:val="24"/>
        </w:rPr>
        <w:t xml:space="preserve"> </w:t>
      </w:r>
      <w:r w:rsidR="00B77E58">
        <w:rPr>
          <w:rFonts w:ascii="Calibri" w:hAnsi="Calibri" w:cs="Calibri"/>
          <w:color w:val="000000"/>
          <w:sz w:val="24"/>
          <w:szCs w:val="24"/>
        </w:rPr>
        <w:t>provisioning</w:t>
      </w:r>
      <w:r w:rsidRPr="00374EAB">
        <w:rPr>
          <w:rFonts w:ascii="Calibri" w:hAnsi="Calibri" w:cs="Calibri"/>
          <w:color w:val="000000"/>
          <w:sz w:val="24"/>
          <w:szCs w:val="24"/>
        </w:rPr>
        <w:t xml:space="preserve">. </w:t>
      </w:r>
    </w:p>
    <w:p w:rsidR="006F4549" w:rsidRDefault="00011FE8" w:rsidP="00E12764">
      <w:pPr>
        <w:pStyle w:val="Heading1"/>
        <w:numPr>
          <w:ilvl w:val="0"/>
          <w:numId w:val="15"/>
        </w:numPr>
        <w:rPr>
          <w:b/>
        </w:rPr>
      </w:pPr>
      <w:bookmarkStart w:id="4" w:name="_Toc471759966"/>
      <w:r>
        <w:rPr>
          <w:b/>
        </w:rPr>
        <w:t xml:space="preserve">HIPAA </w:t>
      </w:r>
      <w:r w:rsidR="00E12764" w:rsidRPr="00E12764">
        <w:rPr>
          <w:b/>
        </w:rPr>
        <w:t>Guideline Source</w:t>
      </w:r>
      <w:bookmarkEnd w:id="4"/>
    </w:p>
    <w:p w:rsidR="006F4549" w:rsidRPr="006F4549" w:rsidRDefault="00544142" w:rsidP="006F4549">
      <w:pPr>
        <w:pStyle w:val="ListParagraph"/>
        <w:rPr>
          <w:rFonts w:ascii="Calibri" w:hAnsi="Calibri" w:cs="Calibri"/>
          <w:color w:val="000000"/>
          <w:sz w:val="24"/>
          <w:szCs w:val="24"/>
        </w:rPr>
      </w:pPr>
      <w:r w:rsidRPr="006F4549">
        <w:rPr>
          <w:rFonts w:ascii="Calibri" w:hAnsi="Calibri" w:cs="Calibri"/>
          <w:color w:val="000000"/>
          <w:sz w:val="24"/>
          <w:szCs w:val="24"/>
        </w:rPr>
        <w:t>R</w:t>
      </w:r>
      <w:r>
        <w:rPr>
          <w:rFonts w:ascii="Calibri" w:hAnsi="Calibri" w:cs="Calibri"/>
          <w:color w:val="000000"/>
          <w:sz w:val="24"/>
          <w:szCs w:val="24"/>
        </w:rPr>
        <w:t>eference</w:t>
      </w:r>
    </w:p>
    <w:tbl>
      <w:tblPr>
        <w:tblStyle w:val="TableGrid"/>
        <w:tblW w:w="8550" w:type="dxa"/>
        <w:tblInd w:w="985" w:type="dxa"/>
        <w:tblLayout w:type="fixed"/>
        <w:tblLook w:val="04A0" w:firstRow="1" w:lastRow="0" w:firstColumn="1" w:lastColumn="0" w:noHBand="0" w:noVBand="1"/>
      </w:tblPr>
      <w:tblGrid>
        <w:gridCol w:w="450"/>
        <w:gridCol w:w="1350"/>
        <w:gridCol w:w="6750"/>
      </w:tblGrid>
      <w:tr w:rsidR="006F4549" w:rsidRPr="00B77E58" w:rsidTr="00FC3277">
        <w:tc>
          <w:tcPr>
            <w:tcW w:w="450" w:type="dxa"/>
          </w:tcPr>
          <w:p w:rsidR="006F4549" w:rsidRPr="00B77E58" w:rsidRDefault="006F4549" w:rsidP="00FC3277">
            <w:pPr>
              <w:rPr>
                <w:rFonts w:ascii="Calibri" w:hAnsi="Calibri" w:cs="Calibri"/>
                <w:color w:val="000000"/>
                <w:sz w:val="24"/>
                <w:szCs w:val="24"/>
              </w:rPr>
            </w:pPr>
            <w:r w:rsidRPr="00B77E58">
              <w:rPr>
                <w:rFonts w:ascii="Calibri" w:hAnsi="Calibri" w:cs="Calibri"/>
                <w:color w:val="000000"/>
                <w:sz w:val="24"/>
                <w:szCs w:val="24"/>
              </w:rPr>
              <w:t>#</w:t>
            </w:r>
          </w:p>
        </w:tc>
        <w:tc>
          <w:tcPr>
            <w:tcW w:w="1350" w:type="dxa"/>
          </w:tcPr>
          <w:p w:rsidR="006F4549" w:rsidRPr="00B77E58" w:rsidRDefault="006F4549" w:rsidP="00FC3277">
            <w:pPr>
              <w:rPr>
                <w:rFonts w:ascii="Calibri" w:hAnsi="Calibri" w:cs="Calibri"/>
                <w:color w:val="000000"/>
                <w:sz w:val="24"/>
                <w:szCs w:val="24"/>
              </w:rPr>
            </w:pPr>
            <w:r w:rsidRPr="00B77E58">
              <w:rPr>
                <w:rFonts w:ascii="Calibri" w:hAnsi="Calibri" w:cs="Calibri"/>
                <w:color w:val="000000"/>
                <w:sz w:val="24"/>
                <w:szCs w:val="24"/>
              </w:rPr>
              <w:t>Source</w:t>
            </w:r>
          </w:p>
        </w:tc>
        <w:tc>
          <w:tcPr>
            <w:tcW w:w="6750" w:type="dxa"/>
          </w:tcPr>
          <w:p w:rsidR="006F4549" w:rsidRPr="00B77E58" w:rsidRDefault="006F4549" w:rsidP="00FC3277">
            <w:pPr>
              <w:rPr>
                <w:rFonts w:ascii="Calibri" w:hAnsi="Calibri" w:cs="Calibri"/>
                <w:color w:val="000000"/>
                <w:sz w:val="24"/>
                <w:szCs w:val="24"/>
              </w:rPr>
            </w:pPr>
            <w:r w:rsidRPr="00B77E58">
              <w:rPr>
                <w:rFonts w:ascii="Calibri" w:hAnsi="Calibri" w:cs="Calibri"/>
                <w:color w:val="000000"/>
                <w:sz w:val="24"/>
                <w:szCs w:val="24"/>
              </w:rPr>
              <w:t>Link</w:t>
            </w:r>
          </w:p>
        </w:tc>
      </w:tr>
      <w:tr w:rsidR="006F4549" w:rsidRPr="00B77E58" w:rsidTr="00FC3277">
        <w:tc>
          <w:tcPr>
            <w:tcW w:w="450" w:type="dxa"/>
          </w:tcPr>
          <w:p w:rsidR="006F4549" w:rsidRPr="00B77E58" w:rsidRDefault="006F4549" w:rsidP="00FC3277">
            <w:pPr>
              <w:rPr>
                <w:rFonts w:ascii="Calibri" w:hAnsi="Calibri" w:cs="Calibri"/>
                <w:color w:val="000000"/>
                <w:sz w:val="24"/>
                <w:szCs w:val="24"/>
              </w:rPr>
            </w:pPr>
            <w:r>
              <w:rPr>
                <w:rFonts w:ascii="Calibri" w:hAnsi="Calibri" w:cs="Calibri"/>
                <w:color w:val="000000"/>
                <w:sz w:val="24"/>
                <w:szCs w:val="24"/>
              </w:rPr>
              <w:t>1</w:t>
            </w:r>
          </w:p>
        </w:tc>
        <w:tc>
          <w:tcPr>
            <w:tcW w:w="1350" w:type="dxa"/>
          </w:tcPr>
          <w:p w:rsidR="006F4549" w:rsidRPr="00B77E58" w:rsidRDefault="006F4549" w:rsidP="00FC3277">
            <w:pPr>
              <w:rPr>
                <w:rFonts w:ascii="Calibri" w:hAnsi="Calibri" w:cs="Calibri"/>
                <w:color w:val="000000"/>
                <w:sz w:val="24"/>
                <w:szCs w:val="24"/>
              </w:rPr>
            </w:pPr>
            <w:r w:rsidRPr="00B77E58">
              <w:rPr>
                <w:rFonts w:ascii="Calibri" w:hAnsi="Calibri" w:cs="Calibri"/>
                <w:b/>
                <w:color w:val="000000"/>
                <w:sz w:val="24"/>
                <w:szCs w:val="24"/>
              </w:rPr>
              <w:t>Microsoft</w:t>
            </w:r>
          </w:p>
        </w:tc>
        <w:tc>
          <w:tcPr>
            <w:tcW w:w="6750" w:type="dxa"/>
          </w:tcPr>
          <w:p w:rsidR="006F4549" w:rsidRPr="00B77E58" w:rsidRDefault="00C2795C" w:rsidP="00FC3277">
            <w:pPr>
              <w:rPr>
                <w:rFonts w:ascii="Calibri" w:hAnsi="Calibri" w:cs="Calibri"/>
                <w:color w:val="000000"/>
                <w:sz w:val="24"/>
                <w:szCs w:val="24"/>
              </w:rPr>
            </w:pPr>
            <w:hyperlink r:id="rId8" w:history="1">
              <w:r w:rsidR="006F4549" w:rsidRPr="007E17E2">
                <w:rPr>
                  <w:rStyle w:val="Hyperlink"/>
                </w:rPr>
                <w:t>http://download.microsoft.com/download/8/4/8/8483b6a9-1865-4d17-b6f1-5b66d5c29b10/windows%20azure%20hipaa%20implementation%20guidance.pdf</w:t>
              </w:r>
            </w:hyperlink>
            <w:r w:rsidR="00031AEC">
              <w:rPr>
                <w:rStyle w:val="Hyperlink"/>
              </w:rPr>
              <w:t xml:space="preserve"> </w:t>
            </w:r>
          </w:p>
        </w:tc>
      </w:tr>
      <w:tr w:rsidR="006F4549" w:rsidRPr="00B77E58" w:rsidTr="00FC3277">
        <w:tc>
          <w:tcPr>
            <w:tcW w:w="450" w:type="dxa"/>
          </w:tcPr>
          <w:p w:rsidR="006F4549" w:rsidRPr="00B77E58" w:rsidRDefault="006F4549" w:rsidP="00FC3277">
            <w:pPr>
              <w:rPr>
                <w:rFonts w:ascii="Calibri" w:hAnsi="Calibri" w:cs="Calibri"/>
                <w:color w:val="000000"/>
                <w:sz w:val="24"/>
                <w:szCs w:val="24"/>
              </w:rPr>
            </w:pPr>
            <w:r>
              <w:rPr>
                <w:rFonts w:ascii="Calibri" w:hAnsi="Calibri" w:cs="Calibri"/>
                <w:color w:val="000000"/>
                <w:sz w:val="24"/>
                <w:szCs w:val="24"/>
              </w:rPr>
              <w:t>2</w:t>
            </w:r>
          </w:p>
        </w:tc>
        <w:tc>
          <w:tcPr>
            <w:tcW w:w="1350" w:type="dxa"/>
          </w:tcPr>
          <w:p w:rsidR="006F4549" w:rsidRPr="00B77E58" w:rsidRDefault="006F4549" w:rsidP="00FC3277">
            <w:pPr>
              <w:rPr>
                <w:rFonts w:ascii="Calibri" w:hAnsi="Calibri" w:cs="Calibri"/>
                <w:color w:val="000000"/>
                <w:sz w:val="24"/>
                <w:szCs w:val="24"/>
              </w:rPr>
            </w:pPr>
            <w:r w:rsidRPr="00B77E58">
              <w:rPr>
                <w:rFonts w:ascii="Calibri" w:hAnsi="Calibri" w:cs="Calibri"/>
                <w:b/>
                <w:color w:val="000000"/>
                <w:sz w:val="24"/>
                <w:szCs w:val="24"/>
              </w:rPr>
              <w:t>GIS Team</w:t>
            </w:r>
          </w:p>
        </w:tc>
        <w:tc>
          <w:tcPr>
            <w:tcW w:w="6750" w:type="dxa"/>
          </w:tcPr>
          <w:p w:rsidR="006F4549" w:rsidRPr="00B77E58" w:rsidRDefault="009114D1" w:rsidP="00232AC5">
            <w:pPr>
              <w:rPr>
                <w:rFonts w:ascii="Calibri" w:hAnsi="Calibri" w:cs="Calibri"/>
                <w:color w:val="000000"/>
                <w:sz w:val="24"/>
                <w:szCs w:val="24"/>
              </w:rPr>
            </w:pPr>
            <w:r>
              <w:rPr>
                <w:rFonts w:ascii="Calibri" w:hAnsi="Calibri" w:cs="Calibri"/>
                <w:color w:val="000000"/>
                <w:sz w:val="24"/>
                <w:szCs w:val="24"/>
              </w:rPr>
              <w:t>Mathew Bawol</w:t>
            </w:r>
            <w:r w:rsidR="00232AC5">
              <w:rPr>
                <w:rFonts w:ascii="Calibri" w:hAnsi="Calibri" w:cs="Calibri"/>
                <w:color w:val="000000"/>
                <w:sz w:val="24"/>
                <w:szCs w:val="24"/>
              </w:rPr>
              <w:t xml:space="preserve"> and Tom Corlenius from corporate Security team during HC Internal product (Claimsphere) Azure Infra provisioning project</w:t>
            </w:r>
          </w:p>
        </w:tc>
      </w:tr>
    </w:tbl>
    <w:p w:rsidR="006F4549" w:rsidRPr="006F4549" w:rsidRDefault="006F4549" w:rsidP="006F4549"/>
    <w:p w:rsidR="001D09BD" w:rsidRPr="00E12764" w:rsidRDefault="00E12764" w:rsidP="00E12764">
      <w:pPr>
        <w:pStyle w:val="Heading1"/>
        <w:numPr>
          <w:ilvl w:val="0"/>
          <w:numId w:val="15"/>
        </w:numPr>
        <w:rPr>
          <w:b/>
        </w:rPr>
      </w:pPr>
      <w:r w:rsidRPr="00E12764">
        <w:rPr>
          <w:b/>
        </w:rPr>
        <w:t xml:space="preserve"> </w:t>
      </w:r>
      <w:bookmarkStart w:id="5" w:name="_Toc471759967"/>
      <w:r w:rsidR="006F4549" w:rsidRPr="00E12764">
        <w:rPr>
          <w:b/>
        </w:rPr>
        <w:t>Microsoft Azure HIPAA/HITECH Act Compliance</w:t>
      </w:r>
      <w:bookmarkEnd w:id="5"/>
    </w:p>
    <w:p w:rsidR="008D067F" w:rsidRPr="008D067F" w:rsidRDefault="008D067F" w:rsidP="008D067F">
      <w:pPr>
        <w:pStyle w:val="Default"/>
        <w:ind w:left="735"/>
      </w:pPr>
      <w:r w:rsidRPr="008D067F">
        <w:t xml:space="preserve">Azure employs a risk-management model of shared-responsibility between the customer and Microsoft. Microsoft is responsible for the platform including services offered, and seeks to provide a cloud service that can meet the security, privacy, and compliance needs of customers. Customers are responsible for their environment once the service has been provisioned, including </w:t>
      </w:r>
      <w:r>
        <w:t>the</w:t>
      </w:r>
      <w:r w:rsidRPr="008D067F">
        <w:t xml:space="preserve"> applications, data content, virtual machines, access credentials, and compliance with regulatory requirements applicable to their particular industry and locale. </w:t>
      </w:r>
    </w:p>
    <w:p w:rsidR="008D067F" w:rsidRPr="008D067F" w:rsidRDefault="008D067F" w:rsidP="008D067F">
      <w:pPr>
        <w:pStyle w:val="ListParagraph"/>
        <w:ind w:left="735"/>
        <w:rPr>
          <w:rFonts w:ascii="Calibri" w:hAnsi="Calibri" w:cs="Calibri"/>
          <w:color w:val="000000"/>
          <w:sz w:val="24"/>
          <w:szCs w:val="24"/>
        </w:rPr>
      </w:pPr>
      <w:r w:rsidRPr="008D067F">
        <w:rPr>
          <w:rFonts w:ascii="Calibri" w:hAnsi="Calibri" w:cs="Calibri"/>
          <w:color w:val="000000"/>
          <w:sz w:val="24"/>
          <w:szCs w:val="24"/>
        </w:rPr>
        <w:t>It is possible to use Azure in a way that complies with HIPAA and HITECH Act requirements. However, customers are responsible for determining if the Azure services and the particular applications they intend to run in Azure comply with HIPAA and HITECH Act requirements. Microsoft does not analyze customer data or applications deployed in Azure.</w:t>
      </w:r>
    </w:p>
    <w:p w:rsidR="00F168E4" w:rsidRDefault="00F168E4" w:rsidP="008D067F">
      <w:pPr>
        <w:ind w:firstLine="720"/>
        <w:rPr>
          <w:rFonts w:ascii="Calibri" w:hAnsi="Calibri" w:cs="Calibri"/>
          <w:color w:val="000000"/>
          <w:sz w:val="24"/>
          <w:szCs w:val="24"/>
        </w:rPr>
      </w:pPr>
      <w:r w:rsidRPr="00F168E4">
        <w:rPr>
          <w:rFonts w:ascii="Calibri" w:hAnsi="Calibri" w:cs="Calibri"/>
          <w:color w:val="000000"/>
          <w:sz w:val="24"/>
          <w:szCs w:val="24"/>
        </w:rPr>
        <w:t xml:space="preserve">The following Azure features are in scope for the HIPAA BAA: </w:t>
      </w:r>
    </w:p>
    <w:p w:rsidR="00F168E4" w:rsidRPr="00F168E4" w:rsidRDefault="00F168E4" w:rsidP="00F168E4">
      <w:pPr>
        <w:pStyle w:val="ListParagraph"/>
        <w:numPr>
          <w:ilvl w:val="0"/>
          <w:numId w:val="13"/>
        </w:numPr>
        <w:rPr>
          <w:rFonts w:ascii="Calibri" w:hAnsi="Calibri" w:cs="Calibri"/>
          <w:color w:val="000000"/>
          <w:sz w:val="24"/>
          <w:szCs w:val="24"/>
        </w:rPr>
      </w:pPr>
      <w:r w:rsidRPr="00F168E4">
        <w:rPr>
          <w:rFonts w:ascii="Calibri" w:hAnsi="Calibri" w:cs="Calibri"/>
          <w:color w:val="000000"/>
          <w:sz w:val="24"/>
          <w:szCs w:val="24"/>
        </w:rPr>
        <w:t>Cloud Services (web and worker roles)</w:t>
      </w:r>
    </w:p>
    <w:p w:rsidR="00F168E4" w:rsidRPr="00F168E4" w:rsidRDefault="00F168E4" w:rsidP="00F168E4">
      <w:pPr>
        <w:pStyle w:val="ListParagraph"/>
        <w:numPr>
          <w:ilvl w:val="0"/>
          <w:numId w:val="13"/>
        </w:numPr>
        <w:rPr>
          <w:rFonts w:ascii="Calibri" w:hAnsi="Calibri" w:cs="Calibri"/>
          <w:color w:val="000000"/>
          <w:sz w:val="24"/>
          <w:szCs w:val="24"/>
        </w:rPr>
      </w:pPr>
      <w:r w:rsidRPr="00F168E4">
        <w:rPr>
          <w:rFonts w:ascii="Calibri" w:hAnsi="Calibri" w:cs="Calibri"/>
          <w:color w:val="000000"/>
          <w:sz w:val="24"/>
          <w:szCs w:val="24"/>
        </w:rPr>
        <w:t>Virtual Machines (including with SQL Server)</w:t>
      </w:r>
    </w:p>
    <w:p w:rsidR="00F168E4" w:rsidRPr="00F168E4" w:rsidRDefault="00F168E4" w:rsidP="00F168E4">
      <w:pPr>
        <w:pStyle w:val="ListParagraph"/>
        <w:numPr>
          <w:ilvl w:val="0"/>
          <w:numId w:val="13"/>
        </w:numPr>
        <w:rPr>
          <w:rFonts w:ascii="Calibri" w:hAnsi="Calibri" w:cs="Calibri"/>
          <w:color w:val="000000"/>
          <w:sz w:val="24"/>
          <w:szCs w:val="24"/>
        </w:rPr>
      </w:pPr>
      <w:r w:rsidRPr="00F168E4">
        <w:rPr>
          <w:rFonts w:ascii="Calibri" w:hAnsi="Calibri" w:cs="Calibri"/>
          <w:color w:val="000000"/>
          <w:sz w:val="24"/>
          <w:szCs w:val="24"/>
        </w:rPr>
        <w:t>Storage (Blobs, Tables, Queues)</w:t>
      </w:r>
    </w:p>
    <w:p w:rsidR="00F168E4" w:rsidRPr="00F168E4" w:rsidRDefault="00F168E4" w:rsidP="00F168E4">
      <w:pPr>
        <w:pStyle w:val="ListParagraph"/>
        <w:numPr>
          <w:ilvl w:val="0"/>
          <w:numId w:val="13"/>
        </w:numPr>
        <w:rPr>
          <w:rFonts w:ascii="Calibri" w:hAnsi="Calibri" w:cs="Calibri"/>
          <w:color w:val="000000"/>
          <w:sz w:val="24"/>
          <w:szCs w:val="24"/>
        </w:rPr>
      </w:pPr>
      <w:r w:rsidRPr="00F168E4">
        <w:rPr>
          <w:rFonts w:ascii="Calibri" w:hAnsi="Calibri" w:cs="Calibri"/>
          <w:color w:val="000000"/>
          <w:sz w:val="24"/>
          <w:szCs w:val="24"/>
        </w:rPr>
        <w:t>Virtual Network, Traffic Manager</w:t>
      </w:r>
    </w:p>
    <w:p w:rsidR="00F168E4" w:rsidRPr="00F168E4" w:rsidRDefault="00F168E4" w:rsidP="00F168E4">
      <w:pPr>
        <w:pStyle w:val="ListParagraph"/>
        <w:numPr>
          <w:ilvl w:val="0"/>
          <w:numId w:val="13"/>
        </w:numPr>
        <w:rPr>
          <w:rFonts w:ascii="Calibri" w:hAnsi="Calibri" w:cs="Calibri"/>
          <w:color w:val="000000"/>
          <w:sz w:val="24"/>
          <w:szCs w:val="24"/>
        </w:rPr>
      </w:pPr>
      <w:r w:rsidRPr="00F168E4">
        <w:rPr>
          <w:rFonts w:ascii="Calibri" w:hAnsi="Calibri" w:cs="Calibri"/>
          <w:color w:val="000000"/>
          <w:sz w:val="24"/>
          <w:szCs w:val="24"/>
        </w:rPr>
        <w:t>Web Sites</w:t>
      </w:r>
    </w:p>
    <w:p w:rsidR="00F168E4" w:rsidRPr="00F168E4" w:rsidRDefault="00F168E4" w:rsidP="00F168E4">
      <w:pPr>
        <w:pStyle w:val="ListParagraph"/>
        <w:numPr>
          <w:ilvl w:val="0"/>
          <w:numId w:val="13"/>
        </w:numPr>
        <w:rPr>
          <w:rFonts w:ascii="Calibri" w:hAnsi="Calibri" w:cs="Calibri"/>
          <w:color w:val="000000"/>
          <w:sz w:val="24"/>
          <w:szCs w:val="24"/>
        </w:rPr>
      </w:pPr>
      <w:r w:rsidRPr="00F168E4">
        <w:rPr>
          <w:rFonts w:ascii="Calibri" w:hAnsi="Calibri" w:cs="Calibri"/>
          <w:color w:val="000000"/>
          <w:sz w:val="24"/>
          <w:szCs w:val="24"/>
        </w:rPr>
        <w:t>BizTalk Services</w:t>
      </w:r>
    </w:p>
    <w:p w:rsidR="00F168E4" w:rsidRPr="00F168E4" w:rsidRDefault="00F168E4" w:rsidP="00F168E4">
      <w:pPr>
        <w:pStyle w:val="ListParagraph"/>
        <w:numPr>
          <w:ilvl w:val="0"/>
          <w:numId w:val="13"/>
        </w:numPr>
        <w:rPr>
          <w:rFonts w:ascii="Calibri" w:hAnsi="Calibri" w:cs="Calibri"/>
          <w:color w:val="000000"/>
          <w:sz w:val="24"/>
          <w:szCs w:val="24"/>
        </w:rPr>
      </w:pPr>
      <w:r w:rsidRPr="00F168E4">
        <w:rPr>
          <w:rFonts w:ascii="Calibri" w:hAnsi="Calibri" w:cs="Calibri"/>
          <w:color w:val="000000"/>
          <w:sz w:val="24"/>
          <w:szCs w:val="24"/>
        </w:rPr>
        <w:t>Media Services</w:t>
      </w:r>
    </w:p>
    <w:p w:rsidR="00F168E4" w:rsidRPr="00F168E4" w:rsidRDefault="00F168E4" w:rsidP="00F168E4">
      <w:pPr>
        <w:pStyle w:val="ListParagraph"/>
        <w:numPr>
          <w:ilvl w:val="0"/>
          <w:numId w:val="13"/>
        </w:numPr>
        <w:rPr>
          <w:rFonts w:ascii="Calibri" w:hAnsi="Calibri" w:cs="Calibri"/>
          <w:color w:val="000000"/>
          <w:sz w:val="24"/>
          <w:szCs w:val="24"/>
        </w:rPr>
      </w:pPr>
      <w:r w:rsidRPr="00F168E4">
        <w:rPr>
          <w:rFonts w:ascii="Calibri" w:hAnsi="Calibri" w:cs="Calibri"/>
          <w:color w:val="000000"/>
          <w:sz w:val="24"/>
          <w:szCs w:val="24"/>
        </w:rPr>
        <w:t>Mobile Services</w:t>
      </w:r>
    </w:p>
    <w:p w:rsidR="00F168E4" w:rsidRPr="00F168E4" w:rsidRDefault="00F168E4" w:rsidP="00F168E4">
      <w:pPr>
        <w:pStyle w:val="ListParagraph"/>
        <w:numPr>
          <w:ilvl w:val="0"/>
          <w:numId w:val="13"/>
        </w:numPr>
        <w:rPr>
          <w:rFonts w:ascii="Calibri" w:hAnsi="Calibri" w:cs="Calibri"/>
          <w:color w:val="000000"/>
          <w:sz w:val="24"/>
          <w:szCs w:val="24"/>
        </w:rPr>
      </w:pPr>
      <w:r w:rsidRPr="00F168E4">
        <w:rPr>
          <w:rFonts w:ascii="Calibri" w:hAnsi="Calibri" w:cs="Calibri"/>
          <w:color w:val="000000"/>
          <w:sz w:val="24"/>
          <w:szCs w:val="24"/>
        </w:rPr>
        <w:t>Service Bus</w:t>
      </w:r>
    </w:p>
    <w:p w:rsidR="00F168E4" w:rsidRPr="00F168E4" w:rsidRDefault="00F168E4" w:rsidP="00F168E4">
      <w:pPr>
        <w:pStyle w:val="ListParagraph"/>
        <w:numPr>
          <w:ilvl w:val="0"/>
          <w:numId w:val="13"/>
        </w:numPr>
        <w:rPr>
          <w:rFonts w:ascii="Calibri" w:hAnsi="Calibri" w:cs="Calibri"/>
          <w:color w:val="000000"/>
          <w:sz w:val="24"/>
          <w:szCs w:val="24"/>
        </w:rPr>
      </w:pPr>
      <w:r w:rsidRPr="00F168E4">
        <w:rPr>
          <w:rFonts w:ascii="Calibri" w:hAnsi="Calibri" w:cs="Calibri"/>
          <w:color w:val="000000"/>
          <w:sz w:val="24"/>
          <w:szCs w:val="24"/>
        </w:rPr>
        <w:t>Multi-Factor Authentication</w:t>
      </w:r>
    </w:p>
    <w:p w:rsidR="00F168E4" w:rsidRPr="00F168E4" w:rsidRDefault="00F168E4" w:rsidP="00F168E4">
      <w:pPr>
        <w:pStyle w:val="ListParagraph"/>
        <w:numPr>
          <w:ilvl w:val="0"/>
          <w:numId w:val="13"/>
        </w:numPr>
        <w:rPr>
          <w:rFonts w:ascii="Calibri" w:hAnsi="Calibri" w:cs="Calibri"/>
          <w:color w:val="000000"/>
          <w:sz w:val="24"/>
          <w:szCs w:val="24"/>
        </w:rPr>
      </w:pPr>
      <w:r w:rsidRPr="00F168E4">
        <w:rPr>
          <w:rFonts w:ascii="Calibri" w:hAnsi="Calibri" w:cs="Calibri"/>
          <w:color w:val="000000"/>
          <w:sz w:val="24"/>
          <w:szCs w:val="24"/>
        </w:rPr>
        <w:lastRenderedPageBreak/>
        <w:t>Active Directory</w:t>
      </w:r>
    </w:p>
    <w:p w:rsidR="00F168E4" w:rsidRDefault="00F168E4" w:rsidP="00F168E4">
      <w:pPr>
        <w:pStyle w:val="ListParagraph"/>
        <w:numPr>
          <w:ilvl w:val="0"/>
          <w:numId w:val="13"/>
        </w:numPr>
        <w:rPr>
          <w:rFonts w:ascii="Calibri" w:hAnsi="Calibri" w:cs="Calibri"/>
          <w:color w:val="000000"/>
          <w:sz w:val="24"/>
          <w:szCs w:val="24"/>
        </w:rPr>
      </w:pPr>
      <w:r w:rsidRPr="00F168E4">
        <w:rPr>
          <w:rFonts w:ascii="Calibri" w:hAnsi="Calibri" w:cs="Calibri"/>
          <w:color w:val="000000"/>
          <w:sz w:val="24"/>
          <w:szCs w:val="24"/>
        </w:rPr>
        <w:t>SQL Database, and any other features identified as included on the Azure Trust Center</w:t>
      </w:r>
    </w:p>
    <w:p w:rsidR="005D1CCF" w:rsidRPr="00F168E4" w:rsidRDefault="005D1CCF" w:rsidP="005D1CCF">
      <w:pPr>
        <w:pStyle w:val="ListParagraph"/>
        <w:ind w:left="1440"/>
        <w:rPr>
          <w:rFonts w:ascii="Calibri" w:hAnsi="Calibri" w:cs="Calibri"/>
          <w:color w:val="000000"/>
          <w:sz w:val="24"/>
          <w:szCs w:val="24"/>
        </w:rPr>
      </w:pPr>
    </w:p>
    <w:p w:rsidR="006F4549" w:rsidRPr="00E12764" w:rsidRDefault="006F4549" w:rsidP="006F4549">
      <w:pPr>
        <w:pStyle w:val="Heading1"/>
        <w:numPr>
          <w:ilvl w:val="0"/>
          <w:numId w:val="15"/>
        </w:numPr>
        <w:rPr>
          <w:b/>
        </w:rPr>
      </w:pPr>
      <w:bookmarkStart w:id="6" w:name="_Toc471759968"/>
      <w:r w:rsidRPr="006F4549">
        <w:rPr>
          <w:b/>
        </w:rPr>
        <w:t xml:space="preserve">Signing a Microsoft Business Associate </w:t>
      </w:r>
      <w:r w:rsidR="000F7930" w:rsidRPr="006F4549">
        <w:rPr>
          <w:b/>
        </w:rPr>
        <w:t>Agreement (</w:t>
      </w:r>
      <w:r w:rsidRPr="006F4549">
        <w:rPr>
          <w:b/>
        </w:rPr>
        <w:t>BAA)</w:t>
      </w:r>
      <w:bookmarkEnd w:id="6"/>
    </w:p>
    <w:p w:rsidR="008D067F" w:rsidRPr="008D067F" w:rsidRDefault="008D067F" w:rsidP="008D067F">
      <w:pPr>
        <w:pStyle w:val="ListParagraph"/>
        <w:ind w:left="735"/>
        <w:rPr>
          <w:rFonts w:ascii="Calibri" w:hAnsi="Calibri" w:cs="Calibri"/>
          <w:color w:val="000000"/>
          <w:sz w:val="24"/>
          <w:szCs w:val="24"/>
        </w:rPr>
      </w:pPr>
      <w:r w:rsidRPr="008D067F">
        <w:rPr>
          <w:rFonts w:ascii="Calibri" w:hAnsi="Calibri" w:cs="Calibri"/>
          <w:color w:val="000000"/>
          <w:sz w:val="24"/>
          <w:szCs w:val="24"/>
        </w:rPr>
        <w:t xml:space="preserve">To help comply with HIPAA and the HITECH Act, a customer may sign a written agreement with Microsoft called the </w:t>
      </w:r>
      <w:r w:rsidRPr="008D067F">
        <w:rPr>
          <w:rFonts w:ascii="Calibri" w:hAnsi="Calibri" w:cs="Calibri"/>
          <w:b/>
          <w:color w:val="000000"/>
          <w:sz w:val="24"/>
          <w:szCs w:val="24"/>
        </w:rPr>
        <w:t>Business Associate Agreement (BAA)</w:t>
      </w:r>
      <w:r w:rsidRPr="008D067F">
        <w:rPr>
          <w:rFonts w:ascii="Calibri" w:hAnsi="Calibri" w:cs="Calibri"/>
          <w:color w:val="000000"/>
          <w:sz w:val="24"/>
          <w:szCs w:val="24"/>
        </w:rPr>
        <w:t xml:space="preserve">. Microsoft currently offers the BAA only to its Enterprise Agreement (volume licensing) customers and only for the services </w:t>
      </w:r>
      <w:r>
        <w:rPr>
          <w:rFonts w:ascii="Calibri" w:hAnsi="Calibri" w:cs="Calibri"/>
          <w:color w:val="000000"/>
          <w:sz w:val="24"/>
          <w:szCs w:val="24"/>
        </w:rPr>
        <w:t>mentioned in Azure HIPAA/HITECH Act Compliance</w:t>
      </w:r>
      <w:r w:rsidRPr="008D067F">
        <w:rPr>
          <w:rFonts w:ascii="Calibri" w:hAnsi="Calibri" w:cs="Calibri"/>
          <w:color w:val="000000"/>
          <w:sz w:val="24"/>
          <w:szCs w:val="24"/>
        </w:rPr>
        <w:t>. Customers should contact Microsoft account manager to sign the BAA.</w:t>
      </w:r>
    </w:p>
    <w:p w:rsidR="008D067F" w:rsidRPr="008D067F" w:rsidRDefault="008D067F" w:rsidP="008D067F">
      <w:pPr>
        <w:pStyle w:val="ListParagraph"/>
        <w:ind w:left="735"/>
        <w:rPr>
          <w:rFonts w:ascii="Calibri" w:hAnsi="Calibri" w:cs="Calibri"/>
          <w:color w:val="000000"/>
          <w:sz w:val="24"/>
          <w:szCs w:val="24"/>
        </w:rPr>
      </w:pPr>
    </w:p>
    <w:p w:rsidR="008D067F" w:rsidRPr="008D067F" w:rsidRDefault="008D067F" w:rsidP="008D067F">
      <w:pPr>
        <w:pStyle w:val="ListParagraph"/>
        <w:ind w:left="735"/>
        <w:rPr>
          <w:rFonts w:ascii="Calibri" w:hAnsi="Calibri" w:cs="Calibri"/>
          <w:color w:val="000000"/>
          <w:sz w:val="24"/>
          <w:szCs w:val="24"/>
        </w:rPr>
      </w:pPr>
      <w:r w:rsidRPr="008D067F">
        <w:rPr>
          <w:rFonts w:ascii="Calibri" w:hAnsi="Calibri" w:cs="Calibri"/>
          <w:color w:val="000000"/>
          <w:sz w:val="24"/>
          <w:szCs w:val="24"/>
        </w:rPr>
        <w:t xml:space="preserve">Customers signing the BAA should email </w:t>
      </w:r>
      <w:r w:rsidRPr="008D067F">
        <w:rPr>
          <w:rFonts w:ascii="Calibri" w:hAnsi="Calibri" w:cs="Calibri"/>
          <w:b/>
          <w:color w:val="000000"/>
          <w:sz w:val="24"/>
          <w:szCs w:val="24"/>
        </w:rPr>
        <w:t>MSO-HIPAA@microsoft.com</w:t>
      </w:r>
      <w:r w:rsidRPr="008D067F">
        <w:rPr>
          <w:rFonts w:ascii="Calibri" w:hAnsi="Calibri" w:cs="Calibri"/>
          <w:color w:val="000000"/>
          <w:sz w:val="24"/>
          <w:szCs w:val="24"/>
        </w:rPr>
        <w:t xml:space="preserve"> </w:t>
      </w:r>
      <w:r>
        <w:rPr>
          <w:rFonts w:ascii="Calibri" w:hAnsi="Calibri" w:cs="Calibri"/>
          <w:color w:val="000000"/>
          <w:sz w:val="24"/>
          <w:szCs w:val="24"/>
        </w:rPr>
        <w:t xml:space="preserve">with </w:t>
      </w:r>
      <w:r w:rsidRPr="008D067F">
        <w:rPr>
          <w:rFonts w:ascii="Calibri" w:hAnsi="Calibri" w:cs="Calibri"/>
          <w:color w:val="000000"/>
          <w:sz w:val="24"/>
          <w:szCs w:val="24"/>
        </w:rPr>
        <w:t xml:space="preserve">the subscription ID(s) in which PHI </w:t>
      </w:r>
      <w:r>
        <w:rPr>
          <w:rFonts w:ascii="Calibri" w:hAnsi="Calibri" w:cs="Calibri"/>
          <w:color w:val="000000"/>
          <w:sz w:val="24"/>
          <w:szCs w:val="24"/>
        </w:rPr>
        <w:t>data are stored along with</w:t>
      </w:r>
      <w:r w:rsidRPr="008D067F">
        <w:rPr>
          <w:rFonts w:ascii="Calibri" w:hAnsi="Calibri" w:cs="Calibri"/>
          <w:color w:val="000000"/>
          <w:sz w:val="24"/>
          <w:szCs w:val="24"/>
        </w:rPr>
        <w:t xml:space="preserve"> HIPAA Administrative Contact to use for HIPAA-related communications.</w:t>
      </w:r>
    </w:p>
    <w:p w:rsidR="000F7930" w:rsidRPr="00E12764" w:rsidRDefault="00401305" w:rsidP="000F7930">
      <w:pPr>
        <w:pStyle w:val="Heading1"/>
        <w:numPr>
          <w:ilvl w:val="0"/>
          <w:numId w:val="15"/>
        </w:numPr>
        <w:rPr>
          <w:b/>
        </w:rPr>
      </w:pPr>
      <w:bookmarkStart w:id="7" w:name="_Toc471759969"/>
      <w:r>
        <w:rPr>
          <w:b/>
        </w:rPr>
        <w:t xml:space="preserve">General </w:t>
      </w:r>
      <w:r w:rsidR="000F7930" w:rsidRPr="000F7930">
        <w:rPr>
          <w:b/>
        </w:rPr>
        <w:t>HIPAA Compliance Guidelines</w:t>
      </w:r>
      <w:r w:rsidR="00232AC5">
        <w:rPr>
          <w:b/>
        </w:rPr>
        <w:t xml:space="preserve"> for Azure HC projects</w:t>
      </w:r>
      <w:bookmarkEnd w:id="7"/>
    </w:p>
    <w:p w:rsidR="000F7930" w:rsidRDefault="000F7930" w:rsidP="005D1CCF">
      <w:pPr>
        <w:ind w:left="735"/>
        <w:rPr>
          <w:rFonts w:ascii="Arial" w:eastAsia="Arial" w:hAnsi="Arial" w:cs="Arial"/>
        </w:rPr>
      </w:pPr>
    </w:p>
    <w:p w:rsidR="00C56FDA" w:rsidRDefault="005D1CCF" w:rsidP="005D1CCF">
      <w:pPr>
        <w:ind w:left="735"/>
        <w:rPr>
          <w:rFonts w:ascii="Calibri" w:hAnsi="Calibri" w:cs="Calibri"/>
          <w:color w:val="000000"/>
          <w:sz w:val="24"/>
          <w:szCs w:val="24"/>
        </w:rPr>
      </w:pPr>
      <w:r>
        <w:rPr>
          <w:rFonts w:ascii="Arial" w:eastAsia="Arial" w:hAnsi="Arial" w:cs="Arial"/>
        </w:rPr>
        <w:t>Guidelines are classified based on Azure Services and listed below</w:t>
      </w:r>
    </w:p>
    <w:p w:rsidR="00C56FDA" w:rsidRPr="005D1CCF" w:rsidRDefault="00C56FDA" w:rsidP="005D1CCF">
      <w:pPr>
        <w:ind w:firstLine="720"/>
        <w:rPr>
          <w:rFonts w:ascii="Calibri" w:hAnsi="Calibri" w:cs="Calibri"/>
          <w:b/>
          <w:color w:val="0070C0"/>
          <w:sz w:val="32"/>
          <w:szCs w:val="32"/>
        </w:rPr>
      </w:pPr>
      <w:r w:rsidRPr="005D1CCF">
        <w:rPr>
          <w:rFonts w:ascii="Calibri" w:hAnsi="Calibri" w:cs="Calibri"/>
          <w:b/>
          <w:color w:val="0070C0"/>
          <w:sz w:val="32"/>
          <w:szCs w:val="32"/>
        </w:rPr>
        <w:t>Network</w:t>
      </w:r>
    </w:p>
    <w:p w:rsidR="00C56FDA" w:rsidRDefault="00BF1BB9" w:rsidP="005D1CCF">
      <w:pPr>
        <w:pStyle w:val="ListParagraph"/>
        <w:numPr>
          <w:ilvl w:val="0"/>
          <w:numId w:val="6"/>
        </w:numPr>
        <w:rPr>
          <w:rFonts w:ascii="Calibri" w:hAnsi="Calibri" w:cs="Calibri"/>
          <w:color w:val="000000"/>
          <w:sz w:val="24"/>
          <w:szCs w:val="24"/>
        </w:rPr>
      </w:pPr>
      <w:r>
        <w:rPr>
          <w:rFonts w:ascii="Calibri" w:hAnsi="Calibri" w:cs="Calibri"/>
          <w:color w:val="000000"/>
          <w:sz w:val="24"/>
          <w:szCs w:val="24"/>
        </w:rPr>
        <w:t>Designated and allowed traffic should flow between the servers</w:t>
      </w:r>
      <w:r w:rsidR="00C56FDA">
        <w:rPr>
          <w:rFonts w:ascii="Calibri" w:hAnsi="Calibri" w:cs="Calibri"/>
          <w:color w:val="000000"/>
          <w:sz w:val="24"/>
          <w:szCs w:val="24"/>
        </w:rPr>
        <w:t>.</w:t>
      </w:r>
    </w:p>
    <w:p w:rsidR="006E117B" w:rsidRDefault="006E117B" w:rsidP="005D1CCF">
      <w:pPr>
        <w:pStyle w:val="ListParagraph"/>
        <w:numPr>
          <w:ilvl w:val="0"/>
          <w:numId w:val="6"/>
        </w:numPr>
        <w:jc w:val="both"/>
        <w:rPr>
          <w:rFonts w:ascii="Calibri" w:hAnsi="Calibri" w:cs="Calibri"/>
          <w:color w:val="000000"/>
          <w:sz w:val="24"/>
          <w:szCs w:val="24"/>
        </w:rPr>
      </w:pPr>
      <w:r w:rsidRPr="00DA1879">
        <w:rPr>
          <w:rFonts w:ascii="Calibri" w:hAnsi="Calibri" w:cs="Calibri"/>
          <w:color w:val="000000"/>
          <w:sz w:val="24"/>
          <w:szCs w:val="24"/>
        </w:rPr>
        <w:t xml:space="preserve">Routing of traffic with Route Table to prevent </w:t>
      </w:r>
      <w:r>
        <w:rPr>
          <w:rFonts w:ascii="Calibri" w:hAnsi="Calibri" w:cs="Calibri"/>
          <w:color w:val="000000"/>
          <w:sz w:val="24"/>
          <w:szCs w:val="24"/>
        </w:rPr>
        <w:t>direct access to servers which may lead to Security Issues.</w:t>
      </w:r>
    </w:p>
    <w:p w:rsidR="006E117B" w:rsidRDefault="006E117B" w:rsidP="005D1CCF">
      <w:pPr>
        <w:pStyle w:val="ListParagraph"/>
        <w:numPr>
          <w:ilvl w:val="0"/>
          <w:numId w:val="6"/>
        </w:numPr>
        <w:jc w:val="both"/>
        <w:rPr>
          <w:rFonts w:ascii="Calibri" w:hAnsi="Calibri" w:cs="Calibri"/>
          <w:color w:val="000000"/>
          <w:sz w:val="24"/>
          <w:szCs w:val="24"/>
        </w:rPr>
      </w:pPr>
      <w:r>
        <w:rPr>
          <w:rFonts w:ascii="Calibri" w:hAnsi="Calibri" w:cs="Calibri"/>
          <w:color w:val="000000"/>
          <w:sz w:val="24"/>
          <w:szCs w:val="24"/>
        </w:rPr>
        <w:t xml:space="preserve">Site to Site VPN </w:t>
      </w:r>
      <w:r w:rsidR="00BF1BB9">
        <w:rPr>
          <w:rFonts w:ascii="Calibri" w:hAnsi="Calibri" w:cs="Calibri"/>
          <w:color w:val="000000"/>
          <w:sz w:val="24"/>
          <w:szCs w:val="24"/>
        </w:rPr>
        <w:t xml:space="preserve">should be designed in such a way of </w:t>
      </w:r>
      <w:r>
        <w:rPr>
          <w:rFonts w:ascii="Calibri" w:hAnsi="Calibri" w:cs="Calibri"/>
          <w:color w:val="000000"/>
          <w:sz w:val="24"/>
          <w:szCs w:val="24"/>
        </w:rPr>
        <w:t>to restrict the direct access to Azure HIPAA environment from the on-premises to protect data security like copying of data or logs to the local computer.</w:t>
      </w:r>
    </w:p>
    <w:p w:rsidR="006E117B" w:rsidRDefault="006E117B" w:rsidP="005D1CCF">
      <w:pPr>
        <w:pStyle w:val="ListParagraph"/>
        <w:numPr>
          <w:ilvl w:val="0"/>
          <w:numId w:val="6"/>
        </w:numPr>
        <w:jc w:val="both"/>
        <w:rPr>
          <w:rFonts w:ascii="Calibri" w:hAnsi="Calibri" w:cs="Calibri"/>
          <w:color w:val="000000"/>
          <w:sz w:val="24"/>
          <w:szCs w:val="24"/>
        </w:rPr>
      </w:pPr>
      <w:r>
        <w:rPr>
          <w:rFonts w:ascii="Calibri" w:hAnsi="Calibri" w:cs="Calibri"/>
          <w:color w:val="000000"/>
          <w:sz w:val="24"/>
          <w:szCs w:val="24"/>
        </w:rPr>
        <w:t xml:space="preserve">Public IP </w:t>
      </w:r>
      <w:r w:rsidR="00BF1BB9">
        <w:rPr>
          <w:rFonts w:ascii="Calibri" w:hAnsi="Calibri" w:cs="Calibri"/>
          <w:color w:val="000000"/>
          <w:sz w:val="24"/>
          <w:szCs w:val="24"/>
        </w:rPr>
        <w:t xml:space="preserve">should be assigned on the need basis so as </w:t>
      </w:r>
      <w:r>
        <w:rPr>
          <w:rFonts w:ascii="Calibri" w:hAnsi="Calibri" w:cs="Calibri"/>
          <w:color w:val="000000"/>
          <w:sz w:val="24"/>
          <w:szCs w:val="24"/>
        </w:rPr>
        <w:t>to prevent access for all the servers from the internet.</w:t>
      </w:r>
    </w:p>
    <w:p w:rsidR="006E117B" w:rsidRDefault="006E117B" w:rsidP="005D1CCF">
      <w:pPr>
        <w:pStyle w:val="ListParagraph"/>
        <w:numPr>
          <w:ilvl w:val="0"/>
          <w:numId w:val="6"/>
        </w:numPr>
        <w:jc w:val="both"/>
        <w:rPr>
          <w:rFonts w:ascii="Calibri" w:hAnsi="Calibri" w:cs="Calibri"/>
          <w:color w:val="000000"/>
          <w:sz w:val="24"/>
          <w:szCs w:val="24"/>
        </w:rPr>
      </w:pPr>
      <w:r w:rsidRPr="006E117B">
        <w:rPr>
          <w:rFonts w:ascii="Calibri" w:hAnsi="Calibri" w:cs="Calibri"/>
          <w:color w:val="000000"/>
          <w:sz w:val="24"/>
          <w:szCs w:val="24"/>
        </w:rPr>
        <w:t>Servers should be logically separated between clients (not customers specifically). i.e. VDI access per business role and justification i</w:t>
      </w:r>
      <w:r>
        <w:rPr>
          <w:rFonts w:ascii="Calibri" w:hAnsi="Calibri" w:cs="Calibri"/>
          <w:color w:val="000000"/>
          <w:sz w:val="24"/>
          <w:szCs w:val="24"/>
        </w:rPr>
        <w:t>s only for required access. i.e.</w:t>
      </w:r>
      <w:r w:rsidRPr="006E117B">
        <w:rPr>
          <w:rFonts w:ascii="Calibri" w:hAnsi="Calibri" w:cs="Calibri"/>
          <w:color w:val="000000"/>
          <w:sz w:val="24"/>
          <w:szCs w:val="24"/>
        </w:rPr>
        <w:t xml:space="preserve"> BPaaS personnel should only access application BPaaS interface. Not access to the server / data center segment.</w:t>
      </w:r>
    </w:p>
    <w:p w:rsidR="006E117B" w:rsidRPr="006E117B" w:rsidRDefault="006E117B" w:rsidP="005D1CCF">
      <w:pPr>
        <w:pStyle w:val="ListParagraph"/>
        <w:numPr>
          <w:ilvl w:val="0"/>
          <w:numId w:val="6"/>
        </w:numPr>
        <w:jc w:val="both"/>
        <w:rPr>
          <w:rFonts w:ascii="Calibri" w:hAnsi="Calibri" w:cs="Calibri"/>
          <w:color w:val="000000"/>
          <w:sz w:val="24"/>
          <w:szCs w:val="24"/>
        </w:rPr>
      </w:pPr>
      <w:r w:rsidRPr="006E117B">
        <w:rPr>
          <w:rFonts w:ascii="Calibri" w:hAnsi="Calibri" w:cs="Calibri"/>
          <w:color w:val="000000"/>
          <w:sz w:val="24"/>
          <w:szCs w:val="24"/>
        </w:rPr>
        <w:t xml:space="preserve">Dedicated Hypervisors built in accordance with an SCS must exist for any virtualized nodes. </w:t>
      </w:r>
      <w:r>
        <w:rPr>
          <w:rFonts w:ascii="Calibri" w:hAnsi="Calibri" w:cs="Calibri"/>
          <w:color w:val="000000"/>
          <w:sz w:val="24"/>
          <w:szCs w:val="24"/>
        </w:rPr>
        <w:t>(</w:t>
      </w:r>
      <w:r w:rsidRPr="006E117B">
        <w:rPr>
          <w:rFonts w:ascii="Calibri" w:hAnsi="Calibri" w:cs="Calibri"/>
          <w:color w:val="000000"/>
          <w:sz w:val="24"/>
          <w:szCs w:val="24"/>
        </w:rPr>
        <w:t xml:space="preserve">Not possible </w:t>
      </w:r>
      <w:r w:rsidR="00CE01E7">
        <w:rPr>
          <w:rFonts w:ascii="Calibri" w:hAnsi="Calibri" w:cs="Calibri"/>
          <w:color w:val="000000"/>
          <w:sz w:val="24"/>
          <w:szCs w:val="24"/>
        </w:rPr>
        <w:t xml:space="preserve">like </w:t>
      </w:r>
      <w:r w:rsidR="00D30704" w:rsidRPr="006E117B">
        <w:rPr>
          <w:rFonts w:ascii="Calibri" w:hAnsi="Calibri" w:cs="Calibri"/>
          <w:color w:val="000000"/>
          <w:sz w:val="24"/>
          <w:szCs w:val="24"/>
        </w:rPr>
        <w:t>AWS</w:t>
      </w:r>
      <w:r w:rsidR="00D30704">
        <w:rPr>
          <w:rFonts w:ascii="Calibri" w:hAnsi="Calibri" w:cs="Calibri"/>
          <w:color w:val="000000"/>
          <w:sz w:val="24"/>
          <w:szCs w:val="24"/>
        </w:rPr>
        <w:t xml:space="preserve"> (</w:t>
      </w:r>
      <w:r w:rsidR="00CE01E7">
        <w:rPr>
          <w:rFonts w:ascii="Calibri" w:hAnsi="Calibri" w:cs="Calibri"/>
          <w:color w:val="000000"/>
          <w:sz w:val="24"/>
          <w:szCs w:val="24"/>
        </w:rPr>
        <w:t>Dedicated VPC</w:t>
      </w:r>
      <w:r w:rsidR="00D30704">
        <w:rPr>
          <w:rFonts w:ascii="Calibri" w:hAnsi="Calibri" w:cs="Calibri"/>
          <w:color w:val="000000"/>
          <w:sz w:val="24"/>
          <w:szCs w:val="24"/>
        </w:rPr>
        <w:t>)</w:t>
      </w:r>
      <w:r w:rsidR="00D30704" w:rsidRPr="006E117B">
        <w:rPr>
          <w:rFonts w:ascii="Calibri" w:hAnsi="Calibri" w:cs="Calibri"/>
          <w:color w:val="000000"/>
          <w:sz w:val="24"/>
          <w:szCs w:val="24"/>
        </w:rPr>
        <w:t xml:space="preserve"> --</w:t>
      </w:r>
      <w:r w:rsidRPr="006E117B">
        <w:rPr>
          <w:rFonts w:ascii="Calibri" w:hAnsi="Calibri" w:cs="Calibri"/>
          <w:color w:val="000000"/>
          <w:sz w:val="24"/>
          <w:szCs w:val="24"/>
        </w:rPr>
        <w:t xml:space="preserve"> have no control over the virtualization layer.</w:t>
      </w:r>
      <w:r>
        <w:rPr>
          <w:rFonts w:ascii="Calibri" w:hAnsi="Calibri" w:cs="Calibri"/>
          <w:color w:val="000000"/>
          <w:sz w:val="24"/>
          <w:szCs w:val="24"/>
        </w:rPr>
        <w:t>)</w:t>
      </w:r>
    </w:p>
    <w:p w:rsidR="006E117B" w:rsidRPr="00DA1879" w:rsidRDefault="006E117B" w:rsidP="006E117B">
      <w:pPr>
        <w:pStyle w:val="ListParagraph"/>
        <w:ind w:left="2160"/>
        <w:rPr>
          <w:rFonts w:ascii="Calibri" w:hAnsi="Calibri" w:cs="Calibri"/>
          <w:color w:val="000000"/>
          <w:sz w:val="24"/>
          <w:szCs w:val="24"/>
        </w:rPr>
      </w:pPr>
    </w:p>
    <w:p w:rsidR="00C56FDA" w:rsidRPr="005D1CCF" w:rsidRDefault="00C56FDA" w:rsidP="005D1CCF">
      <w:pPr>
        <w:ind w:firstLine="720"/>
        <w:rPr>
          <w:rFonts w:ascii="Calibri" w:hAnsi="Calibri" w:cs="Calibri"/>
          <w:b/>
          <w:color w:val="0070C0"/>
          <w:sz w:val="32"/>
          <w:szCs w:val="32"/>
        </w:rPr>
      </w:pPr>
      <w:r w:rsidRPr="005D1CCF">
        <w:rPr>
          <w:rFonts w:ascii="Calibri" w:hAnsi="Calibri" w:cs="Calibri"/>
          <w:b/>
          <w:color w:val="0070C0"/>
          <w:sz w:val="32"/>
          <w:szCs w:val="32"/>
        </w:rPr>
        <w:t xml:space="preserve">Storage </w:t>
      </w:r>
    </w:p>
    <w:p w:rsidR="00C56FDA" w:rsidRDefault="00C56FDA" w:rsidP="00AF58B6">
      <w:pPr>
        <w:pStyle w:val="ListParagraph"/>
        <w:numPr>
          <w:ilvl w:val="0"/>
          <w:numId w:val="12"/>
        </w:numPr>
        <w:rPr>
          <w:rFonts w:ascii="Calibri" w:hAnsi="Calibri" w:cs="Calibri"/>
          <w:color w:val="000000"/>
          <w:sz w:val="24"/>
          <w:szCs w:val="24"/>
        </w:rPr>
      </w:pPr>
      <w:r w:rsidRPr="00DA1879">
        <w:rPr>
          <w:rFonts w:ascii="Calibri" w:hAnsi="Calibri" w:cs="Calibri"/>
          <w:color w:val="000000"/>
          <w:sz w:val="24"/>
          <w:szCs w:val="24"/>
        </w:rPr>
        <w:t xml:space="preserve">Azure Storage Service </w:t>
      </w:r>
      <w:r w:rsidR="005433F8" w:rsidRPr="00DA1879">
        <w:rPr>
          <w:rFonts w:ascii="Calibri" w:hAnsi="Calibri" w:cs="Calibri"/>
          <w:color w:val="000000"/>
          <w:sz w:val="24"/>
          <w:szCs w:val="24"/>
        </w:rPr>
        <w:t>Encryption</w:t>
      </w:r>
      <w:r w:rsidR="005433F8">
        <w:rPr>
          <w:rFonts w:ascii="Calibri" w:hAnsi="Calibri" w:cs="Calibri"/>
          <w:color w:val="000000"/>
          <w:sz w:val="24"/>
          <w:szCs w:val="24"/>
        </w:rPr>
        <w:t xml:space="preserve"> (</w:t>
      </w:r>
      <w:r w:rsidR="00D30704">
        <w:rPr>
          <w:rFonts w:ascii="Calibri" w:hAnsi="Calibri" w:cs="Calibri"/>
          <w:color w:val="000000"/>
          <w:sz w:val="24"/>
          <w:szCs w:val="24"/>
        </w:rPr>
        <w:t>AES 256 Bit)</w:t>
      </w:r>
      <w:r w:rsidRPr="00DA1879">
        <w:rPr>
          <w:rFonts w:ascii="Calibri" w:hAnsi="Calibri" w:cs="Calibri"/>
          <w:color w:val="000000"/>
          <w:sz w:val="24"/>
          <w:szCs w:val="24"/>
        </w:rPr>
        <w:t xml:space="preserve"> for Data at Rest</w:t>
      </w:r>
      <w:r w:rsidR="00BF1BB9">
        <w:rPr>
          <w:rFonts w:ascii="Calibri" w:hAnsi="Calibri" w:cs="Calibri"/>
          <w:color w:val="000000"/>
          <w:sz w:val="24"/>
          <w:szCs w:val="24"/>
        </w:rPr>
        <w:t xml:space="preserve"> and on transit</w:t>
      </w:r>
      <w:r>
        <w:rPr>
          <w:rFonts w:ascii="Calibri" w:hAnsi="Calibri" w:cs="Calibri"/>
          <w:color w:val="000000"/>
          <w:sz w:val="24"/>
          <w:szCs w:val="24"/>
        </w:rPr>
        <w:t>.</w:t>
      </w:r>
    </w:p>
    <w:p w:rsidR="006E117B" w:rsidRDefault="006E117B" w:rsidP="00AF58B6">
      <w:pPr>
        <w:pStyle w:val="ListParagraph"/>
        <w:numPr>
          <w:ilvl w:val="0"/>
          <w:numId w:val="12"/>
        </w:numPr>
        <w:rPr>
          <w:rFonts w:ascii="Calibri" w:hAnsi="Calibri" w:cs="Calibri"/>
          <w:color w:val="000000"/>
          <w:sz w:val="24"/>
          <w:szCs w:val="24"/>
        </w:rPr>
      </w:pPr>
      <w:r w:rsidRPr="006E117B">
        <w:rPr>
          <w:rFonts w:ascii="Calibri" w:hAnsi="Calibri" w:cs="Calibri"/>
          <w:color w:val="000000"/>
          <w:sz w:val="24"/>
          <w:szCs w:val="24"/>
        </w:rPr>
        <w:t>Azure Security Center Logging</w:t>
      </w:r>
      <w:r>
        <w:rPr>
          <w:rFonts w:ascii="Calibri" w:hAnsi="Calibri" w:cs="Calibri"/>
          <w:color w:val="000000"/>
          <w:sz w:val="24"/>
          <w:szCs w:val="24"/>
        </w:rPr>
        <w:t xml:space="preserve"> for storing of Logs data in Azure.</w:t>
      </w:r>
    </w:p>
    <w:p w:rsidR="00393E4F" w:rsidRPr="00393E4F" w:rsidRDefault="00393E4F" w:rsidP="00AF58B6">
      <w:pPr>
        <w:pStyle w:val="ListParagraph"/>
        <w:numPr>
          <w:ilvl w:val="0"/>
          <w:numId w:val="12"/>
        </w:numPr>
        <w:rPr>
          <w:rFonts w:ascii="Calibri" w:hAnsi="Calibri" w:cs="Calibri"/>
          <w:color w:val="000000"/>
          <w:sz w:val="24"/>
          <w:szCs w:val="24"/>
        </w:rPr>
      </w:pPr>
      <w:r w:rsidRPr="00393E4F">
        <w:rPr>
          <w:rFonts w:ascii="Calibri" w:hAnsi="Calibri" w:cs="Calibri"/>
          <w:color w:val="000000"/>
          <w:sz w:val="24"/>
          <w:szCs w:val="24"/>
        </w:rPr>
        <w:t>Logging across the environment must include but not limited to:</w:t>
      </w:r>
    </w:p>
    <w:p w:rsidR="00393E4F" w:rsidRPr="00393E4F" w:rsidRDefault="00393E4F" w:rsidP="00AF58B6">
      <w:pPr>
        <w:pStyle w:val="ListParagraph"/>
        <w:numPr>
          <w:ilvl w:val="1"/>
          <w:numId w:val="12"/>
        </w:numPr>
        <w:rPr>
          <w:rFonts w:ascii="Calibri" w:hAnsi="Calibri" w:cs="Calibri"/>
          <w:color w:val="000000"/>
          <w:sz w:val="24"/>
          <w:szCs w:val="24"/>
        </w:rPr>
      </w:pPr>
      <w:r w:rsidRPr="00393E4F">
        <w:rPr>
          <w:rFonts w:ascii="Calibri" w:hAnsi="Calibri" w:cs="Calibri"/>
          <w:color w:val="000000"/>
          <w:sz w:val="24"/>
          <w:szCs w:val="24"/>
        </w:rPr>
        <w:t>Database logging</w:t>
      </w:r>
    </w:p>
    <w:p w:rsidR="00393E4F" w:rsidRPr="00393E4F" w:rsidRDefault="00393E4F" w:rsidP="00AF58B6">
      <w:pPr>
        <w:pStyle w:val="ListParagraph"/>
        <w:numPr>
          <w:ilvl w:val="1"/>
          <w:numId w:val="12"/>
        </w:numPr>
        <w:rPr>
          <w:rFonts w:ascii="Calibri" w:hAnsi="Calibri" w:cs="Calibri"/>
          <w:color w:val="000000"/>
          <w:sz w:val="24"/>
          <w:szCs w:val="24"/>
        </w:rPr>
      </w:pPr>
      <w:r w:rsidRPr="00393E4F">
        <w:rPr>
          <w:rFonts w:ascii="Calibri" w:hAnsi="Calibri" w:cs="Calibri"/>
          <w:color w:val="000000"/>
          <w:sz w:val="24"/>
          <w:szCs w:val="24"/>
        </w:rPr>
        <w:t>Active directory logging (application, system, and security)</w:t>
      </w:r>
    </w:p>
    <w:p w:rsidR="00393E4F" w:rsidRPr="00393E4F" w:rsidRDefault="00393E4F" w:rsidP="00AF58B6">
      <w:pPr>
        <w:pStyle w:val="ListParagraph"/>
        <w:numPr>
          <w:ilvl w:val="1"/>
          <w:numId w:val="12"/>
        </w:numPr>
        <w:rPr>
          <w:rFonts w:ascii="Calibri" w:hAnsi="Calibri" w:cs="Calibri"/>
          <w:color w:val="000000"/>
          <w:sz w:val="24"/>
          <w:szCs w:val="24"/>
        </w:rPr>
      </w:pPr>
      <w:r w:rsidRPr="00393E4F">
        <w:rPr>
          <w:rFonts w:ascii="Calibri" w:hAnsi="Calibri" w:cs="Calibri"/>
          <w:color w:val="000000"/>
          <w:sz w:val="24"/>
          <w:szCs w:val="24"/>
        </w:rPr>
        <w:lastRenderedPageBreak/>
        <w:t>WAN device logging (Layer 3 Devices)</w:t>
      </w:r>
    </w:p>
    <w:p w:rsidR="00393E4F" w:rsidRPr="00393E4F" w:rsidRDefault="00393E4F" w:rsidP="00AF58B6">
      <w:pPr>
        <w:pStyle w:val="ListParagraph"/>
        <w:numPr>
          <w:ilvl w:val="1"/>
          <w:numId w:val="12"/>
        </w:numPr>
        <w:rPr>
          <w:rFonts w:ascii="Calibri" w:hAnsi="Calibri" w:cs="Calibri"/>
          <w:color w:val="000000"/>
          <w:sz w:val="24"/>
          <w:szCs w:val="24"/>
        </w:rPr>
      </w:pPr>
      <w:r w:rsidRPr="00393E4F">
        <w:rPr>
          <w:rFonts w:ascii="Calibri" w:hAnsi="Calibri" w:cs="Calibri"/>
          <w:color w:val="000000"/>
          <w:sz w:val="24"/>
          <w:szCs w:val="24"/>
        </w:rPr>
        <w:t xml:space="preserve">Application logging </w:t>
      </w:r>
    </w:p>
    <w:p w:rsidR="00AF58B6" w:rsidRDefault="00393E4F" w:rsidP="00AF58B6">
      <w:pPr>
        <w:pStyle w:val="ListParagraph"/>
        <w:numPr>
          <w:ilvl w:val="1"/>
          <w:numId w:val="12"/>
        </w:numPr>
        <w:rPr>
          <w:rFonts w:ascii="Calibri" w:hAnsi="Calibri" w:cs="Calibri"/>
          <w:color w:val="000000"/>
          <w:sz w:val="24"/>
          <w:szCs w:val="24"/>
        </w:rPr>
      </w:pPr>
      <w:r w:rsidRPr="00393E4F">
        <w:rPr>
          <w:rFonts w:ascii="Calibri" w:hAnsi="Calibri" w:cs="Calibri"/>
          <w:color w:val="000000"/>
          <w:sz w:val="24"/>
          <w:szCs w:val="24"/>
        </w:rPr>
        <w:t>All environmental servers and devices must report logs to a centralized SIEM solution.</w:t>
      </w:r>
    </w:p>
    <w:p w:rsidR="00AF58B6" w:rsidRPr="00AF58B6" w:rsidRDefault="00AF58B6" w:rsidP="00AF58B6">
      <w:pPr>
        <w:pStyle w:val="ListParagraph"/>
        <w:numPr>
          <w:ilvl w:val="0"/>
          <w:numId w:val="12"/>
        </w:numPr>
        <w:rPr>
          <w:rFonts w:ascii="Calibri" w:hAnsi="Calibri" w:cs="Calibri"/>
          <w:color w:val="000000"/>
          <w:sz w:val="24"/>
          <w:szCs w:val="24"/>
        </w:rPr>
      </w:pPr>
      <w:r w:rsidRPr="00AF58B6">
        <w:rPr>
          <w:rFonts w:ascii="Calibri" w:hAnsi="Calibri" w:cs="Calibri"/>
          <w:color w:val="000000"/>
          <w:sz w:val="24"/>
          <w:szCs w:val="24"/>
        </w:rPr>
        <w:t>Internal Key Management solutions and corresponding processes pertaining to the lifecycle of keys and/or certificates used within the environment is required.</w:t>
      </w:r>
    </w:p>
    <w:p w:rsidR="00C56FDA" w:rsidRDefault="00C56FDA" w:rsidP="00C56FDA">
      <w:pPr>
        <w:pStyle w:val="ListParagraph"/>
        <w:ind w:left="1440"/>
        <w:rPr>
          <w:rFonts w:ascii="Calibri" w:hAnsi="Calibri" w:cs="Calibri"/>
          <w:b/>
          <w:color w:val="0070C0"/>
          <w:sz w:val="32"/>
          <w:szCs w:val="32"/>
        </w:rPr>
      </w:pPr>
    </w:p>
    <w:p w:rsidR="00C8284B" w:rsidRPr="00C8284B" w:rsidRDefault="00C8284B" w:rsidP="00C8284B">
      <w:pPr>
        <w:pStyle w:val="ListParagraph"/>
        <w:numPr>
          <w:ilvl w:val="0"/>
          <w:numId w:val="12"/>
        </w:numPr>
        <w:rPr>
          <w:rFonts w:ascii="Calibri" w:hAnsi="Calibri" w:cs="Calibri"/>
          <w:color w:val="000000"/>
          <w:sz w:val="24"/>
          <w:szCs w:val="24"/>
        </w:rPr>
      </w:pPr>
      <w:bookmarkStart w:id="8" w:name="_GoBack"/>
      <w:bookmarkEnd w:id="8"/>
      <w:r w:rsidRPr="00C8284B">
        <w:rPr>
          <w:rFonts w:ascii="Calibri" w:hAnsi="Calibri" w:cs="Calibri"/>
          <w:color w:val="000000"/>
          <w:sz w:val="24"/>
          <w:szCs w:val="24"/>
        </w:rPr>
        <w:t>File transfer / related file transfer access for any reason, including file transfers must occur and/or originate from a dedicated file transfer zone. No native file transfers from internet to be permitted.</w:t>
      </w:r>
    </w:p>
    <w:p w:rsidR="00C56FDA" w:rsidRPr="005D1CCF" w:rsidRDefault="00C56FDA" w:rsidP="005D1CCF">
      <w:pPr>
        <w:ind w:firstLine="720"/>
        <w:rPr>
          <w:rFonts w:ascii="Calibri" w:hAnsi="Calibri" w:cs="Calibri"/>
          <w:b/>
          <w:color w:val="0070C0"/>
          <w:sz w:val="32"/>
          <w:szCs w:val="32"/>
        </w:rPr>
      </w:pPr>
      <w:r w:rsidRPr="005D1CCF">
        <w:rPr>
          <w:rFonts w:ascii="Calibri" w:hAnsi="Calibri" w:cs="Calibri"/>
          <w:b/>
          <w:color w:val="0070C0"/>
          <w:sz w:val="32"/>
          <w:szCs w:val="32"/>
        </w:rPr>
        <w:t>Compute</w:t>
      </w:r>
    </w:p>
    <w:p w:rsidR="00C56FDA" w:rsidRPr="005D1CCF" w:rsidRDefault="00C56FDA" w:rsidP="005D1CCF">
      <w:pPr>
        <w:pStyle w:val="ListParagraph"/>
        <w:numPr>
          <w:ilvl w:val="0"/>
          <w:numId w:val="14"/>
        </w:numPr>
        <w:jc w:val="both"/>
        <w:rPr>
          <w:rFonts w:ascii="Calibri" w:hAnsi="Calibri" w:cs="Calibri"/>
          <w:color w:val="000000"/>
          <w:sz w:val="24"/>
          <w:szCs w:val="24"/>
        </w:rPr>
      </w:pPr>
      <w:r w:rsidRPr="005D1CCF">
        <w:rPr>
          <w:rFonts w:ascii="Calibri" w:hAnsi="Calibri" w:cs="Calibri"/>
          <w:color w:val="000000"/>
          <w:sz w:val="24"/>
          <w:szCs w:val="24"/>
        </w:rPr>
        <w:t xml:space="preserve">Data Retention of VM Backup is six years for Healthcare providers as per HIPAA Rules. </w:t>
      </w:r>
    </w:p>
    <w:p w:rsidR="006E117B" w:rsidRPr="005D1CCF" w:rsidRDefault="006E117B" w:rsidP="005D1CCF">
      <w:pPr>
        <w:pStyle w:val="ListParagraph"/>
        <w:numPr>
          <w:ilvl w:val="0"/>
          <w:numId w:val="14"/>
        </w:numPr>
        <w:jc w:val="both"/>
        <w:rPr>
          <w:rFonts w:ascii="Calibri" w:hAnsi="Calibri" w:cs="Calibri"/>
          <w:color w:val="000000"/>
          <w:sz w:val="24"/>
          <w:szCs w:val="24"/>
        </w:rPr>
      </w:pPr>
      <w:r w:rsidRPr="005D1CCF">
        <w:rPr>
          <w:rFonts w:ascii="Calibri" w:hAnsi="Calibri" w:cs="Calibri"/>
          <w:color w:val="000000"/>
          <w:sz w:val="24"/>
          <w:szCs w:val="24"/>
        </w:rPr>
        <w:t>Multi-factor Authentication for all the Authentication request reaching Azure environment.</w:t>
      </w:r>
    </w:p>
    <w:p w:rsidR="006E117B" w:rsidRPr="005D1CCF" w:rsidRDefault="006E117B" w:rsidP="005D1CCF">
      <w:pPr>
        <w:pStyle w:val="ListParagraph"/>
        <w:numPr>
          <w:ilvl w:val="0"/>
          <w:numId w:val="14"/>
        </w:numPr>
        <w:jc w:val="both"/>
        <w:rPr>
          <w:rFonts w:ascii="Calibri" w:hAnsi="Calibri" w:cs="Calibri"/>
          <w:color w:val="000000"/>
          <w:sz w:val="24"/>
          <w:szCs w:val="24"/>
        </w:rPr>
      </w:pPr>
      <w:r w:rsidRPr="005D1CCF">
        <w:rPr>
          <w:rFonts w:ascii="Calibri" w:hAnsi="Calibri" w:cs="Calibri"/>
          <w:color w:val="000000"/>
          <w:sz w:val="24"/>
          <w:szCs w:val="24"/>
        </w:rPr>
        <w:t>Multi-Factor Authentication (MFA) based jump hosts within dedicated landing / management zones is required to access and/or administer BPaaS system level access.</w:t>
      </w:r>
    </w:p>
    <w:p w:rsidR="006E117B" w:rsidRPr="005D1CCF" w:rsidRDefault="006E117B" w:rsidP="005D1CCF">
      <w:pPr>
        <w:pStyle w:val="ListParagraph"/>
        <w:numPr>
          <w:ilvl w:val="0"/>
          <w:numId w:val="14"/>
        </w:numPr>
        <w:jc w:val="both"/>
        <w:rPr>
          <w:rFonts w:ascii="Calibri" w:hAnsi="Calibri" w:cs="Calibri"/>
          <w:color w:val="000000"/>
          <w:sz w:val="24"/>
          <w:szCs w:val="24"/>
        </w:rPr>
      </w:pPr>
      <w:r w:rsidRPr="005D1CCF">
        <w:rPr>
          <w:rFonts w:ascii="Calibri" w:hAnsi="Calibri" w:cs="Calibri"/>
          <w:color w:val="000000"/>
          <w:sz w:val="24"/>
          <w:szCs w:val="24"/>
        </w:rPr>
        <w:t>Users in Active Directory should be given only the required privilege to access HIPAA Azure Environment.</w:t>
      </w:r>
    </w:p>
    <w:p w:rsidR="006E117B" w:rsidRPr="005D1CCF" w:rsidRDefault="006E117B" w:rsidP="005D1CCF">
      <w:pPr>
        <w:pStyle w:val="ListParagraph"/>
        <w:numPr>
          <w:ilvl w:val="0"/>
          <w:numId w:val="14"/>
        </w:numPr>
        <w:jc w:val="both"/>
        <w:rPr>
          <w:rFonts w:ascii="Calibri" w:hAnsi="Calibri" w:cs="Calibri"/>
          <w:color w:val="000000"/>
          <w:sz w:val="24"/>
          <w:szCs w:val="24"/>
        </w:rPr>
      </w:pPr>
      <w:r w:rsidRPr="005D1CCF">
        <w:rPr>
          <w:rFonts w:ascii="Calibri" w:hAnsi="Calibri" w:cs="Calibri"/>
          <w:color w:val="000000"/>
          <w:sz w:val="24"/>
          <w:szCs w:val="24"/>
        </w:rPr>
        <w:t>Antivirus has to be installed in all the server to prevent viruses, worms, backdoors and Trojans.</w:t>
      </w:r>
    </w:p>
    <w:p w:rsidR="006E117B" w:rsidRPr="005D1CCF" w:rsidRDefault="006E117B" w:rsidP="005D1CCF">
      <w:pPr>
        <w:pStyle w:val="ListParagraph"/>
        <w:numPr>
          <w:ilvl w:val="0"/>
          <w:numId w:val="14"/>
        </w:numPr>
        <w:jc w:val="both"/>
        <w:rPr>
          <w:rFonts w:ascii="Calibri" w:hAnsi="Calibri" w:cs="Calibri"/>
          <w:color w:val="000000"/>
          <w:sz w:val="24"/>
          <w:szCs w:val="24"/>
        </w:rPr>
      </w:pPr>
      <w:r w:rsidRPr="005D1CCF">
        <w:rPr>
          <w:rFonts w:ascii="Calibri" w:hAnsi="Calibri" w:cs="Calibri"/>
          <w:color w:val="000000"/>
          <w:sz w:val="24"/>
          <w:szCs w:val="24"/>
        </w:rPr>
        <w:t>As per the HIPAA rules we have to store the Windows Logs for 6 years. We can use Storage Account to store the logs where hot storage tier for the recent 1 year and remaining logs can be stored in cold storage tier to reduce the expenditure cost.</w:t>
      </w:r>
    </w:p>
    <w:p w:rsidR="006E117B" w:rsidRPr="005D1CCF" w:rsidRDefault="006E117B" w:rsidP="005D1CCF">
      <w:pPr>
        <w:pStyle w:val="ListParagraph"/>
        <w:numPr>
          <w:ilvl w:val="0"/>
          <w:numId w:val="14"/>
        </w:numPr>
        <w:jc w:val="both"/>
        <w:rPr>
          <w:rFonts w:ascii="Calibri" w:hAnsi="Calibri" w:cs="Calibri"/>
          <w:color w:val="000000"/>
          <w:sz w:val="24"/>
          <w:szCs w:val="24"/>
        </w:rPr>
      </w:pPr>
      <w:r w:rsidRPr="005D1CCF">
        <w:rPr>
          <w:rFonts w:ascii="Calibri" w:hAnsi="Calibri" w:cs="Calibri"/>
          <w:color w:val="000000"/>
          <w:sz w:val="24"/>
          <w:szCs w:val="24"/>
        </w:rPr>
        <w:t>All lower environments must be segmented from the general purpose hosting and Production (customer pod) networks.</w:t>
      </w:r>
    </w:p>
    <w:p w:rsidR="006E117B" w:rsidRPr="005D1CCF" w:rsidRDefault="006E117B" w:rsidP="005D1CCF">
      <w:pPr>
        <w:pStyle w:val="ListParagraph"/>
        <w:numPr>
          <w:ilvl w:val="0"/>
          <w:numId w:val="14"/>
        </w:numPr>
        <w:jc w:val="both"/>
        <w:rPr>
          <w:rFonts w:ascii="Calibri" w:hAnsi="Calibri" w:cs="Calibri"/>
          <w:color w:val="000000"/>
          <w:sz w:val="24"/>
          <w:szCs w:val="24"/>
        </w:rPr>
      </w:pPr>
      <w:r w:rsidRPr="005D1CCF">
        <w:rPr>
          <w:rFonts w:ascii="Calibri" w:hAnsi="Calibri" w:cs="Calibri"/>
          <w:color w:val="000000"/>
          <w:sz w:val="24"/>
          <w:szCs w:val="24"/>
        </w:rPr>
        <w:t>Internet access is prohibited for any internal production or lower environment servers.</w:t>
      </w:r>
    </w:p>
    <w:p w:rsidR="006E117B" w:rsidRPr="00B17130" w:rsidRDefault="006E117B" w:rsidP="00393E4F">
      <w:pPr>
        <w:pStyle w:val="ListParagraph"/>
        <w:ind w:left="2160"/>
        <w:jc w:val="both"/>
        <w:rPr>
          <w:rFonts w:ascii="Calibri" w:hAnsi="Calibri" w:cs="Calibri"/>
          <w:color w:val="000000"/>
          <w:sz w:val="24"/>
          <w:szCs w:val="24"/>
        </w:rPr>
      </w:pPr>
    </w:p>
    <w:p w:rsidR="000F7930" w:rsidRDefault="000F7930" w:rsidP="000F7930">
      <w:pPr>
        <w:pStyle w:val="Heading1"/>
        <w:numPr>
          <w:ilvl w:val="0"/>
          <w:numId w:val="15"/>
        </w:numPr>
        <w:rPr>
          <w:b/>
        </w:rPr>
      </w:pPr>
      <w:bookmarkStart w:id="9" w:name="_Toc471759970"/>
      <w:r w:rsidRPr="000F7930">
        <w:rPr>
          <w:b/>
        </w:rPr>
        <w:t xml:space="preserve">HIPAA Compliance </w:t>
      </w:r>
      <w:r w:rsidR="00544142">
        <w:rPr>
          <w:b/>
        </w:rPr>
        <w:t>– Claimsphere Health Care Project</w:t>
      </w:r>
      <w:bookmarkEnd w:id="9"/>
    </w:p>
    <w:p w:rsidR="000F7930" w:rsidRPr="000F7930" w:rsidRDefault="00D00802" w:rsidP="000F7930">
      <w:r>
        <w:t>Note: No</w:t>
      </w:r>
      <w:r w:rsidR="005433F8">
        <w:t xml:space="preserve"> </w:t>
      </w:r>
      <w:r>
        <w:t xml:space="preserve">BAA Agreement </w:t>
      </w:r>
      <w:r w:rsidR="005433F8">
        <w:t>with Microsoft for Claimsphere.</w:t>
      </w:r>
    </w:p>
    <w:tbl>
      <w:tblPr>
        <w:tblW w:w="10800" w:type="dxa"/>
        <w:tblInd w:w="-5" w:type="dxa"/>
        <w:tblLook w:val="04A0" w:firstRow="1" w:lastRow="0" w:firstColumn="1" w:lastColumn="0" w:noHBand="0" w:noVBand="1"/>
      </w:tblPr>
      <w:tblGrid>
        <w:gridCol w:w="900"/>
        <w:gridCol w:w="5760"/>
        <w:gridCol w:w="4140"/>
      </w:tblGrid>
      <w:tr w:rsidR="0049513C" w:rsidRPr="0049513C" w:rsidTr="0049513C">
        <w:trPr>
          <w:trHeight w:val="300"/>
        </w:trPr>
        <w:tc>
          <w:tcPr>
            <w:tcW w:w="900" w:type="dxa"/>
            <w:tcBorders>
              <w:top w:val="single" w:sz="4" w:space="0" w:color="auto"/>
              <w:left w:val="single" w:sz="4" w:space="0" w:color="auto"/>
              <w:bottom w:val="single" w:sz="4" w:space="0" w:color="auto"/>
              <w:right w:val="single" w:sz="4" w:space="0" w:color="auto"/>
            </w:tcBorders>
            <w:shd w:val="clear" w:color="000000" w:fill="44546A"/>
            <w:hideMark/>
          </w:tcPr>
          <w:p w:rsidR="0049513C" w:rsidRPr="0049513C" w:rsidRDefault="0049513C" w:rsidP="0049513C">
            <w:pPr>
              <w:spacing w:after="0" w:line="240" w:lineRule="auto"/>
              <w:jc w:val="center"/>
              <w:rPr>
                <w:rFonts w:ascii="Calibri" w:eastAsia="Times New Roman" w:hAnsi="Calibri" w:cs="Times New Roman"/>
                <w:b/>
                <w:bCs/>
                <w:color w:val="FFFFFF"/>
              </w:rPr>
            </w:pPr>
            <w:r w:rsidRPr="0049513C">
              <w:rPr>
                <w:rFonts w:ascii="Calibri" w:eastAsia="Times New Roman" w:hAnsi="Calibri" w:cs="Times New Roman"/>
                <w:b/>
                <w:bCs/>
                <w:color w:val="FFFFFF"/>
              </w:rPr>
              <w:t>Control ID</w:t>
            </w:r>
          </w:p>
        </w:tc>
        <w:tc>
          <w:tcPr>
            <w:tcW w:w="5760" w:type="dxa"/>
            <w:tcBorders>
              <w:top w:val="single" w:sz="4" w:space="0" w:color="auto"/>
              <w:left w:val="nil"/>
              <w:bottom w:val="single" w:sz="4" w:space="0" w:color="auto"/>
              <w:right w:val="single" w:sz="4" w:space="0" w:color="auto"/>
            </w:tcBorders>
            <w:shd w:val="clear" w:color="000000" w:fill="44546A"/>
            <w:hideMark/>
          </w:tcPr>
          <w:p w:rsidR="0049513C" w:rsidRPr="0049513C" w:rsidRDefault="0049513C" w:rsidP="0049513C">
            <w:pPr>
              <w:spacing w:after="0" w:line="240" w:lineRule="auto"/>
              <w:jc w:val="center"/>
              <w:rPr>
                <w:rFonts w:ascii="Calibri" w:eastAsia="Times New Roman" w:hAnsi="Calibri" w:cs="Times New Roman"/>
                <w:b/>
                <w:bCs/>
                <w:color w:val="FFFFFF"/>
              </w:rPr>
            </w:pPr>
            <w:r w:rsidRPr="0049513C">
              <w:rPr>
                <w:rFonts w:ascii="Calibri" w:eastAsia="Times New Roman" w:hAnsi="Calibri" w:cs="Times New Roman"/>
                <w:b/>
                <w:bCs/>
                <w:color w:val="FFFFFF"/>
              </w:rPr>
              <w:t>Control Requirements</w:t>
            </w:r>
          </w:p>
        </w:tc>
        <w:tc>
          <w:tcPr>
            <w:tcW w:w="4140" w:type="dxa"/>
            <w:tcBorders>
              <w:top w:val="single" w:sz="4" w:space="0" w:color="auto"/>
              <w:left w:val="nil"/>
              <w:bottom w:val="single" w:sz="4" w:space="0" w:color="auto"/>
              <w:right w:val="single" w:sz="4" w:space="0" w:color="auto"/>
            </w:tcBorders>
            <w:shd w:val="clear" w:color="000000" w:fill="44546A"/>
            <w:hideMark/>
          </w:tcPr>
          <w:p w:rsidR="0049513C" w:rsidRPr="0049513C" w:rsidRDefault="0049513C" w:rsidP="0049513C">
            <w:pPr>
              <w:spacing w:after="0" w:line="240" w:lineRule="auto"/>
              <w:jc w:val="center"/>
              <w:rPr>
                <w:rFonts w:ascii="Calibri" w:eastAsia="Times New Roman" w:hAnsi="Calibri" w:cs="Times New Roman"/>
                <w:b/>
                <w:bCs/>
                <w:color w:val="FFFFFF"/>
              </w:rPr>
            </w:pPr>
            <w:r w:rsidRPr="0049513C">
              <w:rPr>
                <w:rFonts w:ascii="Calibri" w:eastAsia="Times New Roman" w:hAnsi="Calibri" w:cs="Times New Roman"/>
                <w:b/>
                <w:bCs/>
                <w:color w:val="FFFFFF"/>
              </w:rPr>
              <w:t>Compliance Comments</w:t>
            </w:r>
          </w:p>
        </w:tc>
      </w:tr>
      <w:tr w:rsidR="0049513C" w:rsidRPr="0049513C" w:rsidTr="0049513C">
        <w:trPr>
          <w:trHeight w:val="710"/>
        </w:trPr>
        <w:tc>
          <w:tcPr>
            <w:tcW w:w="900" w:type="dxa"/>
            <w:tcBorders>
              <w:top w:val="nil"/>
              <w:left w:val="single" w:sz="4" w:space="0" w:color="auto"/>
              <w:bottom w:val="single" w:sz="4" w:space="0" w:color="auto"/>
              <w:right w:val="single" w:sz="4" w:space="0" w:color="auto"/>
            </w:tcBorders>
            <w:shd w:val="clear" w:color="000000" w:fill="FFFFFF"/>
            <w:hideMark/>
          </w:tcPr>
          <w:p w:rsidR="0049513C" w:rsidRPr="0049513C" w:rsidRDefault="0049513C" w:rsidP="0049513C">
            <w:pPr>
              <w:spacing w:after="0" w:line="240" w:lineRule="auto"/>
              <w:rPr>
                <w:rFonts w:ascii="Calibri" w:eastAsia="Times New Roman" w:hAnsi="Calibri" w:cs="Times New Roman"/>
                <w:color w:val="000000"/>
              </w:rPr>
            </w:pPr>
            <w:r w:rsidRPr="0049513C">
              <w:rPr>
                <w:rFonts w:ascii="Calibri" w:eastAsia="Times New Roman" w:hAnsi="Calibri" w:cs="Times New Roman"/>
                <w:color w:val="000000"/>
              </w:rPr>
              <w:t>1001</w:t>
            </w:r>
          </w:p>
        </w:tc>
        <w:tc>
          <w:tcPr>
            <w:tcW w:w="5760" w:type="dxa"/>
            <w:tcBorders>
              <w:top w:val="nil"/>
              <w:left w:val="nil"/>
              <w:bottom w:val="single" w:sz="4" w:space="0" w:color="auto"/>
              <w:right w:val="single" w:sz="4" w:space="0" w:color="auto"/>
            </w:tcBorders>
            <w:shd w:val="clear" w:color="000000" w:fill="FFFFFF"/>
            <w:hideMark/>
          </w:tcPr>
          <w:p w:rsidR="0049513C" w:rsidRPr="0049513C" w:rsidRDefault="0049513C" w:rsidP="0049513C">
            <w:pPr>
              <w:spacing w:after="0" w:line="240" w:lineRule="auto"/>
              <w:rPr>
                <w:rFonts w:ascii="Calibri" w:eastAsia="Times New Roman" w:hAnsi="Calibri" w:cs="Times New Roman"/>
                <w:color w:val="000000"/>
              </w:rPr>
            </w:pPr>
            <w:r w:rsidRPr="0049513C">
              <w:rPr>
                <w:rFonts w:ascii="Calibri" w:eastAsia="Times New Roman" w:hAnsi="Calibri" w:cs="Times New Roman"/>
                <w:color w:val="000000"/>
              </w:rPr>
              <w:t xml:space="preserve">All lower environments must be segmented from the general purpose hosting and Production (customer pod) networks. </w:t>
            </w:r>
          </w:p>
        </w:tc>
        <w:tc>
          <w:tcPr>
            <w:tcW w:w="4140" w:type="dxa"/>
            <w:tcBorders>
              <w:top w:val="nil"/>
              <w:left w:val="nil"/>
              <w:bottom w:val="single" w:sz="4" w:space="0" w:color="auto"/>
              <w:right w:val="single" w:sz="4" w:space="0" w:color="auto"/>
            </w:tcBorders>
            <w:shd w:val="clear" w:color="000000" w:fill="FFFFFF"/>
            <w:hideMark/>
          </w:tcPr>
          <w:p w:rsidR="0049513C" w:rsidRPr="0049513C" w:rsidRDefault="0049513C" w:rsidP="0049513C">
            <w:pPr>
              <w:spacing w:after="0" w:line="240" w:lineRule="auto"/>
              <w:rPr>
                <w:rFonts w:ascii="Calibri" w:eastAsia="Times New Roman" w:hAnsi="Calibri" w:cs="Times New Roman"/>
                <w:color w:val="000000"/>
              </w:rPr>
            </w:pPr>
            <w:r>
              <w:rPr>
                <w:rFonts w:ascii="Calibri" w:eastAsia="Times New Roman" w:hAnsi="Calibri" w:cs="Times New Roman"/>
                <w:color w:val="000000"/>
              </w:rPr>
              <w:t>Servers are isolated based on functionality by creating subnets within the network and NSG applied on each</w:t>
            </w:r>
          </w:p>
        </w:tc>
      </w:tr>
      <w:tr w:rsidR="0049513C" w:rsidRPr="0049513C" w:rsidTr="0049513C">
        <w:trPr>
          <w:trHeight w:val="980"/>
        </w:trPr>
        <w:tc>
          <w:tcPr>
            <w:tcW w:w="900" w:type="dxa"/>
            <w:tcBorders>
              <w:top w:val="nil"/>
              <w:left w:val="single" w:sz="4" w:space="0" w:color="auto"/>
              <w:bottom w:val="single" w:sz="4" w:space="0" w:color="auto"/>
              <w:right w:val="single" w:sz="4" w:space="0" w:color="auto"/>
            </w:tcBorders>
            <w:shd w:val="clear" w:color="000000" w:fill="FFFFFF"/>
            <w:hideMark/>
          </w:tcPr>
          <w:p w:rsidR="0049513C" w:rsidRPr="0049513C" w:rsidRDefault="0049513C" w:rsidP="0049513C">
            <w:pPr>
              <w:spacing w:after="0" w:line="240" w:lineRule="auto"/>
              <w:rPr>
                <w:rFonts w:ascii="Calibri" w:eastAsia="Times New Roman" w:hAnsi="Calibri" w:cs="Times New Roman"/>
                <w:color w:val="000000"/>
              </w:rPr>
            </w:pPr>
            <w:r w:rsidRPr="0049513C">
              <w:rPr>
                <w:rFonts w:ascii="Calibri" w:eastAsia="Times New Roman" w:hAnsi="Calibri" w:cs="Times New Roman"/>
                <w:color w:val="000000"/>
              </w:rPr>
              <w:t>1005</w:t>
            </w:r>
          </w:p>
        </w:tc>
        <w:tc>
          <w:tcPr>
            <w:tcW w:w="5760" w:type="dxa"/>
            <w:tcBorders>
              <w:top w:val="nil"/>
              <w:left w:val="nil"/>
              <w:bottom w:val="single" w:sz="4" w:space="0" w:color="auto"/>
              <w:right w:val="single" w:sz="4" w:space="0" w:color="auto"/>
            </w:tcBorders>
            <w:shd w:val="clear" w:color="000000" w:fill="FFFFFF"/>
            <w:hideMark/>
          </w:tcPr>
          <w:p w:rsidR="0049513C" w:rsidRPr="0049513C" w:rsidRDefault="0049513C" w:rsidP="0049513C">
            <w:pPr>
              <w:spacing w:after="0" w:line="240" w:lineRule="auto"/>
              <w:rPr>
                <w:rFonts w:ascii="Calibri" w:eastAsia="Times New Roman" w:hAnsi="Calibri" w:cs="Times New Roman"/>
                <w:color w:val="000000"/>
              </w:rPr>
            </w:pPr>
            <w:r w:rsidRPr="0049513C">
              <w:rPr>
                <w:rFonts w:ascii="Calibri" w:eastAsia="Times New Roman" w:hAnsi="Calibri" w:cs="Times New Roman"/>
                <w:color w:val="000000"/>
              </w:rPr>
              <w:t xml:space="preserve">Multi-Factor Authentication (MFA) based jump hosts within dedicated landing / management zones is required to access and/or administer BPaaS system level access. </w:t>
            </w:r>
          </w:p>
        </w:tc>
        <w:tc>
          <w:tcPr>
            <w:tcW w:w="4140" w:type="dxa"/>
            <w:tcBorders>
              <w:top w:val="nil"/>
              <w:left w:val="nil"/>
              <w:bottom w:val="single" w:sz="4" w:space="0" w:color="auto"/>
              <w:right w:val="single" w:sz="4" w:space="0" w:color="auto"/>
            </w:tcBorders>
            <w:shd w:val="clear" w:color="000000" w:fill="FFFFFF"/>
            <w:hideMark/>
          </w:tcPr>
          <w:p w:rsidR="0049513C" w:rsidRPr="0049513C" w:rsidRDefault="0049513C" w:rsidP="0049513C">
            <w:pPr>
              <w:spacing w:after="0" w:line="240" w:lineRule="auto"/>
              <w:rPr>
                <w:rFonts w:ascii="Calibri" w:eastAsia="Times New Roman" w:hAnsi="Calibri" w:cs="Times New Roman"/>
                <w:color w:val="000000"/>
              </w:rPr>
            </w:pPr>
            <w:r w:rsidRPr="0049513C">
              <w:rPr>
                <w:rFonts w:ascii="Calibri" w:eastAsia="Times New Roman" w:hAnsi="Calibri" w:cs="Times New Roman"/>
                <w:color w:val="000000"/>
              </w:rPr>
              <w:t>Dedicated jump server</w:t>
            </w:r>
            <w:r>
              <w:rPr>
                <w:rFonts w:ascii="Calibri" w:eastAsia="Times New Roman" w:hAnsi="Calibri" w:cs="Times New Roman"/>
                <w:color w:val="000000"/>
              </w:rPr>
              <w:t xml:space="preserve"> provisioned to connect to the application environment</w:t>
            </w:r>
          </w:p>
        </w:tc>
      </w:tr>
      <w:tr w:rsidR="0049513C" w:rsidRPr="0049513C" w:rsidTr="0049513C">
        <w:trPr>
          <w:trHeight w:val="890"/>
        </w:trPr>
        <w:tc>
          <w:tcPr>
            <w:tcW w:w="900" w:type="dxa"/>
            <w:tcBorders>
              <w:top w:val="nil"/>
              <w:left w:val="single" w:sz="4" w:space="0" w:color="auto"/>
              <w:bottom w:val="single" w:sz="4" w:space="0" w:color="auto"/>
              <w:right w:val="single" w:sz="4" w:space="0" w:color="auto"/>
            </w:tcBorders>
            <w:shd w:val="clear" w:color="000000" w:fill="FFFFFF"/>
            <w:hideMark/>
          </w:tcPr>
          <w:p w:rsidR="0049513C" w:rsidRPr="0049513C" w:rsidRDefault="0049513C" w:rsidP="0049513C">
            <w:pPr>
              <w:spacing w:after="0" w:line="240" w:lineRule="auto"/>
              <w:rPr>
                <w:rFonts w:ascii="Calibri" w:eastAsia="Times New Roman" w:hAnsi="Calibri" w:cs="Times New Roman"/>
                <w:color w:val="000000"/>
              </w:rPr>
            </w:pPr>
            <w:r w:rsidRPr="0049513C">
              <w:rPr>
                <w:rFonts w:ascii="Calibri" w:eastAsia="Times New Roman" w:hAnsi="Calibri" w:cs="Times New Roman"/>
                <w:color w:val="000000"/>
              </w:rPr>
              <w:t>1010</w:t>
            </w:r>
          </w:p>
        </w:tc>
        <w:tc>
          <w:tcPr>
            <w:tcW w:w="5760" w:type="dxa"/>
            <w:tcBorders>
              <w:top w:val="nil"/>
              <w:left w:val="nil"/>
              <w:bottom w:val="single" w:sz="4" w:space="0" w:color="auto"/>
              <w:right w:val="single" w:sz="4" w:space="0" w:color="auto"/>
            </w:tcBorders>
            <w:shd w:val="clear" w:color="000000" w:fill="FFFFFF"/>
            <w:hideMark/>
          </w:tcPr>
          <w:p w:rsidR="0049513C" w:rsidRPr="0049513C" w:rsidRDefault="0049513C" w:rsidP="0049513C">
            <w:pPr>
              <w:spacing w:after="0" w:line="240" w:lineRule="auto"/>
              <w:rPr>
                <w:rFonts w:ascii="Calibri" w:eastAsia="Times New Roman" w:hAnsi="Calibri" w:cs="Times New Roman"/>
                <w:color w:val="000000"/>
              </w:rPr>
            </w:pPr>
            <w:r w:rsidRPr="0049513C">
              <w:rPr>
                <w:rFonts w:ascii="Calibri" w:eastAsia="Times New Roman" w:hAnsi="Calibri" w:cs="Times New Roman"/>
                <w:color w:val="000000"/>
              </w:rPr>
              <w:t xml:space="preserve">Multi-Factor Authentication into all jump servers is required. In AWS environments, this should </w:t>
            </w:r>
            <w:r w:rsidR="00540BFE" w:rsidRPr="0049513C">
              <w:rPr>
                <w:rFonts w:ascii="Calibri" w:eastAsia="Times New Roman" w:hAnsi="Calibri" w:cs="Times New Roman"/>
                <w:color w:val="000000"/>
              </w:rPr>
              <w:t>include</w:t>
            </w:r>
            <w:r w:rsidRPr="0049513C">
              <w:rPr>
                <w:rFonts w:ascii="Calibri" w:eastAsia="Times New Roman" w:hAnsi="Calibri" w:cs="Times New Roman"/>
                <w:color w:val="000000"/>
              </w:rPr>
              <w:t xml:space="preserve"> controls to restrict access to the AWS Console.</w:t>
            </w:r>
          </w:p>
        </w:tc>
        <w:tc>
          <w:tcPr>
            <w:tcW w:w="4140" w:type="dxa"/>
            <w:tcBorders>
              <w:top w:val="nil"/>
              <w:left w:val="nil"/>
              <w:bottom w:val="single" w:sz="4" w:space="0" w:color="auto"/>
              <w:right w:val="single" w:sz="4" w:space="0" w:color="auto"/>
            </w:tcBorders>
            <w:shd w:val="clear" w:color="000000" w:fill="FFFFFF"/>
            <w:hideMark/>
          </w:tcPr>
          <w:p w:rsidR="0049513C" w:rsidRPr="0049513C" w:rsidRDefault="0049513C" w:rsidP="0049513C">
            <w:pPr>
              <w:spacing w:after="0" w:line="240" w:lineRule="auto"/>
              <w:rPr>
                <w:rFonts w:ascii="Calibri" w:eastAsia="Times New Roman" w:hAnsi="Calibri" w:cs="Times New Roman"/>
                <w:color w:val="000000"/>
              </w:rPr>
            </w:pPr>
            <w:r>
              <w:rPr>
                <w:rFonts w:ascii="Calibri" w:eastAsia="Times New Roman" w:hAnsi="Calibri" w:cs="Times New Roman"/>
                <w:color w:val="000000"/>
              </w:rPr>
              <w:t>Implemented RBAC to azure services</w:t>
            </w:r>
            <w:r w:rsidRPr="0049513C">
              <w:rPr>
                <w:rFonts w:ascii="Calibri" w:eastAsia="Times New Roman" w:hAnsi="Calibri" w:cs="Times New Roman"/>
                <w:color w:val="000000"/>
              </w:rPr>
              <w:t xml:space="preserve"> </w:t>
            </w:r>
          </w:p>
        </w:tc>
      </w:tr>
      <w:tr w:rsidR="0049513C" w:rsidRPr="0049513C" w:rsidTr="0049513C">
        <w:trPr>
          <w:trHeight w:val="600"/>
        </w:trPr>
        <w:tc>
          <w:tcPr>
            <w:tcW w:w="900" w:type="dxa"/>
            <w:tcBorders>
              <w:top w:val="nil"/>
              <w:left w:val="single" w:sz="4" w:space="0" w:color="auto"/>
              <w:bottom w:val="single" w:sz="4" w:space="0" w:color="auto"/>
              <w:right w:val="single" w:sz="4" w:space="0" w:color="auto"/>
            </w:tcBorders>
            <w:shd w:val="clear" w:color="000000" w:fill="FFFFFF"/>
            <w:hideMark/>
          </w:tcPr>
          <w:p w:rsidR="0049513C" w:rsidRPr="0049513C" w:rsidRDefault="0049513C" w:rsidP="0049513C">
            <w:pPr>
              <w:spacing w:after="0" w:line="240" w:lineRule="auto"/>
              <w:rPr>
                <w:rFonts w:ascii="Calibri" w:eastAsia="Times New Roman" w:hAnsi="Calibri" w:cs="Times New Roman"/>
                <w:color w:val="000000"/>
              </w:rPr>
            </w:pPr>
            <w:r w:rsidRPr="0049513C">
              <w:rPr>
                <w:rFonts w:ascii="Calibri" w:eastAsia="Times New Roman" w:hAnsi="Calibri" w:cs="Times New Roman"/>
                <w:color w:val="000000"/>
              </w:rPr>
              <w:lastRenderedPageBreak/>
              <w:t>1011</w:t>
            </w:r>
          </w:p>
        </w:tc>
        <w:tc>
          <w:tcPr>
            <w:tcW w:w="5760" w:type="dxa"/>
            <w:tcBorders>
              <w:top w:val="nil"/>
              <w:left w:val="nil"/>
              <w:bottom w:val="single" w:sz="4" w:space="0" w:color="auto"/>
              <w:right w:val="single" w:sz="4" w:space="0" w:color="auto"/>
            </w:tcBorders>
            <w:shd w:val="clear" w:color="000000" w:fill="FFFFFF"/>
            <w:hideMark/>
          </w:tcPr>
          <w:p w:rsidR="0049513C" w:rsidRPr="0049513C" w:rsidRDefault="0049513C" w:rsidP="0049513C">
            <w:pPr>
              <w:spacing w:after="0" w:line="240" w:lineRule="auto"/>
              <w:rPr>
                <w:rFonts w:ascii="Calibri" w:eastAsia="Times New Roman" w:hAnsi="Calibri" w:cs="Times New Roman"/>
                <w:color w:val="000000"/>
              </w:rPr>
            </w:pPr>
            <w:r w:rsidRPr="0049513C">
              <w:rPr>
                <w:rFonts w:ascii="Calibri" w:eastAsia="Times New Roman" w:hAnsi="Calibri" w:cs="Times New Roman"/>
                <w:color w:val="000000"/>
              </w:rPr>
              <w:t xml:space="preserve">Internet access is prohibited for any internal production or lower environment servers. </w:t>
            </w:r>
          </w:p>
        </w:tc>
        <w:tc>
          <w:tcPr>
            <w:tcW w:w="4140" w:type="dxa"/>
            <w:tcBorders>
              <w:top w:val="nil"/>
              <w:left w:val="nil"/>
              <w:bottom w:val="single" w:sz="4" w:space="0" w:color="auto"/>
              <w:right w:val="single" w:sz="4" w:space="0" w:color="auto"/>
            </w:tcBorders>
            <w:shd w:val="clear" w:color="000000" w:fill="FFFFFF"/>
            <w:hideMark/>
          </w:tcPr>
          <w:p w:rsidR="0049513C" w:rsidRPr="0049513C" w:rsidRDefault="0049513C" w:rsidP="0049513C">
            <w:pPr>
              <w:spacing w:after="0" w:line="240" w:lineRule="auto"/>
              <w:rPr>
                <w:rFonts w:ascii="Calibri" w:eastAsia="Times New Roman" w:hAnsi="Calibri" w:cs="Times New Roman"/>
                <w:color w:val="000000"/>
              </w:rPr>
            </w:pPr>
            <w:r>
              <w:rPr>
                <w:rFonts w:ascii="Calibri" w:eastAsia="Times New Roman" w:hAnsi="Calibri" w:cs="Times New Roman"/>
                <w:color w:val="000000"/>
              </w:rPr>
              <w:t>Machines are domain joined to AD machine and internal DNS created prohibits the internet access</w:t>
            </w:r>
          </w:p>
        </w:tc>
      </w:tr>
      <w:tr w:rsidR="0049513C" w:rsidRPr="0049513C" w:rsidTr="0049513C">
        <w:trPr>
          <w:trHeight w:val="1800"/>
        </w:trPr>
        <w:tc>
          <w:tcPr>
            <w:tcW w:w="900" w:type="dxa"/>
            <w:tcBorders>
              <w:top w:val="nil"/>
              <w:left w:val="single" w:sz="4" w:space="0" w:color="auto"/>
              <w:bottom w:val="single" w:sz="4" w:space="0" w:color="auto"/>
              <w:right w:val="single" w:sz="4" w:space="0" w:color="auto"/>
            </w:tcBorders>
            <w:shd w:val="clear" w:color="000000" w:fill="FFFFFF"/>
            <w:hideMark/>
          </w:tcPr>
          <w:p w:rsidR="0049513C" w:rsidRPr="0049513C" w:rsidRDefault="0049513C" w:rsidP="0049513C">
            <w:pPr>
              <w:spacing w:after="0" w:line="240" w:lineRule="auto"/>
              <w:rPr>
                <w:rFonts w:ascii="Calibri" w:eastAsia="Times New Roman" w:hAnsi="Calibri" w:cs="Times New Roman"/>
                <w:color w:val="000000"/>
              </w:rPr>
            </w:pPr>
            <w:r w:rsidRPr="0049513C">
              <w:rPr>
                <w:rFonts w:ascii="Calibri" w:eastAsia="Times New Roman" w:hAnsi="Calibri" w:cs="Times New Roman"/>
                <w:color w:val="000000"/>
              </w:rPr>
              <w:t>1032</w:t>
            </w:r>
          </w:p>
        </w:tc>
        <w:tc>
          <w:tcPr>
            <w:tcW w:w="5760" w:type="dxa"/>
            <w:tcBorders>
              <w:top w:val="nil"/>
              <w:left w:val="nil"/>
              <w:bottom w:val="single" w:sz="4" w:space="0" w:color="auto"/>
              <w:right w:val="single" w:sz="4" w:space="0" w:color="auto"/>
            </w:tcBorders>
            <w:shd w:val="clear" w:color="000000" w:fill="FFFFFF"/>
            <w:hideMark/>
          </w:tcPr>
          <w:p w:rsidR="0049513C" w:rsidRPr="0049513C" w:rsidRDefault="0049513C" w:rsidP="0049513C">
            <w:pPr>
              <w:spacing w:after="0" w:line="240" w:lineRule="auto"/>
              <w:rPr>
                <w:rFonts w:ascii="Calibri" w:eastAsia="Times New Roman" w:hAnsi="Calibri" w:cs="Times New Roman"/>
                <w:color w:val="000000"/>
              </w:rPr>
            </w:pPr>
            <w:r w:rsidRPr="0049513C">
              <w:rPr>
                <w:rFonts w:ascii="Calibri" w:eastAsia="Times New Roman" w:hAnsi="Calibri" w:cs="Times New Roman"/>
                <w:color w:val="000000"/>
              </w:rPr>
              <w:t xml:space="preserve">Servers should be logically separated between clients (not customers specifically). i.e. VDI access per business role and justification is only for required access. i.e. BPaaS personnel should only access application BPaaS interface. Not access to the server / data center segment. </w:t>
            </w:r>
          </w:p>
        </w:tc>
        <w:tc>
          <w:tcPr>
            <w:tcW w:w="4140" w:type="dxa"/>
            <w:tcBorders>
              <w:top w:val="nil"/>
              <w:left w:val="nil"/>
              <w:bottom w:val="single" w:sz="4" w:space="0" w:color="auto"/>
              <w:right w:val="single" w:sz="4" w:space="0" w:color="auto"/>
            </w:tcBorders>
            <w:shd w:val="clear" w:color="000000" w:fill="FFFFFF"/>
            <w:hideMark/>
          </w:tcPr>
          <w:p w:rsidR="0049513C" w:rsidRPr="0049513C" w:rsidRDefault="0049513C" w:rsidP="0049513C">
            <w:pPr>
              <w:spacing w:after="0" w:line="240" w:lineRule="auto"/>
              <w:rPr>
                <w:rFonts w:ascii="Calibri" w:eastAsia="Times New Roman" w:hAnsi="Calibri" w:cs="Times New Roman"/>
                <w:color w:val="000000"/>
              </w:rPr>
            </w:pPr>
            <w:r>
              <w:rPr>
                <w:rFonts w:ascii="Calibri" w:eastAsia="Times New Roman" w:hAnsi="Calibri" w:cs="Times New Roman"/>
                <w:color w:val="000000"/>
              </w:rPr>
              <w:t>Machines are isolated by subnet and traffic restricted and secured by NSG/Firewall</w:t>
            </w:r>
          </w:p>
        </w:tc>
      </w:tr>
      <w:tr w:rsidR="0049513C" w:rsidRPr="0049513C" w:rsidTr="0049513C">
        <w:trPr>
          <w:trHeight w:val="2100"/>
        </w:trPr>
        <w:tc>
          <w:tcPr>
            <w:tcW w:w="900" w:type="dxa"/>
            <w:tcBorders>
              <w:top w:val="nil"/>
              <w:left w:val="single" w:sz="4" w:space="0" w:color="auto"/>
              <w:bottom w:val="single" w:sz="4" w:space="0" w:color="auto"/>
              <w:right w:val="single" w:sz="4" w:space="0" w:color="auto"/>
            </w:tcBorders>
            <w:shd w:val="clear" w:color="000000" w:fill="FFFFFF"/>
            <w:hideMark/>
          </w:tcPr>
          <w:p w:rsidR="0049513C" w:rsidRPr="0049513C" w:rsidRDefault="0049513C" w:rsidP="0049513C">
            <w:pPr>
              <w:spacing w:after="0" w:line="240" w:lineRule="auto"/>
              <w:rPr>
                <w:rFonts w:ascii="Calibri" w:eastAsia="Times New Roman" w:hAnsi="Calibri" w:cs="Times New Roman"/>
                <w:color w:val="000000"/>
              </w:rPr>
            </w:pPr>
            <w:r w:rsidRPr="0049513C">
              <w:rPr>
                <w:rFonts w:ascii="Calibri" w:eastAsia="Times New Roman" w:hAnsi="Calibri" w:cs="Times New Roman"/>
                <w:color w:val="000000"/>
              </w:rPr>
              <w:t>1013</w:t>
            </w:r>
          </w:p>
        </w:tc>
        <w:tc>
          <w:tcPr>
            <w:tcW w:w="5760" w:type="dxa"/>
            <w:tcBorders>
              <w:top w:val="nil"/>
              <w:left w:val="nil"/>
              <w:bottom w:val="single" w:sz="4" w:space="0" w:color="auto"/>
              <w:right w:val="single" w:sz="4" w:space="0" w:color="auto"/>
            </w:tcBorders>
            <w:shd w:val="clear" w:color="000000" w:fill="FFFFFF"/>
            <w:hideMark/>
          </w:tcPr>
          <w:p w:rsidR="0049513C" w:rsidRPr="0049513C" w:rsidRDefault="0049513C" w:rsidP="0049513C">
            <w:pPr>
              <w:spacing w:after="0" w:line="240" w:lineRule="auto"/>
              <w:rPr>
                <w:rFonts w:ascii="Calibri" w:eastAsia="Times New Roman" w:hAnsi="Calibri" w:cs="Times New Roman"/>
                <w:color w:val="000000"/>
              </w:rPr>
            </w:pPr>
            <w:r w:rsidRPr="0049513C">
              <w:rPr>
                <w:rFonts w:ascii="Calibri" w:eastAsia="Times New Roman" w:hAnsi="Calibri" w:cs="Times New Roman"/>
                <w:color w:val="000000"/>
              </w:rPr>
              <w:t xml:space="preserve">Environment </w:t>
            </w:r>
            <w:r w:rsidR="00540BFE" w:rsidRPr="0049513C">
              <w:rPr>
                <w:rFonts w:ascii="Calibri" w:eastAsia="Times New Roman" w:hAnsi="Calibri" w:cs="Times New Roman"/>
                <w:color w:val="000000"/>
              </w:rPr>
              <w:t>hardening i.e</w:t>
            </w:r>
            <w:r w:rsidRPr="0049513C">
              <w:rPr>
                <w:rFonts w:ascii="Calibri" w:eastAsia="Times New Roman" w:hAnsi="Calibri" w:cs="Times New Roman"/>
                <w:color w:val="000000"/>
              </w:rPr>
              <w:t xml:space="preserve">. Secure Configuration Standards (SCS's) across the entire environment </w:t>
            </w:r>
            <w:r w:rsidR="00540BFE" w:rsidRPr="0049513C">
              <w:rPr>
                <w:rFonts w:ascii="Calibri" w:eastAsia="Times New Roman" w:hAnsi="Calibri" w:cs="Times New Roman"/>
                <w:color w:val="000000"/>
              </w:rPr>
              <w:t>including:</w:t>
            </w:r>
            <w:r w:rsidRPr="0049513C">
              <w:rPr>
                <w:rFonts w:ascii="Calibri" w:eastAsia="Times New Roman" w:hAnsi="Calibri" w:cs="Times New Roman"/>
                <w:color w:val="000000"/>
              </w:rPr>
              <w:t xml:space="preserve"> Servers, WAN Devices, Middleware, DBMS's, etc. is required for secure build and documentation purposes. No new technology and/or devices are permitted in any environment without a SCS and security review. </w:t>
            </w:r>
          </w:p>
        </w:tc>
        <w:tc>
          <w:tcPr>
            <w:tcW w:w="4140" w:type="dxa"/>
            <w:tcBorders>
              <w:top w:val="nil"/>
              <w:left w:val="nil"/>
              <w:bottom w:val="single" w:sz="4" w:space="0" w:color="auto"/>
              <w:right w:val="single" w:sz="4" w:space="0" w:color="auto"/>
            </w:tcBorders>
            <w:shd w:val="clear" w:color="000000" w:fill="FFFFFF"/>
            <w:hideMark/>
          </w:tcPr>
          <w:p w:rsidR="0049513C" w:rsidRPr="0049513C" w:rsidRDefault="0049513C" w:rsidP="0049513C">
            <w:pPr>
              <w:spacing w:after="0" w:line="240" w:lineRule="auto"/>
              <w:rPr>
                <w:rFonts w:ascii="Calibri" w:eastAsia="Times New Roman" w:hAnsi="Calibri" w:cs="Times New Roman"/>
                <w:color w:val="000000"/>
              </w:rPr>
            </w:pPr>
            <w:r>
              <w:rPr>
                <w:rFonts w:ascii="Calibri" w:eastAsia="Times New Roman" w:hAnsi="Calibri" w:cs="Times New Roman"/>
                <w:color w:val="000000"/>
              </w:rPr>
              <w:t>Standard OS hardening done</w:t>
            </w:r>
          </w:p>
        </w:tc>
      </w:tr>
      <w:tr w:rsidR="0049513C" w:rsidRPr="0049513C" w:rsidTr="0049513C">
        <w:trPr>
          <w:trHeight w:val="1200"/>
        </w:trPr>
        <w:tc>
          <w:tcPr>
            <w:tcW w:w="900" w:type="dxa"/>
            <w:tcBorders>
              <w:top w:val="nil"/>
              <w:left w:val="single" w:sz="4" w:space="0" w:color="auto"/>
              <w:bottom w:val="single" w:sz="4" w:space="0" w:color="auto"/>
              <w:right w:val="single" w:sz="4" w:space="0" w:color="auto"/>
            </w:tcBorders>
            <w:shd w:val="clear" w:color="000000" w:fill="FFFFFF"/>
            <w:hideMark/>
          </w:tcPr>
          <w:p w:rsidR="0049513C" w:rsidRPr="0049513C" w:rsidRDefault="0049513C" w:rsidP="0049513C">
            <w:pPr>
              <w:spacing w:after="0" w:line="240" w:lineRule="auto"/>
              <w:rPr>
                <w:rFonts w:ascii="Calibri" w:eastAsia="Times New Roman" w:hAnsi="Calibri" w:cs="Times New Roman"/>
                <w:color w:val="000000"/>
              </w:rPr>
            </w:pPr>
            <w:r w:rsidRPr="0049513C">
              <w:rPr>
                <w:rFonts w:ascii="Calibri" w:eastAsia="Times New Roman" w:hAnsi="Calibri" w:cs="Times New Roman"/>
                <w:color w:val="000000"/>
              </w:rPr>
              <w:t>1008</w:t>
            </w:r>
          </w:p>
        </w:tc>
        <w:tc>
          <w:tcPr>
            <w:tcW w:w="5760" w:type="dxa"/>
            <w:tcBorders>
              <w:top w:val="nil"/>
              <w:left w:val="nil"/>
              <w:bottom w:val="single" w:sz="4" w:space="0" w:color="auto"/>
              <w:right w:val="single" w:sz="4" w:space="0" w:color="auto"/>
            </w:tcBorders>
            <w:shd w:val="clear" w:color="000000" w:fill="FFFFFF"/>
            <w:hideMark/>
          </w:tcPr>
          <w:p w:rsidR="0049513C" w:rsidRPr="0049513C" w:rsidRDefault="0049513C" w:rsidP="0049513C">
            <w:pPr>
              <w:spacing w:after="0" w:line="240" w:lineRule="auto"/>
              <w:rPr>
                <w:rFonts w:ascii="Calibri" w:eastAsia="Times New Roman" w:hAnsi="Calibri" w:cs="Times New Roman"/>
                <w:color w:val="000000"/>
              </w:rPr>
            </w:pPr>
            <w:r w:rsidRPr="0049513C">
              <w:rPr>
                <w:rFonts w:ascii="Calibri" w:eastAsia="Times New Roman" w:hAnsi="Calibri" w:cs="Times New Roman"/>
                <w:color w:val="000000"/>
              </w:rPr>
              <w:t>Internal Key Management solutions and corresponding processes pertaining to the lifecycle of keys and/or certificates used within the environment is required.</w:t>
            </w:r>
          </w:p>
        </w:tc>
        <w:tc>
          <w:tcPr>
            <w:tcW w:w="4140" w:type="dxa"/>
            <w:tcBorders>
              <w:top w:val="nil"/>
              <w:left w:val="nil"/>
              <w:bottom w:val="single" w:sz="4" w:space="0" w:color="auto"/>
              <w:right w:val="single" w:sz="4" w:space="0" w:color="auto"/>
            </w:tcBorders>
            <w:shd w:val="clear" w:color="000000" w:fill="FFFFFF"/>
            <w:hideMark/>
          </w:tcPr>
          <w:p w:rsidR="0049513C" w:rsidRPr="0049513C" w:rsidRDefault="0049513C" w:rsidP="0049513C">
            <w:pPr>
              <w:spacing w:after="0" w:line="240" w:lineRule="auto"/>
              <w:rPr>
                <w:rFonts w:ascii="Calibri" w:eastAsia="Times New Roman" w:hAnsi="Calibri" w:cs="Times New Roman"/>
                <w:color w:val="000000"/>
              </w:rPr>
            </w:pPr>
            <w:r>
              <w:rPr>
                <w:rFonts w:ascii="Calibri" w:eastAsia="Times New Roman" w:hAnsi="Calibri" w:cs="Times New Roman"/>
                <w:color w:val="000000"/>
              </w:rPr>
              <w:t>Not Implemented and planning to use Azure Key Vault</w:t>
            </w:r>
          </w:p>
        </w:tc>
      </w:tr>
      <w:tr w:rsidR="0049513C" w:rsidRPr="0049513C" w:rsidTr="0049513C">
        <w:trPr>
          <w:trHeight w:val="1800"/>
        </w:trPr>
        <w:tc>
          <w:tcPr>
            <w:tcW w:w="900" w:type="dxa"/>
            <w:tcBorders>
              <w:top w:val="nil"/>
              <w:left w:val="single" w:sz="4" w:space="0" w:color="auto"/>
              <w:bottom w:val="single" w:sz="4" w:space="0" w:color="auto"/>
              <w:right w:val="single" w:sz="4" w:space="0" w:color="auto"/>
            </w:tcBorders>
            <w:shd w:val="clear" w:color="000000" w:fill="FFFFFF"/>
            <w:hideMark/>
          </w:tcPr>
          <w:p w:rsidR="0049513C" w:rsidRPr="0049513C" w:rsidRDefault="0049513C" w:rsidP="0049513C">
            <w:pPr>
              <w:spacing w:after="0" w:line="240" w:lineRule="auto"/>
              <w:rPr>
                <w:rFonts w:ascii="Calibri" w:eastAsia="Times New Roman" w:hAnsi="Calibri" w:cs="Times New Roman"/>
                <w:color w:val="000000"/>
              </w:rPr>
            </w:pPr>
            <w:r w:rsidRPr="0049513C">
              <w:rPr>
                <w:rFonts w:ascii="Calibri" w:eastAsia="Times New Roman" w:hAnsi="Calibri" w:cs="Times New Roman"/>
                <w:color w:val="000000"/>
              </w:rPr>
              <w:t>1019</w:t>
            </w:r>
          </w:p>
        </w:tc>
        <w:tc>
          <w:tcPr>
            <w:tcW w:w="5760" w:type="dxa"/>
            <w:tcBorders>
              <w:top w:val="nil"/>
              <w:left w:val="nil"/>
              <w:bottom w:val="single" w:sz="4" w:space="0" w:color="auto"/>
              <w:right w:val="single" w:sz="4" w:space="0" w:color="auto"/>
            </w:tcBorders>
            <w:shd w:val="clear" w:color="000000" w:fill="FFFFFF"/>
            <w:hideMark/>
          </w:tcPr>
          <w:p w:rsidR="0049513C" w:rsidRPr="0049513C" w:rsidRDefault="0049513C" w:rsidP="0049513C">
            <w:pPr>
              <w:spacing w:after="0" w:line="240" w:lineRule="auto"/>
              <w:rPr>
                <w:rFonts w:ascii="Calibri" w:eastAsia="Times New Roman" w:hAnsi="Calibri" w:cs="Times New Roman"/>
                <w:color w:val="000000"/>
              </w:rPr>
            </w:pPr>
            <w:r w:rsidRPr="0049513C">
              <w:rPr>
                <w:rFonts w:ascii="Calibri" w:eastAsia="Times New Roman" w:hAnsi="Calibri" w:cs="Times New Roman"/>
                <w:color w:val="000000"/>
              </w:rPr>
              <w:t xml:space="preserve">BPaaS / Off-shore work on products, Dev support, Production support, and any other forms of access must imitate and traverse over secure VDI access into BPaaS. No direct access is permitted. Onshore server access to initiate and traverse only via Jump Hosts via a dedicated management zone. </w:t>
            </w:r>
          </w:p>
        </w:tc>
        <w:tc>
          <w:tcPr>
            <w:tcW w:w="4140" w:type="dxa"/>
            <w:tcBorders>
              <w:top w:val="nil"/>
              <w:left w:val="nil"/>
              <w:bottom w:val="single" w:sz="4" w:space="0" w:color="auto"/>
              <w:right w:val="single" w:sz="4" w:space="0" w:color="auto"/>
            </w:tcBorders>
            <w:shd w:val="clear" w:color="000000" w:fill="FFFFFF"/>
            <w:hideMark/>
          </w:tcPr>
          <w:p w:rsidR="0049513C" w:rsidRPr="0049513C" w:rsidRDefault="0049513C" w:rsidP="0049513C">
            <w:pPr>
              <w:spacing w:after="0" w:line="240" w:lineRule="auto"/>
              <w:rPr>
                <w:rFonts w:ascii="Calibri" w:eastAsia="Times New Roman" w:hAnsi="Calibri" w:cs="Times New Roman"/>
                <w:color w:val="000000"/>
              </w:rPr>
            </w:pPr>
            <w:r>
              <w:rPr>
                <w:rFonts w:ascii="Calibri" w:eastAsia="Times New Roman" w:hAnsi="Calibri" w:cs="Times New Roman"/>
                <w:color w:val="000000"/>
              </w:rPr>
              <w:t>SSL enabled and all the communication are secured</w:t>
            </w:r>
          </w:p>
        </w:tc>
      </w:tr>
    </w:tbl>
    <w:p w:rsidR="0049513C" w:rsidRPr="0049513C" w:rsidRDefault="0049513C" w:rsidP="0049513C">
      <w:pPr>
        <w:ind w:left="360"/>
        <w:rPr>
          <w:b/>
          <w:bCs/>
          <w:color w:val="0070C0"/>
          <w:sz w:val="40"/>
          <w:szCs w:val="40"/>
        </w:rPr>
      </w:pPr>
    </w:p>
    <w:sectPr w:rsidR="0049513C" w:rsidRPr="0049513C" w:rsidSect="005D1CCF">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95C" w:rsidRDefault="00C2795C" w:rsidP="001D2F87">
      <w:pPr>
        <w:spacing w:after="0" w:line="240" w:lineRule="auto"/>
      </w:pPr>
      <w:r>
        <w:separator/>
      </w:r>
    </w:p>
  </w:endnote>
  <w:endnote w:type="continuationSeparator" w:id="0">
    <w:p w:rsidR="00C2795C" w:rsidRDefault="00C2795C" w:rsidP="001D2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F87" w:rsidRDefault="001D2F87" w:rsidP="001D2F87">
    <w:pPr>
      <w:spacing w:before="83"/>
      <w:ind w:left="5377"/>
      <w:jc w:val="center"/>
      <w:rPr>
        <w:rFonts w:ascii="Arial" w:eastAsia="Arial" w:hAnsi="Arial" w:cs="Arial"/>
        <w:sz w:val="17"/>
        <w:szCs w:val="17"/>
      </w:rPr>
    </w:pPr>
    <w:r>
      <w:rPr>
        <w:noProof/>
      </w:rPr>
      <w:drawing>
        <wp:anchor distT="0" distB="0" distL="114300" distR="114300" simplePos="0" relativeHeight="251659264" behindDoc="0" locked="0" layoutInCell="1" allowOverlap="1" wp14:anchorId="017B33D9" wp14:editId="6E80B364">
          <wp:simplePos x="0" y="0"/>
          <wp:positionH relativeFrom="margin">
            <wp:align>right</wp:align>
          </wp:positionH>
          <wp:positionV relativeFrom="paragraph">
            <wp:posOffset>201930</wp:posOffset>
          </wp:positionV>
          <wp:extent cx="6848475" cy="381635"/>
          <wp:effectExtent l="0" t="0" r="9525"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48475" cy="3816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b/>
        <w:w w:val="105"/>
        <w:sz w:val="17"/>
      </w:rPr>
      <w:t>C3:</w:t>
    </w:r>
    <w:r>
      <w:rPr>
        <w:rFonts w:ascii="Arial"/>
        <w:b/>
        <w:spacing w:val="-8"/>
        <w:w w:val="105"/>
        <w:sz w:val="17"/>
      </w:rPr>
      <w:t xml:space="preserve"> </w:t>
    </w:r>
    <w:r>
      <w:rPr>
        <w:rFonts w:ascii="Arial"/>
        <w:b/>
        <w:spacing w:val="4"/>
        <w:w w:val="105"/>
        <w:sz w:val="17"/>
      </w:rPr>
      <w:t>Protected</w:t>
    </w:r>
  </w:p>
  <w:p w:rsidR="001D2F87" w:rsidRDefault="001D2F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95C" w:rsidRDefault="00C2795C" w:rsidP="001D2F87">
      <w:pPr>
        <w:spacing w:after="0" w:line="240" w:lineRule="auto"/>
      </w:pPr>
      <w:r>
        <w:separator/>
      </w:r>
    </w:p>
  </w:footnote>
  <w:footnote w:type="continuationSeparator" w:id="0">
    <w:p w:rsidR="00C2795C" w:rsidRDefault="00C2795C" w:rsidP="001D2F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EAB" w:rsidRPr="00177BF5" w:rsidRDefault="001D2F87" w:rsidP="00374EAB">
    <w:pPr>
      <w:pStyle w:val="Header"/>
      <w:jc w:val="center"/>
      <w:rPr>
        <w:color w:val="00B0F0"/>
        <w:sz w:val="24"/>
        <w:szCs w:val="24"/>
      </w:rPr>
    </w:pPr>
    <w:r>
      <w:rPr>
        <w:color w:val="00B0F0"/>
        <w:sz w:val="24"/>
        <w:szCs w:val="24"/>
      </w:rPr>
      <w:tab/>
    </w:r>
    <w:r w:rsidR="00B82357">
      <w:rPr>
        <w:color w:val="00B0F0"/>
        <w:sz w:val="24"/>
        <w:szCs w:val="24"/>
      </w:rPr>
      <w:t xml:space="preserve">Azure Infra </w:t>
    </w:r>
    <w:r w:rsidRPr="00177BF5">
      <w:rPr>
        <w:color w:val="00B0F0"/>
        <w:sz w:val="24"/>
        <w:szCs w:val="24"/>
      </w:rPr>
      <w:t>HIPAA Compliance</w:t>
    </w:r>
    <w:r w:rsidR="00374EAB">
      <w:rPr>
        <w:color w:val="00B0F0"/>
        <w:sz w:val="24"/>
        <w:szCs w:val="24"/>
      </w:rPr>
      <w:t xml:space="preserve"> Standards</w:t>
    </w:r>
  </w:p>
  <w:p w:rsidR="001D2F87" w:rsidRDefault="001D2F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F4EDA"/>
    <w:multiLevelType w:val="hybridMultilevel"/>
    <w:tmpl w:val="6F3A9A6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AA2E25"/>
    <w:multiLevelType w:val="hybridMultilevel"/>
    <w:tmpl w:val="17323C9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AFE71B8"/>
    <w:multiLevelType w:val="hybridMultilevel"/>
    <w:tmpl w:val="F016096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F8C7138"/>
    <w:multiLevelType w:val="hybridMultilevel"/>
    <w:tmpl w:val="1C1CDC34"/>
    <w:lvl w:ilvl="0" w:tplc="04090011">
      <w:start w:val="1"/>
      <w:numFmt w:val="decimal"/>
      <w:lvlText w:val="%1)"/>
      <w:lvlJc w:val="left"/>
      <w:pPr>
        <w:ind w:left="1530" w:hanging="360"/>
      </w:pPr>
      <w:rPr>
        <w:rFonts w:hint="default"/>
        <w:spacing w:val="0"/>
        <w:w w:val="101"/>
        <w:sz w:val="22"/>
        <w:szCs w:val="22"/>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210211F6"/>
    <w:multiLevelType w:val="hybridMultilevel"/>
    <w:tmpl w:val="9CB8A9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4776FDE"/>
    <w:multiLevelType w:val="hybridMultilevel"/>
    <w:tmpl w:val="2FF08E7A"/>
    <w:lvl w:ilvl="0" w:tplc="04090011">
      <w:start w:val="1"/>
      <w:numFmt w:val="decimal"/>
      <w:lvlText w:val="%1)"/>
      <w:lvlJc w:val="left"/>
      <w:pPr>
        <w:ind w:left="1440" w:hanging="360"/>
      </w:pPr>
      <w:rPr>
        <w:rFonts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BDB037F"/>
    <w:multiLevelType w:val="hybridMultilevel"/>
    <w:tmpl w:val="AC523C6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40E26D64"/>
    <w:multiLevelType w:val="hybridMultilevel"/>
    <w:tmpl w:val="632C2AD0"/>
    <w:lvl w:ilvl="0" w:tplc="88BC233E">
      <w:start w:val="1"/>
      <w:numFmt w:val="decimal"/>
      <w:lvlText w:val="%1."/>
      <w:lvlJc w:val="left"/>
      <w:pPr>
        <w:ind w:left="735" w:hanging="375"/>
      </w:pPr>
      <w:rPr>
        <w:rFonts w:hint="default"/>
        <w:sz w:val="37"/>
      </w:rPr>
    </w:lvl>
    <w:lvl w:ilvl="1" w:tplc="04090019">
      <w:start w:val="1"/>
      <w:numFmt w:val="lowerLetter"/>
      <w:lvlText w:val="%2."/>
      <w:lvlJc w:val="left"/>
      <w:pPr>
        <w:ind w:left="1440" w:hanging="360"/>
      </w:pPr>
    </w:lvl>
    <w:lvl w:ilvl="2" w:tplc="A52C3BD4">
      <w:start w:val="1"/>
      <w:numFmt w:val="decimal"/>
      <w:lvlText w:val="%3."/>
      <w:lvlJc w:val="left"/>
      <w:pPr>
        <w:ind w:left="2160" w:hanging="180"/>
      </w:pPr>
      <w:rPr>
        <w:rFonts w:ascii="Arial" w:eastAsia="Arial" w:hAnsi="Arial" w:hint="default"/>
        <w:spacing w:val="0"/>
        <w:w w:val="101"/>
        <w:sz w:val="22"/>
        <w:szCs w:val="22"/>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5351522"/>
    <w:multiLevelType w:val="hybridMultilevel"/>
    <w:tmpl w:val="FB347D8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5A5B2CBB"/>
    <w:multiLevelType w:val="hybridMultilevel"/>
    <w:tmpl w:val="2A5A4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EB01FD"/>
    <w:multiLevelType w:val="hybridMultilevel"/>
    <w:tmpl w:val="9C6EBFC6"/>
    <w:lvl w:ilvl="0" w:tplc="A52C3BD4">
      <w:start w:val="1"/>
      <w:numFmt w:val="decimal"/>
      <w:lvlText w:val="%1."/>
      <w:lvlJc w:val="left"/>
      <w:pPr>
        <w:ind w:left="2880" w:hanging="360"/>
      </w:pPr>
      <w:rPr>
        <w:rFonts w:ascii="Arial" w:eastAsia="Arial" w:hAnsi="Arial" w:hint="default"/>
        <w:spacing w:val="0"/>
        <w:w w:val="101"/>
        <w:sz w:val="22"/>
        <w:szCs w:val="22"/>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65D84F4F"/>
    <w:multiLevelType w:val="hybridMultilevel"/>
    <w:tmpl w:val="BBB24474"/>
    <w:lvl w:ilvl="0" w:tplc="A52C3BD4">
      <w:start w:val="1"/>
      <w:numFmt w:val="decimal"/>
      <w:lvlText w:val="%1."/>
      <w:lvlJc w:val="left"/>
      <w:pPr>
        <w:ind w:left="699" w:hanging="609"/>
      </w:pPr>
      <w:rPr>
        <w:rFonts w:ascii="Arial" w:eastAsia="Arial" w:hAnsi="Arial" w:hint="default"/>
        <w:spacing w:val="0"/>
        <w:w w:val="101"/>
        <w:sz w:val="22"/>
        <w:szCs w:val="22"/>
      </w:rPr>
    </w:lvl>
    <w:lvl w:ilvl="1" w:tplc="9476FAE6">
      <w:start w:val="1"/>
      <w:numFmt w:val="bullet"/>
      <w:lvlText w:val="•"/>
      <w:lvlJc w:val="left"/>
      <w:pPr>
        <w:ind w:left="1727" w:hanging="609"/>
      </w:pPr>
      <w:rPr>
        <w:rFonts w:hint="default"/>
      </w:rPr>
    </w:lvl>
    <w:lvl w:ilvl="2" w:tplc="E924CE40">
      <w:start w:val="1"/>
      <w:numFmt w:val="bullet"/>
      <w:lvlText w:val="•"/>
      <w:lvlJc w:val="left"/>
      <w:pPr>
        <w:ind w:left="2745" w:hanging="609"/>
      </w:pPr>
      <w:rPr>
        <w:rFonts w:hint="default"/>
      </w:rPr>
    </w:lvl>
    <w:lvl w:ilvl="3" w:tplc="056C7DD8">
      <w:start w:val="1"/>
      <w:numFmt w:val="bullet"/>
      <w:lvlText w:val="•"/>
      <w:lvlJc w:val="left"/>
      <w:pPr>
        <w:ind w:left="3763" w:hanging="609"/>
      </w:pPr>
      <w:rPr>
        <w:rFonts w:hint="default"/>
      </w:rPr>
    </w:lvl>
    <w:lvl w:ilvl="4" w:tplc="3DA0A6D6">
      <w:start w:val="1"/>
      <w:numFmt w:val="bullet"/>
      <w:lvlText w:val="•"/>
      <w:lvlJc w:val="left"/>
      <w:pPr>
        <w:ind w:left="4781" w:hanging="609"/>
      </w:pPr>
      <w:rPr>
        <w:rFonts w:hint="default"/>
      </w:rPr>
    </w:lvl>
    <w:lvl w:ilvl="5" w:tplc="0A8CE24E">
      <w:start w:val="1"/>
      <w:numFmt w:val="bullet"/>
      <w:lvlText w:val="•"/>
      <w:lvlJc w:val="left"/>
      <w:pPr>
        <w:ind w:left="5799" w:hanging="609"/>
      </w:pPr>
      <w:rPr>
        <w:rFonts w:hint="default"/>
      </w:rPr>
    </w:lvl>
    <w:lvl w:ilvl="6" w:tplc="5E623D28">
      <w:start w:val="1"/>
      <w:numFmt w:val="bullet"/>
      <w:lvlText w:val="•"/>
      <w:lvlJc w:val="left"/>
      <w:pPr>
        <w:ind w:left="6817" w:hanging="609"/>
      </w:pPr>
      <w:rPr>
        <w:rFonts w:hint="default"/>
      </w:rPr>
    </w:lvl>
    <w:lvl w:ilvl="7" w:tplc="ACD26650">
      <w:start w:val="1"/>
      <w:numFmt w:val="bullet"/>
      <w:lvlText w:val="•"/>
      <w:lvlJc w:val="left"/>
      <w:pPr>
        <w:ind w:left="7835" w:hanging="609"/>
      </w:pPr>
      <w:rPr>
        <w:rFonts w:hint="default"/>
      </w:rPr>
    </w:lvl>
    <w:lvl w:ilvl="8" w:tplc="76F652C8">
      <w:start w:val="1"/>
      <w:numFmt w:val="bullet"/>
      <w:lvlText w:val="•"/>
      <w:lvlJc w:val="left"/>
      <w:pPr>
        <w:ind w:left="8853" w:hanging="609"/>
      </w:pPr>
      <w:rPr>
        <w:rFonts w:hint="default"/>
      </w:rPr>
    </w:lvl>
  </w:abstractNum>
  <w:abstractNum w:abstractNumId="12" w15:restartNumberingAfterBreak="0">
    <w:nsid w:val="6AEF24A8"/>
    <w:multiLevelType w:val="hybridMultilevel"/>
    <w:tmpl w:val="07FC8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7616A6"/>
    <w:multiLevelType w:val="hybridMultilevel"/>
    <w:tmpl w:val="2A5A4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414FDD"/>
    <w:multiLevelType w:val="hybridMultilevel"/>
    <w:tmpl w:val="3DC8A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0C5DA0"/>
    <w:multiLevelType w:val="hybridMultilevel"/>
    <w:tmpl w:val="10EA5C14"/>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2"/>
  </w:num>
  <w:num w:numId="2">
    <w:abstractNumId w:val="11"/>
  </w:num>
  <w:num w:numId="3">
    <w:abstractNumId w:val="7"/>
  </w:num>
  <w:num w:numId="4">
    <w:abstractNumId w:val="10"/>
  </w:num>
  <w:num w:numId="5">
    <w:abstractNumId w:val="3"/>
  </w:num>
  <w:num w:numId="6">
    <w:abstractNumId w:val="5"/>
  </w:num>
  <w:num w:numId="7">
    <w:abstractNumId w:val="15"/>
  </w:num>
  <w:num w:numId="8">
    <w:abstractNumId w:val="8"/>
  </w:num>
  <w:num w:numId="9">
    <w:abstractNumId w:val="0"/>
  </w:num>
  <w:num w:numId="10">
    <w:abstractNumId w:val="1"/>
  </w:num>
  <w:num w:numId="11">
    <w:abstractNumId w:val="6"/>
  </w:num>
  <w:num w:numId="12">
    <w:abstractNumId w:val="2"/>
  </w:num>
  <w:num w:numId="13">
    <w:abstractNumId w:val="14"/>
  </w:num>
  <w:num w:numId="14">
    <w:abstractNumId w:val="4"/>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F87"/>
    <w:rsid w:val="00011FE8"/>
    <w:rsid w:val="00031AEC"/>
    <w:rsid w:val="000326FF"/>
    <w:rsid w:val="00057296"/>
    <w:rsid w:val="000B51EF"/>
    <w:rsid w:val="000F01FA"/>
    <w:rsid w:val="000F7930"/>
    <w:rsid w:val="00104E8D"/>
    <w:rsid w:val="00142D77"/>
    <w:rsid w:val="001D031E"/>
    <w:rsid w:val="001D05D7"/>
    <w:rsid w:val="001D09BD"/>
    <w:rsid w:val="001D2F87"/>
    <w:rsid w:val="00216AE3"/>
    <w:rsid w:val="00232AC5"/>
    <w:rsid w:val="002341E2"/>
    <w:rsid w:val="002468F7"/>
    <w:rsid w:val="002B4075"/>
    <w:rsid w:val="002E6155"/>
    <w:rsid w:val="002F5073"/>
    <w:rsid w:val="00302744"/>
    <w:rsid w:val="00346BF7"/>
    <w:rsid w:val="00374EAB"/>
    <w:rsid w:val="00393E4F"/>
    <w:rsid w:val="00401305"/>
    <w:rsid w:val="00445F81"/>
    <w:rsid w:val="0049513C"/>
    <w:rsid w:val="004A7E80"/>
    <w:rsid w:val="00540BFE"/>
    <w:rsid w:val="005433F8"/>
    <w:rsid w:val="00544142"/>
    <w:rsid w:val="005960BA"/>
    <w:rsid w:val="005D1CCF"/>
    <w:rsid w:val="00607DA5"/>
    <w:rsid w:val="00643482"/>
    <w:rsid w:val="006D5C4B"/>
    <w:rsid w:val="006D64AA"/>
    <w:rsid w:val="006E117B"/>
    <w:rsid w:val="006F4549"/>
    <w:rsid w:val="006F57F2"/>
    <w:rsid w:val="00747353"/>
    <w:rsid w:val="007D363E"/>
    <w:rsid w:val="007E1C04"/>
    <w:rsid w:val="008A5006"/>
    <w:rsid w:val="008B63D1"/>
    <w:rsid w:val="008B6B5B"/>
    <w:rsid w:val="008D067F"/>
    <w:rsid w:val="008D27B9"/>
    <w:rsid w:val="009114D1"/>
    <w:rsid w:val="009B5817"/>
    <w:rsid w:val="00A8727C"/>
    <w:rsid w:val="00AE0987"/>
    <w:rsid w:val="00AF205E"/>
    <w:rsid w:val="00AF58B6"/>
    <w:rsid w:val="00B17130"/>
    <w:rsid w:val="00B77E58"/>
    <w:rsid w:val="00B82357"/>
    <w:rsid w:val="00B85BE6"/>
    <w:rsid w:val="00BF1BB9"/>
    <w:rsid w:val="00C17E16"/>
    <w:rsid w:val="00C2795C"/>
    <w:rsid w:val="00C32B17"/>
    <w:rsid w:val="00C56FDA"/>
    <w:rsid w:val="00C73D59"/>
    <w:rsid w:val="00C8284B"/>
    <w:rsid w:val="00CB30A1"/>
    <w:rsid w:val="00CE01E7"/>
    <w:rsid w:val="00D00802"/>
    <w:rsid w:val="00D30704"/>
    <w:rsid w:val="00DA1879"/>
    <w:rsid w:val="00DE745B"/>
    <w:rsid w:val="00E11084"/>
    <w:rsid w:val="00E12764"/>
    <w:rsid w:val="00E70D8A"/>
    <w:rsid w:val="00F04B9F"/>
    <w:rsid w:val="00F168E4"/>
    <w:rsid w:val="00F22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5D948F-41BA-429F-B051-97FF8B75D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34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F87"/>
  </w:style>
  <w:style w:type="paragraph" w:styleId="Footer">
    <w:name w:val="footer"/>
    <w:basedOn w:val="Normal"/>
    <w:link w:val="FooterChar"/>
    <w:uiPriority w:val="99"/>
    <w:unhideWhenUsed/>
    <w:rsid w:val="001D2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F87"/>
  </w:style>
  <w:style w:type="paragraph" w:customStyle="1" w:styleId="TableParagraph">
    <w:name w:val="Table Paragraph"/>
    <w:basedOn w:val="Normal"/>
    <w:uiPriority w:val="1"/>
    <w:qFormat/>
    <w:rsid w:val="001D2F87"/>
    <w:pPr>
      <w:widowControl w:val="0"/>
      <w:spacing w:after="0" w:line="240" w:lineRule="auto"/>
    </w:pPr>
  </w:style>
  <w:style w:type="paragraph" w:styleId="NoSpacing">
    <w:name w:val="No Spacing"/>
    <w:uiPriority w:val="1"/>
    <w:qFormat/>
    <w:rsid w:val="00C73D59"/>
    <w:pPr>
      <w:spacing w:after="0" w:line="240" w:lineRule="auto"/>
    </w:pPr>
  </w:style>
  <w:style w:type="paragraph" w:styleId="ListParagraph">
    <w:name w:val="List Paragraph"/>
    <w:basedOn w:val="Normal"/>
    <w:uiPriority w:val="1"/>
    <w:qFormat/>
    <w:rsid w:val="00C73D59"/>
    <w:pPr>
      <w:ind w:left="720"/>
      <w:contextualSpacing/>
    </w:pPr>
  </w:style>
  <w:style w:type="paragraph" w:customStyle="1" w:styleId="Default">
    <w:name w:val="Default"/>
    <w:rsid w:val="00B85BE6"/>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DA1879"/>
    <w:rPr>
      <w:i/>
      <w:iCs/>
    </w:rPr>
  </w:style>
  <w:style w:type="character" w:customStyle="1" w:styleId="apple-converted-space">
    <w:name w:val="apple-converted-space"/>
    <w:basedOn w:val="DefaultParagraphFont"/>
    <w:rsid w:val="00CB30A1"/>
  </w:style>
  <w:style w:type="character" w:styleId="Strong">
    <w:name w:val="Strong"/>
    <w:basedOn w:val="DefaultParagraphFont"/>
    <w:uiPriority w:val="22"/>
    <w:qFormat/>
    <w:rsid w:val="00CB30A1"/>
    <w:rPr>
      <w:b/>
      <w:bCs/>
    </w:rPr>
  </w:style>
  <w:style w:type="character" w:styleId="Hyperlink">
    <w:name w:val="Hyperlink"/>
    <w:basedOn w:val="DefaultParagraphFont"/>
    <w:uiPriority w:val="99"/>
    <w:unhideWhenUsed/>
    <w:rsid w:val="00B77E58"/>
    <w:rPr>
      <w:rFonts w:ascii="Times New Roman" w:hAnsi="Times New Roman" w:cs="Times New Roman" w:hint="default"/>
      <w:color w:val="000000"/>
      <w:u w:val="single"/>
    </w:rPr>
  </w:style>
  <w:style w:type="table" w:styleId="TableGrid">
    <w:name w:val="Table Grid"/>
    <w:basedOn w:val="TableNormal"/>
    <w:uiPriority w:val="39"/>
    <w:rsid w:val="00B77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4348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43482"/>
    <w:pPr>
      <w:outlineLvl w:val="9"/>
    </w:pPr>
  </w:style>
  <w:style w:type="paragraph" w:styleId="TOC1">
    <w:name w:val="toc 1"/>
    <w:basedOn w:val="Normal"/>
    <w:next w:val="Normal"/>
    <w:autoRedefine/>
    <w:uiPriority w:val="39"/>
    <w:unhideWhenUsed/>
    <w:rsid w:val="00E1276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317048">
      <w:bodyDiv w:val="1"/>
      <w:marLeft w:val="0"/>
      <w:marRight w:val="0"/>
      <w:marTop w:val="0"/>
      <w:marBottom w:val="0"/>
      <w:divBdr>
        <w:top w:val="none" w:sz="0" w:space="0" w:color="auto"/>
        <w:left w:val="none" w:sz="0" w:space="0" w:color="auto"/>
        <w:bottom w:val="none" w:sz="0" w:space="0" w:color="auto"/>
        <w:right w:val="none" w:sz="0" w:space="0" w:color="auto"/>
      </w:divBdr>
    </w:div>
    <w:div w:id="287471750">
      <w:bodyDiv w:val="1"/>
      <w:marLeft w:val="0"/>
      <w:marRight w:val="0"/>
      <w:marTop w:val="0"/>
      <w:marBottom w:val="0"/>
      <w:divBdr>
        <w:top w:val="none" w:sz="0" w:space="0" w:color="auto"/>
        <w:left w:val="none" w:sz="0" w:space="0" w:color="auto"/>
        <w:bottom w:val="none" w:sz="0" w:space="0" w:color="auto"/>
        <w:right w:val="none" w:sz="0" w:space="0" w:color="auto"/>
      </w:divBdr>
    </w:div>
    <w:div w:id="448282938">
      <w:bodyDiv w:val="1"/>
      <w:marLeft w:val="0"/>
      <w:marRight w:val="0"/>
      <w:marTop w:val="0"/>
      <w:marBottom w:val="0"/>
      <w:divBdr>
        <w:top w:val="none" w:sz="0" w:space="0" w:color="auto"/>
        <w:left w:val="none" w:sz="0" w:space="0" w:color="auto"/>
        <w:bottom w:val="none" w:sz="0" w:space="0" w:color="auto"/>
        <w:right w:val="none" w:sz="0" w:space="0" w:color="auto"/>
      </w:divBdr>
    </w:div>
    <w:div w:id="648676248">
      <w:bodyDiv w:val="1"/>
      <w:marLeft w:val="0"/>
      <w:marRight w:val="0"/>
      <w:marTop w:val="0"/>
      <w:marBottom w:val="0"/>
      <w:divBdr>
        <w:top w:val="none" w:sz="0" w:space="0" w:color="auto"/>
        <w:left w:val="none" w:sz="0" w:space="0" w:color="auto"/>
        <w:bottom w:val="none" w:sz="0" w:space="0" w:color="auto"/>
        <w:right w:val="none" w:sz="0" w:space="0" w:color="auto"/>
      </w:divBdr>
    </w:div>
    <w:div w:id="1254587713">
      <w:bodyDiv w:val="1"/>
      <w:marLeft w:val="0"/>
      <w:marRight w:val="0"/>
      <w:marTop w:val="0"/>
      <w:marBottom w:val="0"/>
      <w:divBdr>
        <w:top w:val="none" w:sz="0" w:space="0" w:color="auto"/>
        <w:left w:val="none" w:sz="0" w:space="0" w:color="auto"/>
        <w:bottom w:val="none" w:sz="0" w:space="0" w:color="auto"/>
        <w:right w:val="none" w:sz="0" w:space="0" w:color="auto"/>
      </w:divBdr>
    </w:div>
    <w:div w:id="1342122382">
      <w:bodyDiv w:val="1"/>
      <w:marLeft w:val="0"/>
      <w:marRight w:val="0"/>
      <w:marTop w:val="0"/>
      <w:marBottom w:val="0"/>
      <w:divBdr>
        <w:top w:val="none" w:sz="0" w:space="0" w:color="auto"/>
        <w:left w:val="none" w:sz="0" w:space="0" w:color="auto"/>
        <w:bottom w:val="none" w:sz="0" w:space="0" w:color="auto"/>
        <w:right w:val="none" w:sz="0" w:space="0" w:color="auto"/>
      </w:divBdr>
    </w:div>
    <w:div w:id="1384645288">
      <w:bodyDiv w:val="1"/>
      <w:marLeft w:val="0"/>
      <w:marRight w:val="0"/>
      <w:marTop w:val="0"/>
      <w:marBottom w:val="0"/>
      <w:divBdr>
        <w:top w:val="none" w:sz="0" w:space="0" w:color="auto"/>
        <w:left w:val="none" w:sz="0" w:space="0" w:color="auto"/>
        <w:bottom w:val="none" w:sz="0" w:space="0" w:color="auto"/>
        <w:right w:val="none" w:sz="0" w:space="0" w:color="auto"/>
      </w:divBdr>
    </w:div>
    <w:div w:id="1474520688">
      <w:bodyDiv w:val="1"/>
      <w:marLeft w:val="0"/>
      <w:marRight w:val="0"/>
      <w:marTop w:val="0"/>
      <w:marBottom w:val="0"/>
      <w:divBdr>
        <w:top w:val="none" w:sz="0" w:space="0" w:color="auto"/>
        <w:left w:val="none" w:sz="0" w:space="0" w:color="auto"/>
        <w:bottom w:val="none" w:sz="0" w:space="0" w:color="auto"/>
        <w:right w:val="none" w:sz="0" w:space="0" w:color="auto"/>
      </w:divBdr>
    </w:div>
    <w:div w:id="161817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microsoft.com/download/8/4/8/8483b6a9-1865-4d17-b6f1-5b66d5c29b10/windows%20azure%20hipaa%20implementation%20guidance.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986C782C49F04B8C37B2E2BC1F297A" ma:contentTypeVersion="15" ma:contentTypeDescription="Create a new document." ma:contentTypeScope="" ma:versionID="9840df715c4bf22cc375c17978bd9fb6">
  <xsd:schema xmlns:xsd="http://www.w3.org/2001/XMLSchema" xmlns:xs="http://www.w3.org/2001/XMLSchema" xmlns:p="http://schemas.microsoft.com/office/2006/metadata/properties" xmlns:ns2="2d86baa0-54c4-49df-bef9-75ac650c9231" xmlns:ns3="e475e084-c086-4ec8-87ff-bc30e7db572f" xmlns:ns4="3c35e321-f73a-4dae-ae38-a0459de24735" targetNamespace="http://schemas.microsoft.com/office/2006/metadata/properties" ma:root="true" ma:fieldsID="990ac2c84552d5e1a8c749a8654bab97" ns2:_="" ns3:_="" ns4:_="">
    <xsd:import namespace="2d86baa0-54c4-49df-bef9-75ac650c9231"/>
    <xsd:import namespace="e475e084-c086-4ec8-87ff-bc30e7db572f"/>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86baa0-54c4-49df-bef9-75ac650c92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475e084-c086-4ec8-87ff-bc30e7db572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e2068ccc-2a30-45f6-b035-14262b87acfc}" ma:internalName="TaxCatchAll" ma:showField="CatchAllData" ma:web="e475e084-c086-4ec8-87ff-bc30e7db572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386A83E786E9840A11EE41E368AD3C9" ma:contentTypeVersion="1" ma:contentTypeDescription="Create a new document." ma:contentTypeScope="" ma:versionID="815910c8b47c6747e2448fe1fe2c9c41">
  <xsd:schema xmlns:xsd="http://www.w3.org/2001/XMLSchema" xmlns:xs="http://www.w3.org/2001/XMLSchema" xmlns:p="http://schemas.microsoft.com/office/2006/metadata/properties" xmlns:ns2="bf560d8f-b0d2-447a-aa09-bb5a1b08d7a2" xmlns:ns3="a5fc871c-6d60-44b8-ad1d-0154f05bcf37" targetNamespace="http://schemas.microsoft.com/office/2006/metadata/properties" ma:root="true" ma:fieldsID="374c0fc1cb47d3f4dfab1b4e1f513268" ns2:_="" ns3:_="">
    <xsd:import namespace="bf560d8f-b0d2-447a-aa09-bb5a1b08d7a2"/>
    <xsd:import namespace="a5fc871c-6d60-44b8-ad1d-0154f05bcf37"/>
    <xsd:element name="properties">
      <xsd:complexType>
        <xsd:sequence>
          <xsd:element name="documentManagement">
            <xsd:complexType>
              <xsd:all>
                <xsd:element ref="ns2:_dlc_DocId" minOccurs="0"/>
                <xsd:element ref="ns2:_dlc_DocIdUrl" minOccurs="0"/>
                <xsd:element ref="ns2:_dlc_DocIdPersistId" minOccurs="0"/>
                <xsd:element ref="ns3: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560d8f-b0d2-447a-aa09-bb5a1b08d7a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5fc871c-6d60-44b8-ad1d-0154f05bcf37" elementFormDefault="qualified">
    <xsd:import namespace="http://schemas.microsoft.com/office/2006/documentManagement/types"/>
    <xsd:import namespace="http://schemas.microsoft.com/office/infopath/2007/PartnerControls"/>
    <xsd:element name="Description0" ma:index="11" nillable="true" ma:displayName="Description" ma:description="Add Group of folks details in the descriptions"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2d86baa0-54c4-49df-bef9-75ac650c9231">
      <Terms xmlns="http://schemas.microsoft.com/office/infopath/2007/PartnerControls"/>
    </lcf76f155ced4ddcb4097134ff3c332f>
    <TaxCatchAll xmlns="3c35e321-f73a-4dae-ae38-a0459de24735" xsi:nil="true"/>
  </documentManagement>
</p:properties>
</file>

<file path=customXml/itemProps1.xml><?xml version="1.0" encoding="utf-8"?>
<ds:datastoreItem xmlns:ds="http://schemas.openxmlformats.org/officeDocument/2006/customXml" ds:itemID="{C739F8F2-A658-40B2-B9BA-769E26D4BF01}"/>
</file>

<file path=customXml/itemProps2.xml><?xml version="1.0" encoding="utf-8"?>
<ds:datastoreItem xmlns:ds="http://schemas.openxmlformats.org/officeDocument/2006/customXml" ds:itemID="{D56E662C-ED29-4D1E-9A10-838BEB62F040}"/>
</file>

<file path=customXml/itemProps3.xml><?xml version="1.0" encoding="utf-8"?>
<ds:datastoreItem xmlns:ds="http://schemas.openxmlformats.org/officeDocument/2006/customXml" ds:itemID="{19B31D9E-AC80-4CC0-B396-2A7D0BF40B8A}"/>
</file>

<file path=customXml/itemProps4.xml><?xml version="1.0" encoding="utf-8"?>
<ds:datastoreItem xmlns:ds="http://schemas.openxmlformats.org/officeDocument/2006/customXml" ds:itemID="{7353C43C-18F8-47CD-86CA-C970BA6407B4}"/>
</file>

<file path=customXml/itemProps5.xml><?xml version="1.0" encoding="utf-8"?>
<ds:datastoreItem xmlns:ds="http://schemas.openxmlformats.org/officeDocument/2006/customXml" ds:itemID="{BF60D984-A276-4841-A052-D5646B006F26}"/>
</file>

<file path=docProps/app.xml><?xml version="1.0" encoding="utf-8"?>
<Properties xmlns="http://schemas.openxmlformats.org/officeDocument/2006/extended-properties" xmlns:vt="http://schemas.openxmlformats.org/officeDocument/2006/docPropsVTypes">
  <Template>Normal.dotm</Template>
  <TotalTime>19</TotalTime>
  <Pages>6</Pages>
  <Words>1320</Words>
  <Characters>7525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C, Anirudh (Cognizant)</dc:creator>
  <cp:keywords/>
  <dc:description/>
  <cp:lastModifiedBy>Ramakrishnan, Madhan(Cognizant)</cp:lastModifiedBy>
  <cp:revision>14</cp:revision>
  <dcterms:created xsi:type="dcterms:W3CDTF">2017-01-09T15:41:00Z</dcterms:created>
  <dcterms:modified xsi:type="dcterms:W3CDTF">2017-01-09T15:59:00Z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5031d950-1bdc-40ee-9fee-c8db71ad50c6</vt:lpwstr>
  </property>
  <property fmtid="{D5CDD505-2E9C-101B-9397-08002B2CF9AE}" pid="3" name="ContentTypeId">
    <vt:lpwstr>0x010100AF986C782C49F04B8C37B2E2BC1F297A</vt:lpwstr>
  </property>
</Properties>
</file>