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usiness-insights-findings"/>
    <w:p>
      <w:pPr>
        <w:pStyle w:val="Heading1"/>
      </w:pPr>
      <w:r>
        <w:t xml:space="preserve">Business Insights &amp; Findings</w:t>
      </w:r>
    </w:p>
    <w:bookmarkStart w:id="20" w:name="executive-summary"/>
    <w:p>
      <w:pPr>
        <w:pStyle w:val="Heading2"/>
      </w:pPr>
      <w:r>
        <w:t xml:space="preserve">Executive Summary</w:t>
      </w:r>
    </w:p>
    <w:p>
      <w:pPr>
        <w:pStyle w:val="FirstParagraph"/>
      </w:pPr>
      <w:r>
        <w:t xml:space="preserve">After performing data cleaning, validation, and exploratory analysis on the ApexPlanet Sales Dataset, several valuable business insights were identified. The analysis focused on revenue generation, customer demographics, product performance, category performance, and regional sales trends.</w:t>
      </w:r>
    </w:p>
    <w:p>
      <w:r>
        <w:pict>
          <v:rect style="width:0;height:1.5pt" o:hralign="center" o:hrstd="t" o:hr="t"/>
        </w:pict>
      </w:r>
    </w:p>
    <w:bookmarkEnd w:id="20"/>
    <w:bookmarkEnd w:id="21"/>
    <w:bookmarkStart w:id="25" w:name="revenue-overview"/>
    <w:p>
      <w:pPr>
        <w:pStyle w:val="Heading1"/>
      </w:pPr>
      <w:r>
        <w:t xml:space="preserve">1. Revenue Overview</w:t>
      </w:r>
    </w:p>
    <w:bookmarkStart w:id="22" w:name="total-revenue"/>
    <w:p>
      <w:pPr>
        <w:pStyle w:val="Heading3"/>
      </w:pPr>
      <w:r>
        <w:t xml:space="preserve">Total Revenue</w:t>
      </w:r>
    </w:p>
    <w:p>
      <w:pPr>
        <w:pStyle w:val="FirstParagraph"/>
      </w:pPr>
      <w:r>
        <w:rPr>
          <w:b/>
          <w:bCs/>
        </w:rPr>
        <w:t xml:space="preserve">₹139,399,439.65</w:t>
      </w:r>
    </w:p>
    <w:p>
      <w:pPr>
        <w:pStyle w:val="BodyText"/>
      </w:pPr>
      <w:r>
        <w:t xml:space="preserve">(Approximately</w:t>
      </w:r>
      <w:r>
        <w:t xml:space="preserve"> </w:t>
      </w:r>
      <w:r>
        <w:rPr>
          <w:b/>
          <w:bCs/>
        </w:rPr>
        <w:t xml:space="preserve">₹13.94 Crore</w:t>
      </w:r>
      <w:r>
        <w:t xml:space="preserve">)</w:t>
      </w:r>
    </w:p>
    <w:bookmarkEnd w:id="22"/>
    <w:bookmarkStart w:id="23" w:name="average-order-value-aov"/>
    <w:p>
      <w:pPr>
        <w:pStyle w:val="Heading3"/>
      </w:pPr>
      <w:r>
        <w:t xml:space="preserve">Average Order Value (AOV)</w:t>
      </w:r>
    </w:p>
    <w:p>
      <w:pPr>
        <w:pStyle w:val="FirstParagraph"/>
      </w:pPr>
      <w:r>
        <w:rPr>
          <w:b/>
          <w:bCs/>
        </w:rPr>
        <w:t xml:space="preserve">₹139,399.44</w:t>
      </w:r>
    </w:p>
    <w:bookmarkEnd w:id="23"/>
    <w:bookmarkStart w:id="24" w:name="key-finding"/>
    <w:p>
      <w:pPr>
        <w:pStyle w:val="Heading3"/>
      </w:pPr>
      <w:r>
        <w:t xml:space="preserve">Key Finding</w:t>
      </w:r>
    </w:p>
    <w:p>
      <w:pPr>
        <w:pStyle w:val="FirstParagraph"/>
      </w:pPr>
      <w:r>
        <w:t xml:space="preserve">The business generated nearly ₹14 Crore in sales revenue from 1,000 transactions, indicating strong sales performance across multiple product categories.</w:t>
      </w:r>
    </w:p>
    <w:p>
      <w:r>
        <w:pict>
          <v:rect style="width:0;height:1.5pt" o:hralign="center" o:hrstd="t" o:hr="t"/>
        </w:pict>
      </w:r>
    </w:p>
    <w:bookmarkEnd w:id="24"/>
    <w:bookmarkEnd w:id="25"/>
    <w:bookmarkStart w:id="28" w:name="category-performance-analysis"/>
    <w:p>
      <w:pPr>
        <w:pStyle w:val="Heading1"/>
      </w:pPr>
      <w:r>
        <w:t xml:space="preserve">2. Category Performance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jc w:val="right"/>
            </w:pPr>
            <w:r>
              <w:t xml:space="preserve">Revenue</w:t>
            </w:r>
          </w:p>
        </w:tc>
      </w:tr>
      <w:tr>
        <w:tc>
          <w:tcPr/>
          <w:p>
            <w:pPr>
              <w:pStyle w:val="Compact"/>
            </w:pPr>
            <w:r>
              <w:t xml:space="preserve">Electronics</w:t>
            </w:r>
          </w:p>
        </w:tc>
        <w:tc>
          <w:tcPr/>
          <w:p>
            <w:pPr>
              <w:pStyle w:val="Compact"/>
              <w:jc w:val="right"/>
            </w:pPr>
            <w:r>
              <w:t xml:space="preserve">₹50,778,581.70</w:t>
            </w:r>
          </w:p>
        </w:tc>
      </w:tr>
      <w:tr>
        <w:tc>
          <w:tcPr/>
          <w:p>
            <w:pPr>
              <w:pStyle w:val="Compact"/>
            </w:pPr>
            <w:r>
              <w:t xml:space="preserve">Education</w:t>
            </w:r>
          </w:p>
        </w:tc>
        <w:tc>
          <w:tcPr/>
          <w:p>
            <w:pPr>
              <w:pStyle w:val="Compact"/>
              <w:jc w:val="right"/>
            </w:pPr>
            <w:r>
              <w:t xml:space="preserve">₹25,031,689.40</w:t>
            </w:r>
          </w:p>
        </w:tc>
      </w:tr>
      <w:tr>
        <w:tc>
          <w:tcPr/>
          <w:p>
            <w:pPr>
              <w:pStyle w:val="Compact"/>
            </w:pPr>
            <w:r>
              <w:t xml:space="preserve">Grocery</w:t>
            </w:r>
          </w:p>
        </w:tc>
        <w:tc>
          <w:tcPr/>
          <w:p>
            <w:pPr>
              <w:pStyle w:val="Compact"/>
              <w:jc w:val="right"/>
            </w:pPr>
            <w:r>
              <w:t xml:space="preserve">₹22,231,711.28</w:t>
            </w:r>
          </w:p>
        </w:tc>
      </w:tr>
      <w:tr>
        <w:tc>
          <w:tcPr/>
          <w:p>
            <w:pPr>
              <w:pStyle w:val="Compact"/>
            </w:pPr>
            <w:r>
              <w:t xml:space="preserve">Furniture</w:t>
            </w:r>
          </w:p>
        </w:tc>
        <w:tc>
          <w:tcPr/>
          <w:p>
            <w:pPr>
              <w:pStyle w:val="Compact"/>
              <w:jc w:val="right"/>
            </w:pPr>
            <w:r>
              <w:t xml:space="preserve">₹21,521,561.48</w:t>
            </w:r>
          </w:p>
        </w:tc>
      </w:tr>
      <w:tr>
        <w:tc>
          <w:tcPr/>
          <w:p>
            <w:pPr>
              <w:pStyle w:val="Compact"/>
            </w:pPr>
            <w:r>
              <w:t xml:space="preserve">Fashion</w:t>
            </w:r>
          </w:p>
        </w:tc>
        <w:tc>
          <w:tcPr/>
          <w:p>
            <w:pPr>
              <w:pStyle w:val="Compact"/>
              <w:jc w:val="right"/>
            </w:pPr>
            <w:r>
              <w:t xml:space="preserve">₹19,835,895.79</w:t>
            </w:r>
          </w:p>
        </w:tc>
      </w:tr>
    </w:tbl>
    <w:bookmarkStart w:id="26" w:name="insights"/>
    <w:p>
      <w:pPr>
        <w:pStyle w:val="Heading3"/>
      </w:pPr>
      <w:r>
        <w:t xml:space="preserve">Insights</w:t>
      </w:r>
    </w:p>
    <w:p>
      <w:pPr>
        <w:pStyle w:val="Compact"/>
        <w:numPr>
          <w:ilvl w:val="0"/>
          <w:numId w:val="1001"/>
        </w:numPr>
      </w:pPr>
      <w:r>
        <w:t xml:space="preserve">Electronics is the highest-performing category.</w:t>
      </w:r>
    </w:p>
    <w:p>
      <w:pPr>
        <w:pStyle w:val="Compact"/>
        <w:numPr>
          <w:ilvl w:val="0"/>
          <w:numId w:val="1001"/>
        </w:numPr>
      </w:pPr>
      <w:r>
        <w:t xml:space="preserve">Electronics generated</w:t>
      </w:r>
      <w:r>
        <w:t xml:space="preserve"> </w:t>
      </w:r>
      <w:r>
        <w:rPr>
          <w:b/>
          <w:bCs/>
        </w:rPr>
        <w:t xml:space="preserve">₹50.78 Million</w:t>
      </w:r>
      <w:r>
        <w:t xml:space="preserve">, contributing approximately</w:t>
      </w:r>
      <w:r>
        <w:t xml:space="preserve"> </w:t>
      </w:r>
      <w:r>
        <w:rPr>
          <w:b/>
          <w:bCs/>
        </w:rPr>
        <w:t xml:space="preserve">36.4% of total revenue</w:t>
      </w:r>
      <w:r>
        <w:t xml:space="preserve">.</w:t>
      </w:r>
    </w:p>
    <w:p>
      <w:pPr>
        <w:pStyle w:val="Compact"/>
        <w:numPr>
          <w:ilvl w:val="0"/>
          <w:numId w:val="1001"/>
        </w:numPr>
      </w:pPr>
      <w:r>
        <w:t xml:space="preserve">Fashion generated the lowest revenue among the available categories.</w:t>
      </w:r>
    </w:p>
    <w:p>
      <w:pPr>
        <w:pStyle w:val="Compact"/>
        <w:numPr>
          <w:ilvl w:val="0"/>
          <w:numId w:val="1001"/>
        </w:numPr>
      </w:pPr>
      <w:r>
        <w:t xml:space="preserve">The business appears highly dependent on Electronics sales.</w:t>
      </w:r>
    </w:p>
    <w:bookmarkEnd w:id="26"/>
    <w:bookmarkStart w:id="27" w:name="recommendation"/>
    <w:p>
      <w:pPr>
        <w:pStyle w:val="Heading3"/>
      </w:pPr>
      <w:r>
        <w:t xml:space="preserve">Recommendation</w:t>
      </w:r>
    </w:p>
    <w:p>
      <w:pPr>
        <w:pStyle w:val="FirstParagraph"/>
      </w:pPr>
      <w:r>
        <w:t xml:space="preserve">The company should continue investing in Electronics products through promotions, inventory expansion, and customer retention strategies to maximize revenue growth.</w:t>
      </w:r>
    </w:p>
    <w:p>
      <w:r>
        <w:pict>
          <v:rect style="width:0;height:1.5pt" o:hralign="center" o:hrstd="t" o:hr="t"/>
        </w:pict>
      </w:r>
    </w:p>
    <w:bookmarkEnd w:id="27"/>
    <w:bookmarkEnd w:id="28"/>
    <w:bookmarkStart w:id="31" w:name="product-performance-analysis"/>
    <w:p>
      <w:pPr>
        <w:pStyle w:val="Heading1"/>
      </w:pPr>
      <w:r>
        <w:t xml:space="preserve">3. Product Performance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Product</w:t>
            </w:r>
          </w:p>
        </w:tc>
        <w:tc>
          <w:tcPr/>
          <w:p>
            <w:pPr>
              <w:pStyle w:val="Compact"/>
              <w:jc w:val="right"/>
            </w:pPr>
            <w:r>
              <w:t xml:space="preserve">Revenue</w:t>
            </w:r>
          </w:p>
        </w:tc>
      </w:tr>
      <w:tr>
        <w:tc>
          <w:tcPr/>
          <w:p>
            <w:pPr>
              <w:pStyle w:val="Compact"/>
            </w:pPr>
            <w:r>
              <w:t xml:space="preserve">Laptop</w:t>
            </w:r>
          </w:p>
        </w:tc>
        <w:tc>
          <w:tcPr/>
          <w:p>
            <w:pPr>
              <w:pStyle w:val="Compact"/>
              <w:jc w:val="right"/>
            </w:pPr>
            <w:r>
              <w:t xml:space="preserve">₹25,443,008.51</w:t>
            </w:r>
          </w:p>
        </w:tc>
      </w:tr>
      <w:tr>
        <w:tc>
          <w:tcPr/>
          <w:p>
            <w:pPr>
              <w:pStyle w:val="Compact"/>
            </w:pPr>
            <w:r>
              <w:t xml:space="preserve">Mobile</w:t>
            </w:r>
          </w:p>
        </w:tc>
        <w:tc>
          <w:tcPr/>
          <w:p>
            <w:pPr>
              <w:pStyle w:val="Compact"/>
              <w:jc w:val="right"/>
            </w:pPr>
            <w:r>
              <w:t xml:space="preserve">₹25,335,573.19</w:t>
            </w:r>
          </w:p>
        </w:tc>
      </w:tr>
      <w:tr>
        <w:tc>
          <w:tcPr/>
          <w:p>
            <w:pPr>
              <w:pStyle w:val="Compact"/>
            </w:pPr>
            <w:r>
              <w:t xml:space="preserve">Book</w:t>
            </w:r>
          </w:p>
        </w:tc>
        <w:tc>
          <w:tcPr/>
          <w:p>
            <w:pPr>
              <w:pStyle w:val="Compact"/>
              <w:jc w:val="right"/>
            </w:pPr>
            <w:r>
              <w:t xml:space="preserve">₹25,031,689.40</w:t>
            </w:r>
          </w:p>
        </w:tc>
      </w:tr>
      <w:tr>
        <w:tc>
          <w:tcPr/>
          <w:p>
            <w:pPr>
              <w:pStyle w:val="Compact"/>
            </w:pPr>
            <w:r>
              <w:t xml:space="preserve">Rice</w:t>
            </w:r>
          </w:p>
        </w:tc>
        <w:tc>
          <w:tcPr/>
          <w:p>
            <w:pPr>
              <w:pStyle w:val="Compact"/>
              <w:jc w:val="right"/>
            </w:pPr>
            <w:r>
              <w:t xml:space="preserve">₹22,231,711.28</w:t>
            </w:r>
          </w:p>
        </w:tc>
      </w:tr>
      <w:tr>
        <w:tc>
          <w:tcPr/>
          <w:p>
            <w:pPr>
              <w:pStyle w:val="Compact"/>
            </w:pPr>
            <w:r>
              <w:t xml:space="preserve">Chair</w:t>
            </w:r>
          </w:p>
        </w:tc>
        <w:tc>
          <w:tcPr/>
          <w:p>
            <w:pPr>
              <w:pStyle w:val="Compact"/>
              <w:jc w:val="right"/>
            </w:pPr>
            <w:r>
              <w:t xml:space="preserve">₹21,521,561.48</w:t>
            </w:r>
          </w:p>
        </w:tc>
      </w:tr>
      <w:tr>
        <w:tc>
          <w:tcPr/>
          <w:p>
            <w:pPr>
              <w:pStyle w:val="Compact"/>
            </w:pPr>
            <w:r>
              <w:t xml:space="preserve">Shoes</w:t>
            </w:r>
          </w:p>
        </w:tc>
        <w:tc>
          <w:tcPr/>
          <w:p>
            <w:pPr>
              <w:pStyle w:val="Compact"/>
              <w:jc w:val="right"/>
            </w:pPr>
            <w:r>
              <w:t xml:space="preserve">₹19,835,895.79</w:t>
            </w:r>
          </w:p>
        </w:tc>
      </w:tr>
    </w:tbl>
    <w:bookmarkStart w:id="29" w:name="insights-1"/>
    <w:p>
      <w:pPr>
        <w:pStyle w:val="Heading3"/>
      </w:pPr>
      <w:r>
        <w:t xml:space="preserve">Insights</w:t>
      </w:r>
    </w:p>
    <w:p>
      <w:pPr>
        <w:pStyle w:val="Compact"/>
        <w:numPr>
          <w:ilvl w:val="0"/>
          <w:numId w:val="1002"/>
        </w:numPr>
      </w:pPr>
      <w:r>
        <w:t xml:space="preserve">Laptop is the highest revenue-generating product.</w:t>
      </w:r>
    </w:p>
    <w:p>
      <w:pPr>
        <w:pStyle w:val="Compact"/>
        <w:numPr>
          <w:ilvl w:val="0"/>
          <w:numId w:val="1002"/>
        </w:numPr>
      </w:pPr>
      <w:r>
        <w:t xml:space="preserve">Mobile contributes almost the same revenue as Laptop.</w:t>
      </w:r>
    </w:p>
    <w:p>
      <w:pPr>
        <w:pStyle w:val="Compact"/>
        <w:numPr>
          <w:ilvl w:val="0"/>
          <w:numId w:val="1002"/>
        </w:numPr>
      </w:pPr>
      <w:r>
        <w:t xml:space="preserve">Books generate significant revenue despite being lower-priced products.</w:t>
      </w:r>
    </w:p>
    <w:p>
      <w:pPr>
        <w:pStyle w:val="Compact"/>
        <w:numPr>
          <w:ilvl w:val="0"/>
          <w:numId w:val="1002"/>
        </w:numPr>
      </w:pPr>
      <w:r>
        <w:t xml:space="preserve">Shoes contribute the least revenue.</w:t>
      </w:r>
    </w:p>
    <w:bookmarkEnd w:id="29"/>
    <w:bookmarkStart w:id="30" w:name="recommendation-1"/>
    <w:p>
      <w:pPr>
        <w:pStyle w:val="Heading3"/>
      </w:pPr>
      <w:r>
        <w:t xml:space="preserve">Recommendation</w:t>
      </w:r>
    </w:p>
    <w:p>
      <w:pPr>
        <w:pStyle w:val="FirstParagraph"/>
      </w:pPr>
      <w:r>
        <w:t xml:space="preserve">The organization should focus on premium electronic products because they generate the highest profitability and customer demand.</w:t>
      </w:r>
    </w:p>
    <w:p>
      <w:r>
        <w:pict>
          <v:rect style="width:0;height:1.5pt" o:hralign="center" o:hrstd="t" o:hr="t"/>
        </w:pict>
      </w:r>
    </w:p>
    <w:bookmarkEnd w:id="30"/>
    <w:bookmarkEnd w:id="31"/>
    <w:bookmarkStart w:id="34" w:name="product-quantity-analysis"/>
    <w:p>
      <w:pPr>
        <w:pStyle w:val="Heading1"/>
      </w:pPr>
      <w:r>
        <w:t xml:space="preserve">4. Product Quantity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Product</w:t>
            </w:r>
          </w:p>
        </w:tc>
        <w:tc>
          <w:tcPr/>
          <w:p>
            <w:pPr>
              <w:pStyle w:val="Compact"/>
              <w:jc w:val="right"/>
            </w:pPr>
            <w:r>
              <w:t xml:space="preserve">Units Sold</w:t>
            </w:r>
          </w:p>
        </w:tc>
      </w:tr>
      <w:tr>
        <w:tc>
          <w:tcPr/>
          <w:p>
            <w:pPr>
              <w:pStyle w:val="Compact"/>
            </w:pPr>
            <w:r>
              <w:t xml:space="preserve">Mobile</w:t>
            </w:r>
          </w:p>
        </w:tc>
        <w:tc>
          <w:tcPr/>
          <w:p>
            <w:pPr>
              <w:pStyle w:val="Compact"/>
              <w:jc w:val="right"/>
            </w:pPr>
            <w:r>
              <w:t xml:space="preserve">1008</w:t>
            </w:r>
          </w:p>
        </w:tc>
      </w:tr>
      <w:tr>
        <w:tc>
          <w:tcPr/>
          <w:p>
            <w:pPr>
              <w:pStyle w:val="Compact"/>
            </w:pPr>
            <w:r>
              <w:t xml:space="preserve">Book</w:t>
            </w:r>
          </w:p>
        </w:tc>
        <w:tc>
          <w:tcPr/>
          <w:p>
            <w:pPr>
              <w:pStyle w:val="Compact"/>
              <w:jc w:val="right"/>
            </w:pPr>
            <w:r>
              <w:t xml:space="preserve">977</w:t>
            </w:r>
          </w:p>
        </w:tc>
      </w:tr>
      <w:tr>
        <w:tc>
          <w:tcPr/>
          <w:p>
            <w:pPr>
              <w:pStyle w:val="Compact"/>
            </w:pPr>
            <w:r>
              <w:t xml:space="preserve">Laptop</w:t>
            </w:r>
          </w:p>
        </w:tc>
        <w:tc>
          <w:tcPr/>
          <w:p>
            <w:pPr>
              <w:pStyle w:val="Compact"/>
              <w:jc w:val="right"/>
            </w:pPr>
            <w:r>
              <w:t xml:space="preserve">970</w:t>
            </w:r>
          </w:p>
        </w:tc>
      </w:tr>
      <w:tr>
        <w:tc>
          <w:tcPr/>
          <w:p>
            <w:pPr>
              <w:pStyle w:val="Compact"/>
            </w:pPr>
            <w:r>
              <w:t xml:space="preserve">Chair</w:t>
            </w:r>
          </w:p>
        </w:tc>
        <w:tc>
          <w:tcPr/>
          <w:p>
            <w:pPr>
              <w:pStyle w:val="Compact"/>
              <w:jc w:val="right"/>
            </w:pPr>
            <w:r>
              <w:t xml:space="preserve">855</w:t>
            </w:r>
          </w:p>
        </w:tc>
      </w:tr>
      <w:tr>
        <w:tc>
          <w:tcPr/>
          <w:p>
            <w:pPr>
              <w:pStyle w:val="Compact"/>
            </w:pPr>
            <w:r>
              <w:t xml:space="preserve">Rice</w:t>
            </w:r>
          </w:p>
        </w:tc>
        <w:tc>
          <w:tcPr/>
          <w:p>
            <w:pPr>
              <w:pStyle w:val="Compact"/>
              <w:jc w:val="right"/>
            </w:pPr>
            <w:r>
              <w:t xml:space="preserve">826</w:t>
            </w:r>
          </w:p>
        </w:tc>
      </w:tr>
      <w:tr>
        <w:tc>
          <w:tcPr/>
          <w:p>
            <w:pPr>
              <w:pStyle w:val="Compact"/>
            </w:pPr>
            <w:r>
              <w:t xml:space="preserve">Shoes</w:t>
            </w:r>
          </w:p>
        </w:tc>
        <w:tc>
          <w:tcPr/>
          <w:p>
            <w:pPr>
              <w:pStyle w:val="Compact"/>
              <w:jc w:val="right"/>
            </w:pPr>
            <w:r>
              <w:t xml:space="preserve">799</w:t>
            </w:r>
          </w:p>
        </w:tc>
      </w:tr>
    </w:tbl>
    <w:bookmarkStart w:id="32" w:name="insights-2"/>
    <w:p>
      <w:pPr>
        <w:pStyle w:val="Heading3"/>
      </w:pPr>
      <w:r>
        <w:t xml:space="preserve">Insights</w:t>
      </w:r>
    </w:p>
    <w:p>
      <w:pPr>
        <w:pStyle w:val="Compact"/>
        <w:numPr>
          <w:ilvl w:val="0"/>
          <w:numId w:val="1003"/>
        </w:numPr>
      </w:pPr>
      <w:r>
        <w:t xml:space="preserve">Mobile is the most frequently purchased product.</w:t>
      </w:r>
    </w:p>
    <w:p>
      <w:pPr>
        <w:pStyle w:val="Compact"/>
        <w:numPr>
          <w:ilvl w:val="0"/>
          <w:numId w:val="1003"/>
        </w:numPr>
      </w:pPr>
      <w:r>
        <w:t xml:space="preserve">Book and Laptop sales volumes are also exceptionally strong.</w:t>
      </w:r>
    </w:p>
    <w:p>
      <w:pPr>
        <w:pStyle w:val="Compact"/>
        <w:numPr>
          <w:ilvl w:val="0"/>
          <w:numId w:val="1003"/>
        </w:numPr>
      </w:pPr>
      <w:r>
        <w:t xml:space="preserve">Shoes have the lowest sales volume.</w:t>
      </w:r>
    </w:p>
    <w:bookmarkEnd w:id="32"/>
    <w:bookmarkStart w:id="33" w:name="recommendation-2"/>
    <w:p>
      <w:pPr>
        <w:pStyle w:val="Heading3"/>
      </w:pPr>
      <w:r>
        <w:t xml:space="preserve">Recommendation</w:t>
      </w:r>
    </w:p>
    <w:p>
      <w:pPr>
        <w:pStyle w:val="FirstParagraph"/>
      </w:pPr>
      <w:r>
        <w:t xml:space="preserve">Bundle offers and seasonal discounts may help increase sales volume for lower-performing products such as Shoes and Furniture items.</w:t>
      </w:r>
    </w:p>
    <w:p>
      <w:r>
        <w:pict>
          <v:rect style="width:0;height:1.5pt" o:hralign="center" o:hrstd="t" o:hr="t"/>
        </w:pict>
      </w:r>
    </w:p>
    <w:bookmarkEnd w:id="33"/>
    <w:bookmarkEnd w:id="34"/>
    <w:bookmarkStart w:id="37" w:name="city-wise-revenue-analysis"/>
    <w:p>
      <w:pPr>
        <w:pStyle w:val="Heading1"/>
      </w:pPr>
      <w:r>
        <w:t xml:space="preserve">5. City-Wise Revenue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City</w:t>
            </w:r>
          </w:p>
        </w:tc>
        <w:tc>
          <w:tcPr/>
          <w:p>
            <w:pPr>
              <w:pStyle w:val="Compact"/>
              <w:jc w:val="right"/>
            </w:pPr>
            <w:r>
              <w:t xml:space="preserve">Revenue</w:t>
            </w:r>
          </w:p>
        </w:tc>
      </w:tr>
      <w:tr>
        <w:tc>
          <w:tcPr/>
          <w:p>
            <w:pPr>
              <w:pStyle w:val="Compact"/>
            </w:pPr>
            <w:r>
              <w:t xml:space="preserve">Patna</w:t>
            </w:r>
          </w:p>
        </w:tc>
        <w:tc>
          <w:tcPr/>
          <w:p>
            <w:pPr>
              <w:pStyle w:val="Compact"/>
              <w:jc w:val="right"/>
            </w:pPr>
            <w:r>
              <w:t xml:space="preserve">₹20.83 Million</w:t>
            </w:r>
          </w:p>
        </w:tc>
      </w:tr>
      <w:tr>
        <w:tc>
          <w:tcPr/>
          <w:p>
            <w:pPr>
              <w:pStyle w:val="Compact"/>
            </w:pPr>
            <w:r>
              <w:t xml:space="preserve">Kolkata</w:t>
            </w:r>
          </w:p>
        </w:tc>
        <w:tc>
          <w:tcPr/>
          <w:p>
            <w:pPr>
              <w:pStyle w:val="Compact"/>
              <w:jc w:val="right"/>
            </w:pPr>
            <w:r>
              <w:t xml:space="preserve">₹18.88 Million</w:t>
            </w:r>
          </w:p>
        </w:tc>
      </w:tr>
      <w:tr>
        <w:tc>
          <w:tcPr/>
          <w:p>
            <w:pPr>
              <w:pStyle w:val="Compact"/>
            </w:pPr>
            <w:r>
              <w:t xml:space="preserve">Bengaluru</w:t>
            </w:r>
          </w:p>
        </w:tc>
        <w:tc>
          <w:tcPr/>
          <w:p>
            <w:pPr>
              <w:pStyle w:val="Compact"/>
              <w:jc w:val="right"/>
            </w:pPr>
            <w:r>
              <w:t xml:space="preserve">₹18.77 Million</w:t>
            </w:r>
          </w:p>
        </w:tc>
      </w:tr>
      <w:tr>
        <w:tc>
          <w:tcPr/>
          <w:p>
            <w:pPr>
              <w:pStyle w:val="Compact"/>
            </w:pPr>
            <w:r>
              <w:t xml:space="preserve">Mumbai</w:t>
            </w:r>
          </w:p>
        </w:tc>
        <w:tc>
          <w:tcPr/>
          <w:p>
            <w:pPr>
              <w:pStyle w:val="Compact"/>
              <w:jc w:val="right"/>
            </w:pPr>
            <w:r>
              <w:t xml:space="preserve">₹18.76 Million</w:t>
            </w:r>
          </w:p>
        </w:tc>
      </w:tr>
      <w:tr>
        <w:tc>
          <w:tcPr/>
          <w:p>
            <w:pPr>
              <w:pStyle w:val="Compact"/>
            </w:pPr>
            <w:r>
              <w:t xml:space="preserve">Hyderabad</w:t>
            </w:r>
          </w:p>
        </w:tc>
        <w:tc>
          <w:tcPr/>
          <w:p>
            <w:pPr>
              <w:pStyle w:val="Compact"/>
              <w:jc w:val="right"/>
            </w:pPr>
            <w:r>
              <w:t xml:space="preserve">₹17.17 Million</w:t>
            </w:r>
          </w:p>
        </w:tc>
      </w:tr>
      <w:tr>
        <w:tc>
          <w:tcPr/>
          <w:p>
            <w:pPr>
              <w:pStyle w:val="Compact"/>
            </w:pPr>
            <w:r>
              <w:t xml:space="preserve">Delhi</w:t>
            </w:r>
          </w:p>
        </w:tc>
        <w:tc>
          <w:tcPr/>
          <w:p>
            <w:pPr>
              <w:pStyle w:val="Compact"/>
              <w:jc w:val="right"/>
            </w:pPr>
            <w:r>
              <w:t xml:space="preserve">₹16.10 Million</w:t>
            </w:r>
          </w:p>
        </w:tc>
      </w:tr>
      <w:tr>
        <w:tc>
          <w:tcPr/>
          <w:p>
            <w:pPr>
              <w:pStyle w:val="Compact"/>
            </w:pPr>
            <w:r>
              <w:t xml:space="preserve">Pune</w:t>
            </w:r>
          </w:p>
        </w:tc>
        <w:tc>
          <w:tcPr/>
          <w:p>
            <w:pPr>
              <w:pStyle w:val="Compact"/>
              <w:jc w:val="right"/>
            </w:pPr>
            <w:r>
              <w:t xml:space="preserve">₹14.51 Million</w:t>
            </w:r>
          </w:p>
        </w:tc>
      </w:tr>
      <w:tr>
        <w:tc>
          <w:tcPr/>
          <w:p>
            <w:pPr>
              <w:pStyle w:val="Compact"/>
            </w:pPr>
            <w:r>
              <w:t xml:space="preserve">Gaya</w:t>
            </w:r>
          </w:p>
        </w:tc>
        <w:tc>
          <w:tcPr/>
          <w:p>
            <w:pPr>
              <w:pStyle w:val="Compact"/>
              <w:jc w:val="right"/>
            </w:pPr>
            <w:r>
              <w:t xml:space="preserve">₹14.38 Million</w:t>
            </w:r>
          </w:p>
        </w:tc>
      </w:tr>
    </w:tbl>
    <w:bookmarkStart w:id="35" w:name="insights-3"/>
    <w:p>
      <w:pPr>
        <w:pStyle w:val="Heading3"/>
      </w:pPr>
      <w:r>
        <w:t xml:space="preserve">Insights</w:t>
      </w:r>
    </w:p>
    <w:p>
      <w:pPr>
        <w:pStyle w:val="Compact"/>
        <w:numPr>
          <w:ilvl w:val="0"/>
          <w:numId w:val="1004"/>
        </w:numPr>
      </w:pPr>
      <w:r>
        <w:t xml:space="preserve">Patna is the highest revenue-generating city.</w:t>
      </w:r>
    </w:p>
    <w:p>
      <w:pPr>
        <w:pStyle w:val="Compact"/>
        <w:numPr>
          <w:ilvl w:val="0"/>
          <w:numId w:val="1004"/>
        </w:numPr>
      </w:pPr>
      <w:r>
        <w:t xml:space="preserve">Kolkata, Bengaluru, and Mumbai also contribute significantly.</w:t>
      </w:r>
    </w:p>
    <w:p>
      <w:pPr>
        <w:pStyle w:val="Compact"/>
        <w:numPr>
          <w:ilvl w:val="0"/>
          <w:numId w:val="1004"/>
        </w:numPr>
      </w:pPr>
      <w:r>
        <w:t xml:space="preserve">Revenue distribution is relatively balanced across major cities.</w:t>
      </w:r>
    </w:p>
    <w:bookmarkEnd w:id="35"/>
    <w:bookmarkStart w:id="36" w:name="recommendation-3"/>
    <w:p>
      <w:pPr>
        <w:pStyle w:val="Heading3"/>
      </w:pPr>
      <w:r>
        <w:t xml:space="preserve">Recommendation</w:t>
      </w:r>
    </w:p>
    <w:p>
      <w:pPr>
        <w:pStyle w:val="FirstParagraph"/>
      </w:pPr>
      <w:r>
        <w:t xml:space="preserve">Marketing campaigns and customer loyalty programs should be prioritized in Patna and other high-performing cities to maximize customer retention and repeat purchases.</w:t>
      </w:r>
    </w:p>
    <w:p>
      <w:r>
        <w:pict>
          <v:rect style="width:0;height:1.5pt" o:hralign="center" o:hrstd="t" o:hr="t"/>
        </w:pict>
      </w:r>
    </w:p>
    <w:bookmarkEnd w:id="36"/>
    <w:bookmarkEnd w:id="37"/>
    <w:bookmarkStart w:id="40" w:name="gender-based-analysis"/>
    <w:p>
      <w:pPr>
        <w:pStyle w:val="Heading1"/>
      </w:pPr>
      <w:r>
        <w:t xml:space="preserve">6. Gender-Based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Gender</w:t>
            </w:r>
          </w:p>
        </w:tc>
        <w:tc>
          <w:tcPr/>
          <w:p>
            <w:pPr>
              <w:pStyle w:val="Compact"/>
              <w:jc w:val="right"/>
            </w:pPr>
            <w:r>
              <w:t xml:space="preserve">Revenue</w:t>
            </w:r>
          </w:p>
        </w:tc>
      </w:tr>
      <w:tr>
        <w:tc>
          <w:tcPr/>
          <w:p>
            <w:pPr>
              <w:pStyle w:val="Compact"/>
            </w:pPr>
            <w:r>
              <w:t xml:space="preserve">Male</w:t>
            </w:r>
          </w:p>
        </w:tc>
        <w:tc>
          <w:tcPr/>
          <w:p>
            <w:pPr>
              <w:pStyle w:val="Compact"/>
              <w:jc w:val="right"/>
            </w:pPr>
            <w:r>
              <w:t xml:space="preserve">₹72.46 Million</w:t>
            </w:r>
          </w:p>
        </w:tc>
      </w:tr>
      <w:tr>
        <w:tc>
          <w:tcPr/>
          <w:p>
            <w:pPr>
              <w:pStyle w:val="Compact"/>
            </w:pPr>
            <w:r>
              <w:t xml:space="preserve">Female</w:t>
            </w:r>
          </w:p>
        </w:tc>
        <w:tc>
          <w:tcPr/>
          <w:p>
            <w:pPr>
              <w:pStyle w:val="Compact"/>
              <w:jc w:val="right"/>
            </w:pPr>
            <w:r>
              <w:t xml:space="preserve">₹66.94 Million</w:t>
            </w:r>
          </w:p>
        </w:tc>
      </w:tr>
    </w:tbl>
    <w:bookmarkStart w:id="38" w:name="insights-4"/>
    <w:p>
      <w:pPr>
        <w:pStyle w:val="Heading3"/>
      </w:pPr>
      <w:r>
        <w:t xml:space="preserve">Insights</w:t>
      </w:r>
    </w:p>
    <w:p>
      <w:pPr>
        <w:pStyle w:val="Compact"/>
        <w:numPr>
          <w:ilvl w:val="0"/>
          <w:numId w:val="1005"/>
        </w:numPr>
      </w:pPr>
      <w:r>
        <w:t xml:space="preserve">Male customers contribute approximately</w:t>
      </w:r>
      <w:r>
        <w:t xml:space="preserve"> </w:t>
      </w:r>
      <w:r>
        <w:rPr>
          <w:b/>
          <w:bCs/>
        </w:rPr>
        <w:t xml:space="preserve">52%</w:t>
      </w:r>
      <w:r>
        <w:t xml:space="preserve"> </w:t>
      </w:r>
      <w:r>
        <w:t xml:space="preserve">of total revenue.</w:t>
      </w:r>
    </w:p>
    <w:p>
      <w:pPr>
        <w:pStyle w:val="Compact"/>
        <w:numPr>
          <w:ilvl w:val="0"/>
          <w:numId w:val="1005"/>
        </w:numPr>
      </w:pPr>
      <w:r>
        <w:t xml:space="preserve">Female customers contribute approximately</w:t>
      </w:r>
      <w:r>
        <w:t xml:space="preserve"> </w:t>
      </w:r>
      <w:r>
        <w:rPr>
          <w:b/>
          <w:bCs/>
        </w:rPr>
        <w:t xml:space="preserve">48%</w:t>
      </w:r>
      <w:r>
        <w:t xml:space="preserve"> </w:t>
      </w:r>
      <w:r>
        <w:t xml:space="preserve">of total revenue.</w:t>
      </w:r>
    </w:p>
    <w:p>
      <w:pPr>
        <w:pStyle w:val="Compact"/>
        <w:numPr>
          <w:ilvl w:val="0"/>
          <w:numId w:val="1005"/>
        </w:numPr>
      </w:pPr>
      <w:r>
        <w:t xml:space="preserve">Revenue contribution is relatively balanced across genders.</w:t>
      </w:r>
    </w:p>
    <w:bookmarkEnd w:id="38"/>
    <w:bookmarkStart w:id="39" w:name="recommendation-4"/>
    <w:p>
      <w:pPr>
        <w:pStyle w:val="Heading3"/>
      </w:pPr>
      <w:r>
        <w:t xml:space="preserve">Recommendation</w:t>
      </w:r>
    </w:p>
    <w:p>
      <w:pPr>
        <w:pStyle w:val="FirstParagraph"/>
      </w:pPr>
      <w:r>
        <w:t xml:space="preserve">The business can design gender-specific promotional campaigns while maintaining broad product offerings for both customer segments.</w:t>
      </w:r>
    </w:p>
    <w:p>
      <w:r>
        <w:pict>
          <v:rect style="width:0;height:1.5pt" o:hralign="center" o:hrstd="t" o:hr="t"/>
        </w:pict>
      </w:r>
    </w:p>
    <w:bookmarkEnd w:id="39"/>
    <w:bookmarkEnd w:id="40"/>
    <w:bookmarkStart w:id="43" w:name="age-group-analysis"/>
    <w:p>
      <w:pPr>
        <w:pStyle w:val="Heading1"/>
      </w:pPr>
      <w:r>
        <w:t xml:space="preserve">7. Age Group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Age Group</w:t>
            </w:r>
          </w:p>
        </w:tc>
        <w:tc>
          <w:tcPr/>
          <w:p>
            <w:pPr>
              <w:pStyle w:val="Compact"/>
              <w:jc w:val="right"/>
            </w:pPr>
            <w:r>
              <w:t xml:space="preserve">Revenue</w:t>
            </w:r>
          </w:p>
        </w:tc>
      </w:tr>
      <w:tr>
        <w:tc>
          <w:tcPr/>
          <w:p>
            <w:pPr>
              <w:pStyle w:val="Compact"/>
            </w:pPr>
            <w:r>
              <w:t xml:space="preserve">36–50 Years</w:t>
            </w:r>
          </w:p>
        </w:tc>
        <w:tc>
          <w:tcPr/>
          <w:p>
            <w:pPr>
              <w:pStyle w:val="Compact"/>
              <w:jc w:val="right"/>
            </w:pPr>
            <w:r>
              <w:t xml:space="preserve">₹45.56 Million</w:t>
            </w:r>
          </w:p>
        </w:tc>
      </w:tr>
      <w:tr>
        <w:tc>
          <w:tcPr/>
          <w:p>
            <w:pPr>
              <w:pStyle w:val="Compact"/>
            </w:pPr>
            <w:r>
              <w:t xml:space="preserve">51–65 Years</w:t>
            </w:r>
          </w:p>
        </w:tc>
        <w:tc>
          <w:tcPr/>
          <w:p>
            <w:pPr>
              <w:pStyle w:val="Compact"/>
              <w:jc w:val="right"/>
            </w:pPr>
            <w:r>
              <w:t xml:space="preserve">₹41.92 Million</w:t>
            </w:r>
          </w:p>
        </w:tc>
      </w:tr>
      <w:tr>
        <w:tc>
          <w:tcPr/>
          <w:p>
            <w:pPr>
              <w:pStyle w:val="Compact"/>
            </w:pPr>
            <w:r>
              <w:t xml:space="preserve">26–35 Years</w:t>
            </w:r>
          </w:p>
        </w:tc>
        <w:tc>
          <w:tcPr/>
          <w:p>
            <w:pPr>
              <w:pStyle w:val="Compact"/>
              <w:jc w:val="right"/>
            </w:pPr>
            <w:r>
              <w:t xml:space="preserve">₹29.63 Million</w:t>
            </w:r>
          </w:p>
        </w:tc>
      </w:tr>
      <w:tr>
        <w:tc>
          <w:tcPr/>
          <w:p>
            <w:pPr>
              <w:pStyle w:val="Compact"/>
            </w:pPr>
            <w:r>
              <w:t xml:space="preserve">18–25 Years</w:t>
            </w:r>
          </w:p>
        </w:tc>
        <w:tc>
          <w:tcPr/>
          <w:p>
            <w:pPr>
              <w:pStyle w:val="Compact"/>
              <w:jc w:val="right"/>
            </w:pPr>
            <w:r>
              <w:t xml:space="preserve">₹22.28 Million</w:t>
            </w:r>
          </w:p>
        </w:tc>
      </w:tr>
    </w:tbl>
    <w:bookmarkStart w:id="41" w:name="insights-5"/>
    <w:p>
      <w:pPr>
        <w:pStyle w:val="Heading3"/>
      </w:pPr>
      <w:r>
        <w:t xml:space="preserve">Insights</w:t>
      </w:r>
    </w:p>
    <w:p>
      <w:pPr>
        <w:pStyle w:val="Compact"/>
        <w:numPr>
          <w:ilvl w:val="0"/>
          <w:numId w:val="1006"/>
        </w:numPr>
      </w:pPr>
      <w:r>
        <w:t xml:space="preserve">Customers aged</w:t>
      </w:r>
      <w:r>
        <w:t xml:space="preserve"> </w:t>
      </w:r>
      <w:r>
        <w:rPr>
          <w:b/>
          <w:bCs/>
        </w:rPr>
        <w:t xml:space="preserve">36–50 years</w:t>
      </w:r>
      <w:r>
        <w:t xml:space="preserve"> </w:t>
      </w:r>
      <w:r>
        <w:t xml:space="preserve">represent the most valuable customer segment.</w:t>
      </w:r>
    </w:p>
    <w:p>
      <w:pPr>
        <w:pStyle w:val="Compact"/>
        <w:numPr>
          <w:ilvl w:val="0"/>
          <w:numId w:val="1006"/>
        </w:numPr>
      </w:pPr>
      <w:r>
        <w:t xml:space="preserve">Customers aged</w:t>
      </w:r>
      <w:r>
        <w:t xml:space="preserve"> </w:t>
      </w:r>
      <w:r>
        <w:rPr>
          <w:b/>
          <w:bCs/>
        </w:rPr>
        <w:t xml:space="preserve">51–65 years</w:t>
      </w:r>
      <w:r>
        <w:t xml:space="preserve"> </w:t>
      </w:r>
      <w:r>
        <w:t xml:space="preserve">are the second-largest contributors.</w:t>
      </w:r>
    </w:p>
    <w:p>
      <w:pPr>
        <w:pStyle w:val="Compact"/>
        <w:numPr>
          <w:ilvl w:val="0"/>
          <w:numId w:val="1006"/>
        </w:numPr>
      </w:pPr>
      <w:r>
        <w:t xml:space="preserve">Younger customers contribute comparatively lower revenue.</w:t>
      </w:r>
    </w:p>
    <w:bookmarkEnd w:id="41"/>
    <w:bookmarkStart w:id="42" w:name="recommendation-5"/>
    <w:p>
      <w:pPr>
        <w:pStyle w:val="Heading3"/>
      </w:pPr>
      <w:r>
        <w:t xml:space="preserve">Recommendation</w:t>
      </w:r>
    </w:p>
    <w:p>
      <w:pPr>
        <w:pStyle w:val="FirstParagraph"/>
      </w:pPr>
      <w:r>
        <w:t xml:space="preserve">The company should target middle-aged customers through personalized marketing campaigns, loyalty programs, and premium product recommendations.</w:t>
      </w:r>
    </w:p>
    <w:p>
      <w:r>
        <w:pict>
          <v:rect style="width:0;height:1.5pt" o:hralign="center" o:hrstd="t" o:hr="t"/>
        </w:pict>
      </w:r>
    </w:p>
    <w:bookmarkEnd w:id="42"/>
    <w:bookmarkEnd w:id="43"/>
    <w:bookmarkStart w:id="46" w:name="monthly-revenue-analysis"/>
    <w:p>
      <w:pPr>
        <w:pStyle w:val="Heading1"/>
      </w:pPr>
      <w:r>
        <w:t xml:space="preserve">8. Monthly Revenue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Month</w:t>
            </w:r>
          </w:p>
        </w:tc>
        <w:tc>
          <w:tcPr/>
          <w:p>
            <w:pPr>
              <w:pStyle w:val="Compact"/>
              <w:jc w:val="right"/>
            </w:pPr>
            <w:r>
              <w:t xml:space="preserve">Revenue</w:t>
            </w:r>
          </w:p>
        </w:tc>
      </w:tr>
      <w:tr>
        <w:tc>
          <w:tcPr/>
          <w:p>
            <w:pPr>
              <w:pStyle w:val="Compact"/>
            </w:pPr>
            <w:r>
              <w:t xml:space="preserve">March</w:t>
            </w:r>
          </w:p>
        </w:tc>
        <w:tc>
          <w:tcPr/>
          <w:p>
            <w:pPr>
              <w:pStyle w:val="Compact"/>
              <w:jc w:val="right"/>
            </w:pPr>
            <w:r>
              <w:t xml:space="preserve">₹13.06 Million</w:t>
            </w:r>
          </w:p>
        </w:tc>
      </w:tr>
      <w:tr>
        <w:tc>
          <w:tcPr/>
          <w:p>
            <w:pPr>
              <w:pStyle w:val="Compact"/>
            </w:pPr>
            <w:r>
              <w:t xml:space="preserve">June</w:t>
            </w:r>
          </w:p>
        </w:tc>
        <w:tc>
          <w:tcPr/>
          <w:p>
            <w:pPr>
              <w:pStyle w:val="Compact"/>
              <w:jc w:val="right"/>
            </w:pPr>
            <w:r>
              <w:t xml:space="preserve">₹12.91 Million</w:t>
            </w:r>
          </w:p>
        </w:tc>
      </w:tr>
      <w:tr>
        <w:tc>
          <w:tcPr/>
          <w:p>
            <w:pPr>
              <w:pStyle w:val="Compact"/>
            </w:pPr>
            <w:r>
              <w:t xml:space="preserve">November</w:t>
            </w:r>
          </w:p>
        </w:tc>
        <w:tc>
          <w:tcPr/>
          <w:p>
            <w:pPr>
              <w:pStyle w:val="Compact"/>
              <w:jc w:val="right"/>
            </w:pPr>
            <w:r>
              <w:t xml:space="preserve">₹12.63 Million</w:t>
            </w:r>
          </w:p>
        </w:tc>
      </w:tr>
      <w:tr>
        <w:tc>
          <w:tcPr/>
          <w:p>
            <w:pPr>
              <w:pStyle w:val="Compact"/>
            </w:pPr>
            <w:r>
              <w:t xml:space="preserve">October</w:t>
            </w:r>
          </w:p>
        </w:tc>
        <w:tc>
          <w:tcPr/>
          <w:p>
            <w:pPr>
              <w:pStyle w:val="Compact"/>
              <w:jc w:val="right"/>
            </w:pPr>
            <w:r>
              <w:t xml:space="preserve">₹12.50 Million</w:t>
            </w:r>
          </w:p>
        </w:tc>
      </w:tr>
      <w:tr>
        <w:tc>
          <w:tcPr/>
          <w:p>
            <w:pPr>
              <w:pStyle w:val="Compact"/>
            </w:pPr>
            <w:r>
              <w:t xml:space="preserve">December</w:t>
            </w:r>
          </w:p>
        </w:tc>
        <w:tc>
          <w:tcPr/>
          <w:p>
            <w:pPr>
              <w:pStyle w:val="Compact"/>
              <w:jc w:val="right"/>
            </w:pPr>
            <w:r>
              <w:t xml:space="preserve">₹12.30 Million</w:t>
            </w:r>
          </w:p>
        </w:tc>
      </w:tr>
    </w:tbl>
    <w:bookmarkStart w:id="44" w:name="insights-6"/>
    <w:p>
      <w:pPr>
        <w:pStyle w:val="Heading3"/>
      </w:pPr>
      <w:r>
        <w:t xml:space="preserve">Insights</w:t>
      </w:r>
    </w:p>
    <w:p>
      <w:pPr>
        <w:pStyle w:val="Compact"/>
        <w:numPr>
          <w:ilvl w:val="0"/>
          <w:numId w:val="1007"/>
        </w:numPr>
      </w:pPr>
      <w:r>
        <w:t xml:space="preserve">March generated the highest monthly revenue.</w:t>
      </w:r>
    </w:p>
    <w:p>
      <w:pPr>
        <w:pStyle w:val="Compact"/>
        <w:numPr>
          <w:ilvl w:val="0"/>
          <w:numId w:val="1007"/>
        </w:numPr>
      </w:pPr>
      <w:r>
        <w:t xml:space="preserve">Strong sales performance is observed during Q2 and Q4.</w:t>
      </w:r>
    </w:p>
    <w:p>
      <w:pPr>
        <w:pStyle w:val="Compact"/>
        <w:numPr>
          <w:ilvl w:val="0"/>
          <w:numId w:val="1007"/>
        </w:numPr>
      </w:pPr>
      <w:r>
        <w:t xml:space="preserve">Seasonal purchasing behavior is evident in the dataset.</w:t>
      </w:r>
    </w:p>
    <w:bookmarkEnd w:id="44"/>
    <w:bookmarkStart w:id="45" w:name="recommendation-6"/>
    <w:p>
      <w:pPr>
        <w:pStyle w:val="Heading3"/>
      </w:pPr>
      <w:r>
        <w:t xml:space="preserve">Recommendation</w:t>
      </w:r>
    </w:p>
    <w:p>
      <w:pPr>
        <w:pStyle w:val="FirstParagraph"/>
      </w:pPr>
      <w:r>
        <w:t xml:space="preserve">The company should plan inventory and promotional campaigns ahead of high-performing months to maximize sales opportunities.</w:t>
      </w:r>
    </w:p>
    <w:p>
      <w:r>
        <w:pict>
          <v:rect style="width:0;height:1.5pt" o:hralign="center" o:hrstd="t" o:hr="t"/>
        </w:pict>
      </w:r>
    </w:p>
    <w:bookmarkEnd w:id="45"/>
    <w:bookmarkEnd w:id="46"/>
    <w:bookmarkStart w:id="47" w:name="final-conclusion"/>
    <w:p>
      <w:pPr>
        <w:pStyle w:val="Heading1"/>
      </w:pPr>
      <w:r>
        <w:t xml:space="preserve">Final Conclusion</w:t>
      </w:r>
    </w:p>
    <w:p>
      <w:pPr>
        <w:pStyle w:val="FirstParagraph"/>
      </w:pPr>
      <w:r>
        <w:t xml:space="preserve">The ApexPlanet Sales Dataset reveals strong performance in the Electronics category, with Laptop and Mobile products generating the highest revenue. Patna emerged as the top-performing city, while customers aged 36–50 years contributed the largest share of revenue. Overall, the dataset demonstrates healthy sales performance, balanced gender participation, and identifiable seasonal trends.</w:t>
      </w:r>
    </w:p>
    <w:p>
      <w:pPr>
        <w:pStyle w:val="BodyText"/>
      </w:pPr>
      <w:r>
        <w:t xml:space="preserve">After data cleaning and transformation, the dataset became analysis-ready and suitable for advanced analytics, dashboard development, and business decision-making.</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2026-06-10T05:36:09Z</dcterms:created>
  <dcterms:modified xsi:type="dcterms:W3CDTF">2026-06-10T05:36:09Z</dcterms:modified>
</cp:coreProperties>
</file>

<file path=docProps/custom.xml><?xml version="1.0" encoding="utf-8"?>
<Properties xmlns="http://schemas.openxmlformats.org/officeDocument/2006/custom-properties" xmlns:vt="http://schemas.openxmlformats.org/officeDocument/2006/docPropsVTypes"/>
</file>