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Professor feedback and game design</w:t>
      </w:r>
    </w:p>
    <w:p>
      <w:r>
        <w:t>Food Resilience Market  |  UTC2720 Project 2  |  13 October 2026</w:t>
      </w:r>
    </w:p>
    <w:p>
      <w:r>
        <w:t>We used the professors’ feedback to centre the game on emergency food distribution, show decisions across rounds and balance food access with farmers’ livelihoods. The mapping below connects each recorded feedback point to the corresponding game feature.</w:t>
      </w:r>
    </w:p>
    <w:p>
      <w:pPr>
        <w:pStyle w:val="Heading1"/>
      </w:pPr>
      <w:r>
        <w:t>Prof Piyapong</w:t>
      </w:r>
    </w:p>
    <w:tbl>
      <w:tblPr>
        <w:tblW w:type="auto" w:w="0"/>
        <w:jc w:val="center"/>
        <w:tblLayout w:type="fixed"/>
        <w:tblLook w:firstColumn="1" w:firstRow="1" w:lastColumn="0" w:lastRow="0" w:noHBand="0" w:noVBand="1" w:val="04A0"/>
      </w:tblPr>
      <w:tblGrid>
        <w:gridCol w:w="3528"/>
        <w:gridCol w:w="6365"/>
      </w:tblGrid>
      <w:tr>
        <w:trPr>
          <w:tblHeade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EF2"/>
          </w:tcPr>
          <w:p>
            <w:pPr>
              <w:spacing w:after="40" w:line="240" w:lineRule="auto"/>
            </w:pPr>
            <w:r>
              <w:rPr>
                <w:b/>
                <w:sz w:val="21"/>
              </w:rPr>
              <w:t>Feedback</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EF2"/>
          </w:tcPr>
          <w:p>
            <w:pPr>
              <w:spacing w:after="40" w:line="240" w:lineRule="auto"/>
            </w:pPr>
            <w:r>
              <w:rPr>
                <w:b/>
                <w:sz w:val="21"/>
              </w:rPr>
              <w:t>How it influenced the game</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Emergency food must reach people during floods or COVID closures.</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The city meter measures food delivered to vulnerable households, schools and hospitals. Market sales alone do not raise it.</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Centre distribution and redistribution through alternative supply chains.</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Share, school and hospital promises, stored-food releases and Council emergency purchases offer alternatives to market sales.</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Use Mae Tha’s own stock.</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The Mae Tha community reserve is separate from individual farmers’ stored food and can supply emergency deliveries.</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The market is only one part of the chain.</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The reveal shows multiple routes and destinations: market, company collection, schools and hospitals, storage and community hub.</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The Chiang Mai Food Council should be a user.</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A playable Council seat coordinates purchases, storage support, transport and reserve releases. An automatic option supports smaller groups.</w:t>
            </w:r>
          </w:p>
        </w:tc>
      </w:tr>
    </w:tbl>
    <w:p>
      <w:pPr>
        <w:pStyle w:val="Heading1"/>
      </w:pPr>
      <w:r>
        <w:t>Prof Navarun</w:t>
      </w:r>
    </w:p>
    <w:tbl>
      <w:tblPr>
        <w:tblW w:type="auto" w:w="0"/>
        <w:jc w:val="center"/>
        <w:tblLayout w:type="fixed"/>
        <w:tblLook w:firstColumn="1" w:firstRow="1" w:lastColumn="0" w:lastRow="0" w:noHBand="0" w:noVBand="1" w:val="04A0"/>
      </w:tblPr>
      <w:tblGrid>
        <w:gridCol w:w="3528"/>
        <w:gridCol w:w="6365"/>
      </w:tblGrid>
      <w:tr>
        <w:trPr>
          <w:tblHeade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EF2"/>
          </w:tcPr>
          <w:p>
            <w:pPr>
              <w:spacing w:after="40" w:line="240" w:lineRule="auto"/>
            </w:pPr>
            <w:r>
              <w:rPr>
                <w:b/>
                <w:sz w:val="21"/>
              </w:rPr>
              <w:t>Feedback</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EF2"/>
          </w:tcPr>
          <w:p>
            <w:pPr>
              <w:spacing w:after="40" w:line="240" w:lineRule="auto"/>
            </w:pPr>
            <w:r>
              <w:rPr>
                <w:b/>
                <w:sz w:val="21"/>
              </w:rPr>
              <w:t>How it influenced the game</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Show time delays.</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Promises reserve next round’s harvest; storage postpones delivery until release; floods reduce next round’s harvest.</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Show affordability versus a fair farmer price.</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Market sales offer higher prices but limited buyers. Community deliveries support food access at lower payments. Farmers balance their cash goal with city survival.</w:t>
            </w:r>
          </w:p>
        </w:tc>
      </w:tr>
      <w:tr>
        <w:trPr>
          <w:cantSplit/>
        </w:trPr>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Help students, future cohorts and policymakers understand the situation.</w:t>
            </w:r>
          </w:p>
        </w:tc>
        <w:tc>
          <w:tcPr>
            <w:tcW w:type="dxa" w:w="63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sz w:val="21"/>
              </w:rPr>
              <w:t>Learning cards, discussion questions, anonymous reflections and illustrative policy comparisons support learning and discussion.</w:t>
            </w:r>
          </w:p>
        </w:tc>
      </w:tr>
    </w:tbl>
    <w:p>
      <w:pPr>
        <w:pStyle w:val="Heading1"/>
      </w:pPr>
      <w:r>
        <w:t>Prof Corinne</w:t>
      </w:r>
    </w:p>
    <w:p>
      <w:r>
        <w:t>Feedback and corresponding game features: attribution to be confirmed.</w:t>
      </w:r>
    </w:p>
    <w:p>
      <w:pPr>
        <w:pStyle w:val="Heading1"/>
      </w:pPr>
      <w:r>
        <w:t>Other design influences</w:t>
      </w:r>
    </w:p>
    <w:p>
      <w:r>
        <w:t>Playtesters’ comments about boring, text-heavy earlier versions informed the pixel visuals and animations. Later team requests informed balance targets and guaranteed shocks. These should not be presented as direct professor feedback.</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Professor feedback and game design</dc:title>
  <dc:subject>Feedback attribution for Food Resilience Market</dc:subject>
  <dc:creator>SFI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