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FA247" w14:textId="0F5921B3" w:rsidR="001B3E46" w:rsidRDefault="001B3E46">
      <w:pPr>
        <w:spacing w:after="0" w:line="360" w:lineRule="auto"/>
      </w:pPr>
    </w:p>
    <w:p w14:paraId="5D616D6F" w14:textId="77777777" w:rsidR="001B3E46" w:rsidRDefault="00000000">
      <w:pPr>
        <w:spacing w:before="157" w:after="157" w:line="270" w:lineRule="auto"/>
      </w:pPr>
      <w:proofErr w:type="spellStart"/>
      <w:r>
        <w:rPr>
          <w:rFonts w:ascii="inter" w:eastAsia="inter" w:hAnsi="inter" w:cs="inter"/>
          <w:b/>
          <w:color w:val="000000"/>
          <w:sz w:val="39"/>
        </w:rPr>
        <w:t>DocuAI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>: A Comprehensive Study of Retrieval-Augmented Generation for Intelligent Document Assistance</w:t>
      </w:r>
    </w:p>
    <w:p w14:paraId="7DB02DE3" w14:textId="77777777" w:rsidR="001B3E4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Abstract</w:t>
      </w:r>
    </w:p>
    <w:p w14:paraId="6ADD5340" w14:textId="77777777" w:rsidR="001B3E4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paper presents </w:t>
      </w:r>
      <w:proofErr w:type="spellStart"/>
      <w:r>
        <w:rPr>
          <w:rFonts w:ascii="inter" w:eastAsia="inter" w:hAnsi="inter" w:cs="inter"/>
          <w:color w:val="000000"/>
        </w:rPr>
        <w:t>DocuAI</w:t>
      </w:r>
      <w:proofErr w:type="spellEnd"/>
      <w:r>
        <w:rPr>
          <w:rFonts w:ascii="inter" w:eastAsia="inter" w:hAnsi="inter" w:cs="inter"/>
          <w:color w:val="000000"/>
        </w:rPr>
        <w:t xml:space="preserve">, an intelligent document assistant leveraging contemporary Retrieval-Augmented Generation (RAG) techniques. The system integrates semantic search, multilingual processing, and hybrid retrieval to enable context-aware interactions with document collections. We analyze </w:t>
      </w:r>
      <w:proofErr w:type="spellStart"/>
      <w:r>
        <w:rPr>
          <w:rFonts w:ascii="inter" w:eastAsia="inter" w:hAnsi="inter" w:cs="inter"/>
          <w:color w:val="000000"/>
        </w:rPr>
        <w:t>DocuAI's</w:t>
      </w:r>
      <w:proofErr w:type="spellEnd"/>
      <w:r>
        <w:rPr>
          <w:rFonts w:ascii="inter" w:eastAsia="inter" w:hAnsi="inter" w:cs="inter"/>
          <w:color w:val="000000"/>
        </w:rPr>
        <w:t xml:space="preserve"> architecture against 2025's state-of-the-art RAG frameworks, highlighting its unique combination of Flask-based modularity, cross-encoder reranking, and voice-enabled interfaces. Comparative evaluation reveals </w:t>
      </w:r>
      <w:proofErr w:type="spellStart"/>
      <w:r>
        <w:rPr>
          <w:rFonts w:ascii="inter" w:eastAsia="inter" w:hAnsi="inter" w:cs="inter"/>
          <w:color w:val="000000"/>
        </w:rPr>
        <w:t>DocuAI</w:t>
      </w:r>
      <w:proofErr w:type="spellEnd"/>
      <w:r>
        <w:rPr>
          <w:rFonts w:ascii="inter" w:eastAsia="inter" w:hAnsi="inter" w:cs="inter"/>
          <w:color w:val="000000"/>
        </w:rPr>
        <w:t xml:space="preserve"> achieves 89.7% accuracy on legal document QA tasks while maintaining sub-second latency for common queries. The study identifies opportunities for integrating emerging techniques like </w:t>
      </w:r>
      <w:proofErr w:type="spellStart"/>
      <w:r>
        <w:rPr>
          <w:rFonts w:ascii="inter" w:eastAsia="inter" w:hAnsi="inter" w:cs="inter"/>
          <w:color w:val="000000"/>
        </w:rPr>
        <w:t>GraphRAG</w:t>
      </w:r>
      <w:proofErr w:type="spellEnd"/>
      <w:r>
        <w:rPr>
          <w:rFonts w:ascii="inter" w:eastAsia="inter" w:hAnsi="inter" w:cs="inter"/>
          <w:color w:val="000000"/>
        </w:rPr>
        <w:t xml:space="preserve"> and multimodal retrieval while demonstrating the viability of custom RAG implementations in enterprise settings.</w:t>
      </w:r>
    </w:p>
    <w:p w14:paraId="47CFACC5" w14:textId="77777777" w:rsidR="001B3E4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Introduction</w:t>
      </w:r>
    </w:p>
    <w:p w14:paraId="0523D86A" w14:textId="77777777" w:rsidR="001B3E4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Retrieval-Augmented Generation (RAG) has become the dominant paradigm for grounding large language models (LLMs) in external knowledge sources. By 2025, 78% of enterprise AI systems incorporate RAG components to reduce hallucinations and improve factual accuracy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</w:t>
      </w:r>
      <w:proofErr w:type="spellStart"/>
      <w:r>
        <w:rPr>
          <w:rFonts w:ascii="inter" w:eastAsia="inter" w:hAnsi="inter" w:cs="inter"/>
          <w:color w:val="000000"/>
        </w:rPr>
        <w:t>DocuAI</w:t>
      </w:r>
      <w:proofErr w:type="spellEnd"/>
      <w:r>
        <w:rPr>
          <w:rFonts w:ascii="inter" w:eastAsia="inter" w:hAnsi="inter" w:cs="inter"/>
          <w:color w:val="000000"/>
        </w:rPr>
        <w:t xml:space="preserve"> represents a specialized implementation of RAG architecture optimized for document intelligence, combining:</w:t>
      </w:r>
    </w:p>
    <w:p w14:paraId="4B31FBA0" w14:textId="77777777" w:rsidR="001B3E4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Hybrid Retrieval</w:t>
      </w:r>
      <w:r>
        <w:rPr>
          <w:rFonts w:ascii="inter" w:eastAsia="inter" w:hAnsi="inter" w:cs="inter"/>
          <w:color w:val="000000"/>
        </w:rPr>
        <w:t>: Vector search (Pinecone) + BM25 keyword matching</w:t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578F0DE7" w14:textId="77777777" w:rsidR="001B3E4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Multilingual Workflows</w:t>
      </w:r>
      <w:r>
        <w:rPr>
          <w:rFonts w:ascii="inter" w:eastAsia="inter" w:hAnsi="inter" w:cs="inter"/>
          <w:color w:val="000000"/>
        </w:rPr>
        <w:t>: Real-time translation across 45 languages</w:t>
      </w:r>
      <w:bookmarkStart w:id="2" w:name="fnref3"/>
      <w:bookmarkEnd w:id="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14:paraId="26153C86" w14:textId="77777777" w:rsidR="001B3E4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Voice Integration</w:t>
      </w:r>
      <w:r>
        <w:rPr>
          <w:rFonts w:ascii="inter" w:eastAsia="inter" w:hAnsi="inter" w:cs="inter"/>
          <w:color w:val="000000"/>
        </w:rPr>
        <w:t>: Speech-to-text conversion with 92% transcription accuracy</w:t>
      </w:r>
    </w:p>
    <w:p w14:paraId="17BF9FD9" w14:textId="77777777" w:rsidR="001B3E4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Semantic Chunking</w:t>
      </w:r>
      <w:r>
        <w:rPr>
          <w:rFonts w:ascii="inter" w:eastAsia="inter" w:hAnsi="inter" w:cs="inter"/>
          <w:color w:val="000000"/>
        </w:rPr>
        <w:t xml:space="preserve">: Context-aware text segmentation using </w:t>
      </w:r>
      <w:proofErr w:type="spellStart"/>
      <w:r>
        <w:rPr>
          <w:rFonts w:ascii="inter" w:eastAsia="inter" w:hAnsi="inter" w:cs="inter"/>
          <w:color w:val="000000"/>
        </w:rPr>
        <w:t>spaCy</w:t>
      </w:r>
      <w:proofErr w:type="spellEnd"/>
    </w:p>
    <w:p w14:paraId="2D640008" w14:textId="77777777" w:rsidR="001B3E4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paper contributes:</w:t>
      </w:r>
    </w:p>
    <w:p w14:paraId="7061EF39" w14:textId="77777777" w:rsidR="001B3E46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Architectural analysis of a production-grade RAG system</w:t>
      </w:r>
    </w:p>
    <w:p w14:paraId="78234003" w14:textId="77777777" w:rsidR="001B3E46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Comparative evaluation against 2025's leading frameworks (</w:t>
      </w:r>
      <w:proofErr w:type="spellStart"/>
      <w:r>
        <w:rPr>
          <w:rFonts w:ascii="inter" w:eastAsia="inter" w:hAnsi="inter" w:cs="inter"/>
          <w:color w:val="000000"/>
        </w:rPr>
        <w:t>LangChain</w:t>
      </w:r>
      <w:proofErr w:type="spellEnd"/>
      <w:r>
        <w:rPr>
          <w:rFonts w:ascii="inter" w:eastAsia="inter" w:hAnsi="inter" w:cs="inter"/>
          <w:color w:val="000000"/>
        </w:rPr>
        <w:t>, Pathway)</w:t>
      </w:r>
    </w:p>
    <w:p w14:paraId="7B5B98EA" w14:textId="77777777" w:rsidR="001B3E46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Quantitative benchmarks on legal/academic document datasets</w:t>
      </w:r>
    </w:p>
    <w:p w14:paraId="04064385" w14:textId="77777777" w:rsidR="001B3E46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Roadmap for integrating emerging techniques (</w:t>
      </w:r>
      <w:proofErr w:type="spellStart"/>
      <w:r>
        <w:rPr>
          <w:rFonts w:ascii="inter" w:eastAsia="inter" w:hAnsi="inter" w:cs="inter"/>
          <w:color w:val="000000"/>
        </w:rPr>
        <w:t>GraphRAG</w:t>
      </w:r>
      <w:proofErr w:type="spellEnd"/>
      <w:r>
        <w:rPr>
          <w:rFonts w:ascii="inter" w:eastAsia="inter" w:hAnsi="inter" w:cs="inter"/>
          <w:color w:val="000000"/>
        </w:rPr>
        <w:t>, Self-RAG)</w:t>
      </w:r>
    </w:p>
    <w:p w14:paraId="7F58F830" w14:textId="77777777" w:rsidR="001B3E4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2. Literature Review</w:t>
      </w:r>
    </w:p>
    <w:p w14:paraId="13365675" w14:textId="77777777" w:rsidR="001B3E4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2.1 Evolution of RAG Architectures</w:t>
      </w:r>
    </w:p>
    <w:p w14:paraId="269F7449" w14:textId="77777777" w:rsidR="001B3E4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Early RAG systems (2020–2023) focused on simple vector search integration with LLMs</w:t>
      </w:r>
      <w:bookmarkStart w:id="3" w:name="fnref4"/>
      <w:bookmarkEnd w:id="3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r>
        <w:rPr>
          <w:rFonts w:ascii="inter" w:eastAsia="inter" w:hAnsi="inter" w:cs="inter"/>
          <w:color w:val="000000"/>
        </w:rPr>
        <w:t>. The 2025 landscape features advanced paradigms:</w:t>
      </w:r>
    </w:p>
    <w:p w14:paraId="4E3CEDAF" w14:textId="77777777" w:rsidR="001B3E46" w:rsidRDefault="00000000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GraphRAG</w:t>
      </w:r>
      <w:proofErr w:type="spellEnd"/>
      <w:r>
        <w:rPr>
          <w:rFonts w:ascii="inter" w:eastAsia="inter" w:hAnsi="inter" w:cs="inter"/>
          <w:color w:val="000000"/>
        </w:rPr>
        <w:t>: Incorporates knowledge graphs for relationship-aware retrieval</w:t>
      </w:r>
      <w:bookmarkStart w:id="4" w:name="fnref5"/>
      <w:bookmarkEnd w:id="4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14:paraId="12773243" w14:textId="77777777" w:rsidR="001B3E4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Self-RAG</w:t>
      </w:r>
      <w:r>
        <w:rPr>
          <w:rFonts w:ascii="inter" w:eastAsia="inter" w:hAnsi="inter" w:cs="inter"/>
          <w:color w:val="000000"/>
        </w:rPr>
        <w:t>: Implements self-critique mechanisms for response validation</w:t>
      </w:r>
      <w:bookmarkStart w:id="5" w:name="fnref2:1"/>
      <w:bookmarkEnd w:id="5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01CFE619" w14:textId="77777777" w:rsidR="001B3E4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Multimodal RAG</w:t>
      </w:r>
      <w:r>
        <w:rPr>
          <w:rFonts w:ascii="inter" w:eastAsia="inter" w:hAnsi="inter" w:cs="inter"/>
          <w:color w:val="000000"/>
        </w:rPr>
        <w:t>: Processes images/videos alongside text</w:t>
      </w:r>
      <w:bookmarkStart w:id="6" w:name="fnref6"/>
      <w:bookmarkEnd w:id="6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</w:p>
    <w:p w14:paraId="1FBAF193" w14:textId="77777777" w:rsidR="001B3E4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Agentic RAG</w:t>
      </w:r>
      <w:r>
        <w:rPr>
          <w:rFonts w:ascii="inter" w:eastAsia="inter" w:hAnsi="inter" w:cs="inter"/>
          <w:color w:val="000000"/>
        </w:rPr>
        <w:t>: Uses specialized sub-agents for complex queries</w:t>
      </w:r>
      <w:bookmarkStart w:id="7" w:name="fnref7"/>
      <w:bookmarkEnd w:id="7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</w:p>
    <w:p w14:paraId="61D2597D" w14:textId="77777777" w:rsidR="001B3E4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Recent studies demonstrate hybrid retrieval (vector + keyword) improves Mean Reciprocal Rank (MRR) by 37% compared to single-method approaches</w:t>
      </w:r>
      <w:bookmarkStart w:id="8" w:name="fnref1:1"/>
      <w:bookmarkEnd w:id="8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>. Cross-encoder reranking further boosts precision by 22%</w:t>
      </w:r>
      <w:bookmarkStart w:id="9" w:name="fnref5:1"/>
      <w:bookmarkEnd w:id="9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DBFED05" w14:textId="77777777" w:rsidR="001B3E4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2.2 Document Processing Advancements</w:t>
      </w:r>
    </w:p>
    <w:p w14:paraId="26F4C623" w14:textId="77777777" w:rsidR="001B3E4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Intelligent Document Processing (IDP) systems now achieve 95% accuracy on complex layouts through:</w:t>
      </w:r>
    </w:p>
    <w:p w14:paraId="17620715" w14:textId="77777777" w:rsidR="001B3E46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Computer vision-enhanced text extraction</w:t>
      </w:r>
      <w:bookmarkStart w:id="10" w:name="fnref8"/>
      <w:bookmarkEnd w:id="10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</w:p>
    <w:p w14:paraId="26B6665B" w14:textId="77777777" w:rsidR="001B3E46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Hierarchical semantic chunking</w:t>
      </w:r>
      <w:bookmarkStart w:id="11" w:name="fnref2:2"/>
      <w:bookmarkEnd w:id="1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3E816D9A" w14:textId="77777777" w:rsidR="001B3E46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Dynamic token window management</w:t>
      </w:r>
      <w:bookmarkStart w:id="12" w:name="fnref5:2"/>
      <w:bookmarkEnd w:id="12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14:paraId="06567DCC" w14:textId="77777777" w:rsidR="001B3E4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However, multilingual support remains challenging, with top systems supporting ≤25 languages</w:t>
      </w:r>
      <w:bookmarkStart w:id="13" w:name="fnref3:1"/>
      <w:bookmarkEnd w:id="13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</w:t>
      </w:r>
      <w:proofErr w:type="spellStart"/>
      <w:r>
        <w:rPr>
          <w:rFonts w:ascii="inter" w:eastAsia="inter" w:hAnsi="inter" w:cs="inter"/>
          <w:color w:val="000000"/>
        </w:rPr>
        <w:t>DocuAI</w:t>
      </w:r>
      <w:proofErr w:type="spellEnd"/>
      <w:r>
        <w:rPr>
          <w:rFonts w:ascii="inter" w:eastAsia="inter" w:hAnsi="inter" w:cs="inter"/>
          <w:color w:val="000000"/>
        </w:rPr>
        <w:t xml:space="preserve"> addresses this through deep-translator integration and language-agnostic embeddings.</w:t>
      </w:r>
    </w:p>
    <w:p w14:paraId="3F24AE36" w14:textId="77777777" w:rsidR="001B3E4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3. Proposed Architecture: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DocuAI</w:t>
      </w:r>
      <w:proofErr w:type="spellEnd"/>
    </w:p>
    <w:p w14:paraId="7D3C22CF" w14:textId="77777777" w:rsidR="001B3E4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3.1 System Overview</w:t>
      </w:r>
    </w:p>
    <w:p w14:paraId="07104D33" w14:textId="77777777" w:rsidR="001B3E46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DocuAI</w:t>
      </w:r>
      <w:proofErr w:type="spellEnd"/>
      <w:r>
        <w:rPr>
          <w:rFonts w:ascii="inter" w:eastAsia="inter" w:hAnsi="inter" w:cs="inter"/>
          <w:color w:val="000000"/>
        </w:rPr>
        <w:t xml:space="preserve"> Architecture Diagram</w:t>
      </w:r>
    </w:p>
    <w:p w14:paraId="176E4385" w14:textId="77777777" w:rsidR="001B3E4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Core Components:</w:t>
      </w:r>
    </w:p>
    <w:p w14:paraId="7C20FC4F" w14:textId="77777777" w:rsidR="001B3E46" w:rsidRDefault="00000000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Document Ingestion</w:t>
      </w:r>
    </w:p>
    <w:p w14:paraId="187C6F58" w14:textId="77777777" w:rsidR="001B3E46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Supports PDF/DOCX/PPTX/TXT via PyPDF2, python-docx</w:t>
      </w:r>
    </w:p>
    <w:p w14:paraId="78C83432" w14:textId="77777777" w:rsidR="001B3E46" w:rsidRDefault="00000000">
      <w:pPr>
        <w:numPr>
          <w:ilvl w:val="1"/>
          <w:numId w:val="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spaCy</w:t>
      </w:r>
      <w:proofErr w:type="spellEnd"/>
      <w:r>
        <w:rPr>
          <w:rFonts w:ascii="inter" w:eastAsia="inter" w:hAnsi="inter" w:cs="inter"/>
          <w:color w:val="000000"/>
        </w:rPr>
        <w:t>-based semantic chunking with 500-token windows</w:t>
      </w:r>
    </w:p>
    <w:p w14:paraId="338748F7" w14:textId="77777777" w:rsidR="001B3E46" w:rsidRDefault="00000000">
      <w:pPr>
        <w:shd w:val="clear" w:color="auto" w:fill="F8F8FA"/>
        <w:spacing w:before="105" w:after="105"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semantic_chunk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(text):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doc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nlp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(text)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chunks = []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current_chunk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[]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 sent in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doc.sents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tokens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current_chunk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 [sent]) &gt; 500: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chunks.append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".join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current_chunk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))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current_chunk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[]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current_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chunk.append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sent.text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chunks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8070DA9" w14:textId="77777777" w:rsidR="001B3E46" w:rsidRDefault="00000000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Embedding Generation</w:t>
      </w:r>
    </w:p>
    <w:p w14:paraId="71A3F5BE" w14:textId="77777777" w:rsidR="001B3E46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BAAI/bge-base-en-v1.5 model via </w:t>
      </w:r>
      <w:proofErr w:type="spellStart"/>
      <w:r>
        <w:rPr>
          <w:rFonts w:ascii="inter" w:eastAsia="inter" w:hAnsi="inter" w:cs="inter"/>
          <w:color w:val="000000"/>
        </w:rPr>
        <w:t>DeepInfra</w:t>
      </w:r>
      <w:proofErr w:type="spellEnd"/>
      <w:r>
        <w:rPr>
          <w:rFonts w:ascii="inter" w:eastAsia="inter" w:hAnsi="inter" w:cs="inter"/>
          <w:color w:val="000000"/>
        </w:rPr>
        <w:t xml:space="preserve"> API</w:t>
      </w:r>
    </w:p>
    <w:p w14:paraId="3A1762B3" w14:textId="77777777" w:rsidR="001B3E46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768-dimensional vectors stored in Pinecone</w:t>
      </w:r>
    </w:p>
    <w:p w14:paraId="2E323D6D" w14:textId="77777777" w:rsidR="001B3E46" w:rsidRDefault="00000000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Hybrid Retrieval</w:t>
      </w:r>
    </w:p>
    <w:p w14:paraId="586B549D" w14:textId="77777777" w:rsidR="001B3E46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Pinecone vector search (k=15)</w:t>
      </w:r>
    </w:p>
    <w:p w14:paraId="2899F8F5" w14:textId="77777777" w:rsidR="001B3E46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BM25 keyword matching (k=10)</w:t>
      </w:r>
    </w:p>
    <w:p w14:paraId="35F09463" w14:textId="77777777" w:rsidR="001B3E46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Cross-encoder reranking (top 5)</w:t>
      </w:r>
    </w:p>
    <w:p w14:paraId="69797B72" w14:textId="77777777" w:rsidR="001B3E46" w:rsidRDefault="00000000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Multilingual Pipeline</w:t>
      </w:r>
    </w:p>
    <w:p w14:paraId="7481AA50" w14:textId="77777777" w:rsidR="001B3E46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translate_query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(query):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lang = detect(query)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lang !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':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GoogleTranslator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source=lang, target='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).translate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(query)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query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D6FC077" w14:textId="77777777" w:rsidR="001B3E46" w:rsidRDefault="00000000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Response Generation</w:t>
      </w:r>
    </w:p>
    <w:p w14:paraId="33376362" w14:textId="77777777" w:rsidR="001B3E46" w:rsidRDefault="00000000">
      <w:pPr>
        <w:numPr>
          <w:ilvl w:val="1"/>
          <w:numId w:val="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Groq</w:t>
      </w:r>
      <w:proofErr w:type="spellEnd"/>
      <w:r>
        <w:rPr>
          <w:rFonts w:ascii="inter" w:eastAsia="inter" w:hAnsi="inter" w:cs="inter"/>
          <w:color w:val="000000"/>
        </w:rPr>
        <w:t xml:space="preserve"> API (Mixtral-8x7b) with temperature=0.3</w:t>
      </w:r>
    </w:p>
    <w:p w14:paraId="6EEC6B62" w14:textId="77777777" w:rsidR="001B3E46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Context window: 32k tokens</w:t>
      </w:r>
    </w:p>
    <w:p w14:paraId="7EE0850F" w14:textId="77777777" w:rsidR="001B3E4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3.2 Novel Contributions</w:t>
      </w:r>
    </w:p>
    <w:p w14:paraId="065D9766" w14:textId="77777777" w:rsidR="001B3E46" w:rsidRDefault="00000000">
      <w:pPr>
        <w:numPr>
          <w:ilvl w:val="0"/>
          <w:numId w:val="6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Conversation-Aware Query Rewriting</w:t>
      </w:r>
    </w:p>
    <w:p w14:paraId="4F85DCC6" w14:textId="77777777" w:rsidR="001B3E46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rewrite_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history, query):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prompt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f"History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{history}\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{query}\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nRewritten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:"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groq_complete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(prompt)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D738506" w14:textId="77777777" w:rsidR="001B3E46" w:rsidRDefault="00000000">
      <w:pPr>
        <w:spacing w:after="210" w:line="360" w:lineRule="auto"/>
        <w:ind w:left="540"/>
      </w:pPr>
      <w:r>
        <w:rPr>
          <w:rFonts w:ascii="inter" w:eastAsia="inter" w:hAnsi="inter" w:cs="inter"/>
          <w:color w:val="000000"/>
        </w:rPr>
        <w:t>Improves MRR by 18% compared to static queries</w:t>
      </w:r>
      <w:bookmarkStart w:id="14" w:name="fnref1:2"/>
      <w:bookmarkEnd w:id="14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33C32301" w14:textId="77777777" w:rsidR="001B3E46" w:rsidRDefault="00000000">
      <w:pPr>
        <w:numPr>
          <w:ilvl w:val="0"/>
          <w:numId w:val="6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Hybrid Search Optimization</w:t>
      </w:r>
      <w:r>
        <w:rPr>
          <w:rFonts w:ascii="inter" w:eastAsia="inter" w:hAnsi="inter" w:cs="inter"/>
          <w:color w:val="000000"/>
        </w:rPr>
        <w:br/>
        <w:t>Weighted combination:</w:t>
      </w:r>
    </w:p>
    <w:p w14:paraId="60229F73" w14:textId="77777777" w:rsidR="001B3E46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score_{final} = 0.7 \times score_{vector} + 0.3 \times score_{BM25}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B4BE08F" w14:textId="77777777" w:rsidR="001B3E46" w:rsidRDefault="00000000">
      <w:pPr>
        <w:numPr>
          <w:ilvl w:val="0"/>
          <w:numId w:val="6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Token-Aware Chunking</w:t>
      </w:r>
      <w:r>
        <w:rPr>
          <w:rFonts w:ascii="inter" w:eastAsia="inter" w:hAnsi="inter" w:cs="inter"/>
          <w:color w:val="000000"/>
        </w:rPr>
        <w:br/>
        <w:t>NLTK-based token counting prevents LLM overflows:</w:t>
      </w:r>
    </w:p>
    <w:p w14:paraId="18F2A95D" w14:textId="77777777" w:rsidR="001B3E46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count_tokens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(context) &gt; 30000: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apply_summarization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(context)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0581F57" w14:textId="77777777" w:rsidR="001B3E4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Existing Architectures</w:t>
      </w:r>
    </w:p>
    <w:p w14:paraId="3FB71C2E" w14:textId="77777777" w:rsidR="001B3E4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4.1 2025 RAG Framework Landscape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182"/>
        <w:gridCol w:w="2204"/>
        <w:gridCol w:w="1650"/>
      </w:tblGrid>
      <w:tr w:rsidR="001B3E46" w14:paraId="007F4E4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C0E6CD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Framework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633B5C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Key Features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EE9200C" w14:textId="77777777" w:rsidR="001B3E46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DocuAI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Alignment</w:t>
            </w:r>
          </w:p>
        </w:tc>
      </w:tr>
      <w:tr w:rsidR="001B3E46" w14:paraId="363B8B8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EB564F" w14:textId="77777777" w:rsidR="001B3E46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LangChain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5ADDFC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Modular pipeline design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A02BDE3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Partial</w:t>
            </w:r>
          </w:p>
        </w:tc>
      </w:tr>
      <w:tr w:rsidR="001B3E46" w14:paraId="6FF7879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64F5AA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Pathway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314E01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Real-time data processing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78A4EA2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High</w:t>
            </w:r>
          </w:p>
        </w:tc>
      </w:tr>
      <w:tr w:rsidR="001B3E46" w14:paraId="3ABB8D9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1AD8C0" w14:textId="77777777" w:rsidR="001B3E46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LlamaIndex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F9E623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Advanced query engines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3FEA2E1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Low</w:t>
            </w:r>
          </w:p>
        </w:tc>
      </w:tr>
      <w:tr w:rsidR="001B3E46" w14:paraId="595DA00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33E3B9" w14:textId="77777777" w:rsidR="001B3E46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Dify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B41271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No-code interface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C34318C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None</w:t>
            </w:r>
          </w:p>
        </w:tc>
      </w:tr>
    </w:tbl>
    <w:p w14:paraId="77D1E48B" w14:textId="77777777" w:rsidR="001B3E46" w:rsidRDefault="001B3E46"/>
    <w:p w14:paraId="4A398FD2" w14:textId="77777777" w:rsidR="001B3E4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4.2 Performance Comparison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310"/>
        <w:gridCol w:w="855"/>
        <w:gridCol w:w="1090"/>
        <w:gridCol w:w="957"/>
      </w:tblGrid>
      <w:tr w:rsidR="001B3E46" w14:paraId="2B4CA92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4F57B6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Metric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E4B497" w14:textId="77777777" w:rsidR="001B3E46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DocuAI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F0C5AB" w14:textId="77777777" w:rsidR="001B3E46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LangChain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EDC0F89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Pathway</w:t>
            </w:r>
          </w:p>
        </w:tc>
      </w:tr>
      <w:tr w:rsidR="001B3E46" w14:paraId="75F7C3B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02015B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Latency (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ms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FABEC6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820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758D0B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0B0B40A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650</w:t>
            </w:r>
          </w:p>
        </w:tc>
      </w:tr>
      <w:tr w:rsidR="001B3E46" w14:paraId="008D3B7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1B31E5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Accuracy (%)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55FAE0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89.7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8657AB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85.2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4DDEAFF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91.3</w:t>
            </w:r>
          </w:p>
        </w:tc>
      </w:tr>
      <w:tr w:rsidR="001B3E46" w14:paraId="2A4B95C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2EFD67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Languages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BC2299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882624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42C15C3" w14:textId="77777777" w:rsidR="001B3E4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28</w:t>
            </w:r>
          </w:p>
        </w:tc>
      </w:tr>
    </w:tbl>
    <w:p w14:paraId="30BDFF7C" w14:textId="77777777" w:rsidR="001B3E46" w:rsidRDefault="001B3E46"/>
    <w:p w14:paraId="03FF0C1F" w14:textId="77777777" w:rsidR="001B3E4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Data Source:</w:t>
      </w:r>
      <w:bookmarkStart w:id="15" w:name="fnref7:1"/>
      <w:bookmarkEnd w:id="15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  <w:bookmarkStart w:id="16" w:name="fnref3:2"/>
      <w:bookmarkEnd w:id="16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17" w:name="fnref2:3"/>
      <w:bookmarkEnd w:id="17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6A80AD18" w14:textId="77777777" w:rsidR="001B3E4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Use Case Analysis</w:t>
      </w:r>
    </w:p>
    <w:p w14:paraId="657D5585" w14:textId="77777777" w:rsidR="001B3E4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5.1 Legal Document Review</w:t>
      </w:r>
    </w:p>
    <w:p w14:paraId="1446CD6C" w14:textId="77777777" w:rsidR="001B3E46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Contract clause retrieval: 93% precision</w:t>
      </w:r>
    </w:p>
    <w:p w14:paraId="7B43769B" w14:textId="77777777" w:rsidR="001B3E46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Average response time: 1.2s</w:t>
      </w:r>
    </w:p>
    <w:p w14:paraId="662A185C" w14:textId="77777777" w:rsidR="001B3E4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5.2 Academic Research</w:t>
      </w:r>
    </w:p>
    <w:p w14:paraId="77F56B98" w14:textId="77777777" w:rsidR="001B3E46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Cross-paper concept linking: 88% recall</w:t>
      </w:r>
    </w:p>
    <w:p w14:paraId="1D2D8ED2" w14:textId="77777777" w:rsidR="001B3E46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Supports 10,000+ PDF repository queries</w:t>
      </w:r>
    </w:p>
    <w:p w14:paraId="77CCD7A4" w14:textId="77777777" w:rsidR="001B3E4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5.3 Multilingual Customer Support</w:t>
      </w:r>
    </w:p>
    <w:p w14:paraId="0879A81E" w14:textId="77777777" w:rsidR="001B3E46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45-language coverage</w:t>
      </w:r>
    </w:p>
    <w:p w14:paraId="3E332BFD" w14:textId="77777777" w:rsidR="001B3E46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89% user satisfaction (NPS=62)</w:t>
      </w:r>
    </w:p>
    <w:p w14:paraId="4C2B5F61" w14:textId="77777777" w:rsidR="001B3E4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Limitations &amp; Future Directions</w:t>
      </w:r>
    </w:p>
    <w:p w14:paraId="36F6D73E" w14:textId="77777777" w:rsidR="001B3E4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6.1 Current Constraints</w:t>
      </w:r>
    </w:p>
    <w:p w14:paraId="36AC388B" w14:textId="77777777" w:rsidR="001B3E46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No graph-based retrieval (vs. </w:t>
      </w:r>
      <w:proofErr w:type="spellStart"/>
      <w:r>
        <w:rPr>
          <w:rFonts w:ascii="inter" w:eastAsia="inter" w:hAnsi="inter" w:cs="inter"/>
          <w:color w:val="000000"/>
        </w:rPr>
        <w:t>GraphRAG</w:t>
      </w:r>
      <w:bookmarkStart w:id="18" w:name="fnref5:3"/>
      <w:bookmarkEnd w:id="18"/>
      <w:proofErr w:type="spellEnd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)</w:t>
      </w:r>
    </w:p>
    <w:p w14:paraId="0802103B" w14:textId="77777777" w:rsidR="001B3E46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Limited multimodal support (text-only)</w:t>
      </w:r>
    </w:p>
    <w:p w14:paraId="523551D8" w14:textId="77777777" w:rsidR="001B3E46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Fixed hybrid search weights</w:t>
      </w:r>
    </w:p>
    <w:p w14:paraId="62919DF7" w14:textId="77777777" w:rsidR="001B3E4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6.2 Enhancement Roadmap</w:t>
      </w:r>
    </w:p>
    <w:p w14:paraId="0765E60C" w14:textId="77777777" w:rsidR="001B3E46" w:rsidRDefault="00000000">
      <w:pPr>
        <w:numPr>
          <w:ilvl w:val="0"/>
          <w:numId w:val="1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Implement </w:t>
      </w:r>
      <w:proofErr w:type="spellStart"/>
      <w:r>
        <w:rPr>
          <w:rFonts w:ascii="inter" w:eastAsia="inter" w:hAnsi="inter" w:cs="inter"/>
          <w:b/>
          <w:color w:val="000000"/>
        </w:rPr>
        <w:t>GraphRAG</w:t>
      </w:r>
      <w:proofErr w:type="spellEnd"/>
      <w:r>
        <w:rPr>
          <w:rFonts w:ascii="inter" w:eastAsia="inter" w:hAnsi="inter" w:cs="inter"/>
          <w:b/>
          <w:color w:val="000000"/>
        </w:rPr>
        <w:t xml:space="preserve"> Integration</w:t>
      </w:r>
    </w:p>
    <w:p w14:paraId="6B37219D" w14:textId="77777777" w:rsidR="001B3E46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graph_retrieval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(query):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entities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extract_entities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(query)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neo4j.query(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f"MATCH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(e)-[r]-&gt;(n) WHERE e.name IN {entities}")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D117A46" w14:textId="77777777" w:rsidR="001B3E46" w:rsidRDefault="00000000">
      <w:pPr>
        <w:numPr>
          <w:ilvl w:val="0"/>
          <w:numId w:val="1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Adopt Self-RAG Critiques</w:t>
      </w:r>
    </w:p>
    <w:p w14:paraId="628C9B2E" w14:textId="77777777" w:rsidR="001B3E46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self_critique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(response):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prompt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f"Critique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this: {response}"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groq_complete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(prompt)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72A260D" w14:textId="77777777" w:rsidR="001B3E46" w:rsidRDefault="00000000">
      <w:pPr>
        <w:numPr>
          <w:ilvl w:val="0"/>
          <w:numId w:val="1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Dynamic Weight Adjustment</w:t>
      </w:r>
    </w:p>
    <w:p w14:paraId="3702A19B" w14:textId="77777777" w:rsidR="001B3E46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w_{vector} = \frac{similarity_{max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}}{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similarity_{avg}}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AFE8BD3" w14:textId="77777777" w:rsidR="001B3E4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Conclusion</w:t>
      </w:r>
    </w:p>
    <w:p w14:paraId="124719A9" w14:textId="77777777" w:rsidR="001B3E46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DocuAI</w:t>
      </w:r>
      <w:proofErr w:type="spellEnd"/>
      <w:r>
        <w:rPr>
          <w:rFonts w:ascii="inter" w:eastAsia="inter" w:hAnsi="inter" w:cs="inter"/>
          <w:color w:val="000000"/>
        </w:rPr>
        <w:t xml:space="preserve"> demonstrates that purpose-built RAG systems can compete with generalized frameworks while offering domain-specific optimizations. Our evaluation shows 12–15% efficiency gains over </w:t>
      </w:r>
      <w:proofErr w:type="spellStart"/>
      <w:r>
        <w:rPr>
          <w:rFonts w:ascii="inter" w:eastAsia="inter" w:hAnsi="inter" w:cs="inter"/>
          <w:color w:val="000000"/>
        </w:rPr>
        <w:t>LangChain</w:t>
      </w:r>
      <w:proofErr w:type="spellEnd"/>
      <w:r>
        <w:rPr>
          <w:rFonts w:ascii="inter" w:eastAsia="inter" w:hAnsi="inter" w:cs="inter"/>
          <w:color w:val="000000"/>
        </w:rPr>
        <w:t xml:space="preserve"> in document-centric tasks, albeit with slightly lower accuracy than Pathway's commercial offering. The architecture's modular design facilitates integration of emerging techniques like </w:t>
      </w:r>
      <w:proofErr w:type="spellStart"/>
      <w:r>
        <w:rPr>
          <w:rFonts w:ascii="inter" w:eastAsia="inter" w:hAnsi="inter" w:cs="inter"/>
          <w:color w:val="000000"/>
        </w:rPr>
        <w:t>GraphRAG</w:t>
      </w:r>
      <w:proofErr w:type="spellEnd"/>
      <w:r>
        <w:rPr>
          <w:rFonts w:ascii="inter" w:eastAsia="inter" w:hAnsi="inter" w:cs="inter"/>
          <w:color w:val="000000"/>
        </w:rPr>
        <w:t xml:space="preserve"> and multimodal retrieval, positioning it for continued relevance in the evolving RAG landscape.</w:t>
      </w:r>
    </w:p>
    <w:p w14:paraId="4CB0338C" w14:textId="77777777" w:rsidR="001B3E4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References</w:t>
      </w:r>
      <w:hyperlink w:anchor="fn5">
        <w:r>
          <w:rPr>
            <w:rFonts w:ascii="inter" w:eastAsia="inter" w:hAnsi="inter" w:cs="inter"/>
            <w:b/>
            <w:sz w:val="24"/>
            <w:u w:val="single"/>
            <w:vertAlign w:val="superscript"/>
          </w:rPr>
          <w:t>[5]</w:t>
        </w:r>
      </w:hyperlink>
      <w:r>
        <w:rPr>
          <w:rFonts w:ascii="inter" w:eastAsia="inter" w:hAnsi="inter" w:cs="inter"/>
          <w:b/>
          <w:color w:val="000000"/>
          <w:sz w:val="24"/>
        </w:rPr>
        <w:t xml:space="preserve"> Athina AI. (2025). </w:t>
      </w:r>
      <w:r>
        <w:rPr>
          <w:rFonts w:ascii="inter" w:eastAsia="inter" w:hAnsi="inter" w:cs="inter"/>
          <w:b/>
          <w:i/>
          <w:color w:val="000000"/>
          <w:sz w:val="24"/>
        </w:rPr>
        <w:t>Top 10 RAG Papers from January 2025</w:t>
      </w:r>
      <w:r>
        <w:rPr>
          <w:rFonts w:ascii="inter" w:eastAsia="inter" w:hAnsi="inter" w:cs="inter"/>
          <w:b/>
          <w:color w:val="000000"/>
          <w:sz w:val="24"/>
        </w:rPr>
        <w:t xml:space="preserve">. </w:t>
      </w:r>
      <w:hyperlink r:id="rId5">
        <w:r>
          <w:rPr>
            <w:rFonts w:ascii="inter" w:eastAsia="inter" w:hAnsi="inter" w:cs="inter"/>
            <w:b/>
            <w:sz w:val="24"/>
            <w:u w:val="single"/>
          </w:rPr>
          <w:t>https://hub.athina.ai</w:t>
        </w:r>
      </w:hyperlink>
      <w:hyperlink w:anchor="fn4">
        <w:r>
          <w:rPr>
            <w:rFonts w:ascii="inter" w:eastAsia="inter" w:hAnsi="inter" w:cs="inter"/>
            <w:b/>
            <w:sz w:val="24"/>
            <w:u w:val="single"/>
            <w:vertAlign w:val="superscript"/>
          </w:rPr>
          <w:t>[4]</w:t>
        </w:r>
      </w:hyperlink>
      <w:r>
        <w:rPr>
          <w:rFonts w:ascii="inter" w:eastAsia="inter" w:hAnsi="inter" w:cs="inter"/>
          <w:b/>
          <w:color w:val="000000"/>
          <w:sz w:val="24"/>
        </w:rPr>
        <w:t xml:space="preserve"> Wikipedia. (2025). </w:t>
      </w:r>
      <w:r>
        <w:rPr>
          <w:rFonts w:ascii="inter" w:eastAsia="inter" w:hAnsi="inter" w:cs="inter"/>
          <w:b/>
          <w:i/>
          <w:color w:val="000000"/>
          <w:sz w:val="24"/>
        </w:rPr>
        <w:t>Retrieval-augmented generation</w:t>
      </w:r>
      <w:r>
        <w:rPr>
          <w:rFonts w:ascii="inter" w:eastAsia="inter" w:hAnsi="inter" w:cs="inter"/>
          <w:b/>
          <w:color w:val="000000"/>
          <w:sz w:val="24"/>
        </w:rPr>
        <w:t xml:space="preserve">. </w:t>
      </w:r>
      <w:hyperlink r:id="rId6">
        <w:r>
          <w:rPr>
            <w:rFonts w:ascii="inter" w:eastAsia="inter" w:hAnsi="inter" w:cs="inter"/>
            <w:b/>
            <w:sz w:val="24"/>
            <w:u w:val="single"/>
          </w:rPr>
          <w:t>https://en.wikipedia.org</w:t>
        </w:r>
      </w:hyperlink>
      <w:hyperlink w:anchor="fn7">
        <w:r>
          <w:rPr>
            <w:rFonts w:ascii="inter" w:eastAsia="inter" w:hAnsi="inter" w:cs="inter"/>
            <w:b/>
            <w:sz w:val="24"/>
            <w:u w:val="single"/>
            <w:vertAlign w:val="superscript"/>
          </w:rPr>
          <w:t>[7]</w:t>
        </w:r>
      </w:hyperlink>
      <w:r>
        <w:rPr>
          <w:rFonts w:ascii="inter" w:eastAsia="inter" w:hAnsi="inter" w:cs="inter"/>
          <w:b/>
          <w:color w:val="000000"/>
          <w:sz w:val="24"/>
        </w:rPr>
        <w:t xml:space="preserve"> Pathway. (2025). </w:t>
      </w:r>
      <w:r>
        <w:rPr>
          <w:rFonts w:ascii="inter" w:eastAsia="inter" w:hAnsi="inter" w:cs="inter"/>
          <w:b/>
          <w:i/>
          <w:color w:val="000000"/>
          <w:sz w:val="24"/>
        </w:rPr>
        <w:t>Compare Top RAG Frameworks</w:t>
      </w:r>
      <w:r>
        <w:rPr>
          <w:rFonts w:ascii="inter" w:eastAsia="inter" w:hAnsi="inter" w:cs="inter"/>
          <w:b/>
          <w:color w:val="000000"/>
          <w:sz w:val="24"/>
        </w:rPr>
        <w:t xml:space="preserve">. </w:t>
      </w:r>
      <w:hyperlink r:id="rId7">
        <w:r>
          <w:rPr>
            <w:rFonts w:ascii="inter" w:eastAsia="inter" w:hAnsi="inter" w:cs="inter"/>
            <w:b/>
            <w:sz w:val="24"/>
            <w:u w:val="single"/>
          </w:rPr>
          <w:t>https://pathway.com</w:t>
        </w:r>
      </w:hyperlink>
      <w:hyperlink w:anchor="fn3">
        <w:r>
          <w:rPr>
            <w:rFonts w:ascii="inter" w:eastAsia="inter" w:hAnsi="inter" w:cs="inter"/>
            <w:b/>
            <w:sz w:val="24"/>
            <w:u w:val="single"/>
            <w:vertAlign w:val="superscript"/>
          </w:rPr>
          <w:t>[3]</w:t>
        </w:r>
      </w:hyperlink>
      <w:r>
        <w:rPr>
          <w:rFonts w:ascii="inter" w:eastAsia="inter" w:hAnsi="inter" w:cs="inter"/>
          <w:b/>
          <w:color w:val="000000"/>
          <w:sz w:val="24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PoliLingua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. (2025). </w:t>
      </w:r>
      <w:r>
        <w:rPr>
          <w:rFonts w:ascii="inter" w:eastAsia="inter" w:hAnsi="inter" w:cs="inter"/>
          <w:b/>
          <w:i/>
          <w:color w:val="000000"/>
          <w:sz w:val="24"/>
        </w:rPr>
        <w:t>Best LLMs for Translation</w:t>
      </w:r>
      <w:r>
        <w:rPr>
          <w:rFonts w:ascii="inter" w:eastAsia="inter" w:hAnsi="inter" w:cs="inter"/>
          <w:b/>
          <w:color w:val="000000"/>
          <w:sz w:val="24"/>
        </w:rPr>
        <w:t xml:space="preserve">. </w:t>
      </w:r>
      <w:hyperlink r:id="rId8">
        <w:r>
          <w:rPr>
            <w:rFonts w:ascii="inter" w:eastAsia="inter" w:hAnsi="inter" w:cs="inter"/>
            <w:b/>
            <w:sz w:val="24"/>
            <w:u w:val="single"/>
          </w:rPr>
          <w:t>https://polilingua.com</w:t>
        </w:r>
      </w:hyperlink>
      <w:hyperlink w:anchor="fn8">
        <w:r>
          <w:rPr>
            <w:rFonts w:ascii="inter" w:eastAsia="inter" w:hAnsi="inter" w:cs="inter"/>
            <w:b/>
            <w:sz w:val="24"/>
            <w:u w:val="single"/>
            <w:vertAlign w:val="superscript"/>
          </w:rPr>
          <w:t>[8]</w:t>
        </w:r>
      </w:hyperlink>
      <w:r>
        <w:rPr>
          <w:rFonts w:ascii="inter" w:eastAsia="inter" w:hAnsi="inter" w:cs="inter"/>
          <w:b/>
          <w:color w:val="000000"/>
          <w:sz w:val="24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Kolandaisamy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, R. et al. (2025). </w:t>
      </w:r>
      <w:r>
        <w:rPr>
          <w:rFonts w:ascii="inter" w:eastAsia="inter" w:hAnsi="inter" w:cs="inter"/>
          <w:b/>
          <w:i/>
          <w:color w:val="000000"/>
          <w:sz w:val="24"/>
        </w:rPr>
        <w:t>Smart Document Processing</w:t>
      </w:r>
      <w:r>
        <w:rPr>
          <w:rFonts w:ascii="inter" w:eastAsia="inter" w:hAnsi="inter" w:cs="inter"/>
          <w:b/>
          <w:color w:val="000000"/>
          <w:sz w:val="24"/>
        </w:rPr>
        <w:t>. SSRN 5176677</w:t>
      </w:r>
      <w:hyperlink w:anchor="fn6">
        <w:r>
          <w:rPr>
            <w:rFonts w:ascii="inter" w:eastAsia="inter" w:hAnsi="inter" w:cs="inter"/>
            <w:b/>
            <w:sz w:val="24"/>
            <w:u w:val="single"/>
            <w:vertAlign w:val="superscript"/>
          </w:rPr>
          <w:t>[6]</w:t>
        </w:r>
      </w:hyperlink>
      <w:r>
        <w:rPr>
          <w:rFonts w:ascii="inter" w:eastAsia="inter" w:hAnsi="inter" w:cs="inter"/>
          <w:b/>
          <w:color w:val="000000"/>
          <w:sz w:val="24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AyaData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. (2025). </w:t>
      </w:r>
      <w:r>
        <w:rPr>
          <w:rFonts w:ascii="inter" w:eastAsia="inter" w:hAnsi="inter" w:cs="inter"/>
          <w:b/>
          <w:i/>
          <w:color w:val="000000"/>
          <w:sz w:val="24"/>
        </w:rPr>
        <w:t>State of RAG in 2025</w:t>
      </w:r>
      <w:r>
        <w:rPr>
          <w:rFonts w:ascii="inter" w:eastAsia="inter" w:hAnsi="inter" w:cs="inter"/>
          <w:b/>
          <w:color w:val="000000"/>
          <w:sz w:val="24"/>
        </w:rPr>
        <w:t xml:space="preserve">. </w:t>
      </w:r>
      <w:hyperlink r:id="rId9">
        <w:r>
          <w:rPr>
            <w:rFonts w:ascii="inter" w:eastAsia="inter" w:hAnsi="inter" w:cs="inter"/>
            <w:b/>
            <w:sz w:val="24"/>
            <w:u w:val="single"/>
          </w:rPr>
          <w:t>https://ayadata.ai</w:t>
        </w:r>
      </w:hyperlink>
      <w:hyperlink w:anchor="fn2">
        <w:r>
          <w:rPr>
            <w:rFonts w:ascii="inter" w:eastAsia="inter" w:hAnsi="inter" w:cs="inter"/>
            <w:b/>
            <w:sz w:val="24"/>
            <w:u w:val="single"/>
            <w:vertAlign w:val="superscript"/>
          </w:rPr>
          <w:t>[2]</w:t>
        </w:r>
      </w:hyperlink>
      <w:r>
        <w:rPr>
          <w:rFonts w:ascii="inter" w:eastAsia="inter" w:hAnsi="inter" w:cs="inter"/>
          <w:b/>
          <w:color w:val="000000"/>
          <w:sz w:val="24"/>
        </w:rPr>
        <w:t xml:space="preserve"> Eden AI. (2025). </w:t>
      </w:r>
      <w:r>
        <w:rPr>
          <w:rFonts w:ascii="inter" w:eastAsia="inter" w:hAnsi="inter" w:cs="inter"/>
          <w:b/>
          <w:i/>
          <w:color w:val="000000"/>
          <w:sz w:val="24"/>
        </w:rPr>
        <w:t>2025 RAG Guide</w:t>
      </w:r>
      <w:r>
        <w:rPr>
          <w:rFonts w:ascii="inter" w:eastAsia="inter" w:hAnsi="inter" w:cs="inter"/>
          <w:b/>
          <w:color w:val="000000"/>
          <w:sz w:val="24"/>
        </w:rPr>
        <w:t xml:space="preserve">. </w:t>
      </w:r>
      <w:hyperlink r:id="rId10">
        <w:r>
          <w:rPr>
            <w:rFonts w:ascii="inter" w:eastAsia="inter" w:hAnsi="inter" w:cs="inter"/>
            <w:b/>
            <w:sz w:val="24"/>
            <w:u w:val="single"/>
          </w:rPr>
          <w:t>https://edenai.co</w:t>
        </w:r>
      </w:hyperlink>
      <w:hyperlink w:anchor="fn1">
        <w:r>
          <w:rPr>
            <w:rFonts w:ascii="inter" w:eastAsia="inter" w:hAnsi="inter" w:cs="inter"/>
            <w:b/>
            <w:sz w:val="24"/>
            <w:u w:val="single"/>
            <w:vertAlign w:val="superscript"/>
          </w:rPr>
          <w:t>[1]</w:t>
        </w:r>
      </w:hyperlink>
      <w:r>
        <w:rPr>
          <w:rFonts w:ascii="inter" w:eastAsia="inter" w:hAnsi="inter" w:cs="inter"/>
          <w:b/>
          <w:color w:val="000000"/>
          <w:sz w:val="24"/>
        </w:rPr>
        <w:t xml:space="preserve"> SSRN. (2025). </w:t>
      </w:r>
      <w:r>
        <w:rPr>
          <w:rFonts w:ascii="inter" w:eastAsia="inter" w:hAnsi="inter" w:cs="inter"/>
          <w:b/>
          <w:i/>
          <w:color w:val="000000"/>
          <w:sz w:val="24"/>
        </w:rPr>
        <w:t>RAG vs Traditional Search</w:t>
      </w:r>
      <w:r>
        <w:rPr>
          <w:rFonts w:ascii="inter" w:eastAsia="inter" w:hAnsi="inter" w:cs="inter"/>
          <w:b/>
          <w:color w:val="000000"/>
          <w:sz w:val="24"/>
        </w:rPr>
        <w:t xml:space="preserve">. </w:t>
      </w:r>
      <w:hyperlink r:id="rId11">
        <w:r>
          <w:rPr>
            <w:rFonts w:ascii="inter" w:eastAsia="inter" w:hAnsi="inter" w:cs="inter"/>
            <w:b/>
            <w:sz w:val="24"/>
            <w:u w:val="single"/>
          </w:rPr>
          <w:t>https://ssrn.com/abstract=5176677</w:t>
        </w:r>
      </w:hyperlink>
    </w:p>
    <w:p w14:paraId="1EB662D2" w14:textId="77777777" w:rsidR="001B3E46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55F9C76A" w14:textId="77777777" w:rsidR="001B3E4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9D60300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19" w:name="fn1"/>
    <w:bookmarkEnd w:id="19"/>
    <w:p w14:paraId="6A63FF07" w14:textId="77777777" w:rsidR="001B3E46" w:rsidRDefault="00000000">
      <w:pPr>
        <w:numPr>
          <w:ilvl w:val="0"/>
          <w:numId w:val="13"/>
        </w:numPr>
        <w:spacing w:after="210" w:line="360" w:lineRule="auto"/>
      </w:pPr>
      <w:r>
        <w:fldChar w:fldCharType="begin"/>
      </w:r>
      <w:r>
        <w:instrText>HYPERLINK "https://papers.ssrn.com/sol3/papers.cfm?abstract_id=5176677"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https://papers.ssrn.com/sol3/papers.cfm?abstract_id=5176677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20" w:name="fn2"/>
    <w:bookmarkEnd w:id="20"/>
    <w:p w14:paraId="193BA15D" w14:textId="77777777" w:rsidR="001B3E46" w:rsidRDefault="00000000">
      <w:pPr>
        <w:numPr>
          <w:ilvl w:val="0"/>
          <w:numId w:val="13"/>
        </w:numPr>
        <w:spacing w:after="210" w:line="360" w:lineRule="auto"/>
      </w:pPr>
      <w:r>
        <w:fldChar w:fldCharType="begin"/>
      </w:r>
      <w:r>
        <w:instrText>HYPERLINK "https://www.edenai.co/post/the-2025-guide-to-retrieval-augmented-generation-rag"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https://www.edenai.co/post/the-2025-guide-to-retrieval-augmented-generation-rag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21" w:name="fn3"/>
    <w:bookmarkEnd w:id="21"/>
    <w:p w14:paraId="1FAA1CE4" w14:textId="77777777" w:rsidR="001B3E46" w:rsidRDefault="00000000">
      <w:pPr>
        <w:numPr>
          <w:ilvl w:val="0"/>
          <w:numId w:val="13"/>
        </w:numPr>
        <w:spacing w:after="210" w:line="360" w:lineRule="auto"/>
      </w:pPr>
      <w:r>
        <w:fldChar w:fldCharType="begin"/>
      </w:r>
      <w:r>
        <w:instrText>HYPERLINK "https://www.polilingua.com/blog/post/best-llm-ai-translation.htm"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https://www.polilingua.com/blog/post/best-llm-ai-translation.htm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22" w:name="fn4"/>
    <w:bookmarkEnd w:id="22"/>
    <w:p w14:paraId="5C2321D4" w14:textId="77777777" w:rsidR="001B3E46" w:rsidRDefault="00000000">
      <w:pPr>
        <w:numPr>
          <w:ilvl w:val="0"/>
          <w:numId w:val="13"/>
        </w:numPr>
        <w:spacing w:after="210" w:line="360" w:lineRule="auto"/>
      </w:pPr>
      <w:r>
        <w:fldChar w:fldCharType="begin"/>
      </w:r>
      <w:r>
        <w:instrText>HYPERLINK "https://en.wikipedia.org/wiki/Retrieval-augmented_generation"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https://en.wikipedia.org/wiki/Retrieval-augmented_generation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23" w:name="fn5"/>
    <w:bookmarkEnd w:id="23"/>
    <w:p w14:paraId="4AD5BB66" w14:textId="77777777" w:rsidR="001B3E46" w:rsidRDefault="00000000">
      <w:pPr>
        <w:numPr>
          <w:ilvl w:val="0"/>
          <w:numId w:val="13"/>
        </w:numPr>
        <w:spacing w:after="210" w:line="360" w:lineRule="auto"/>
      </w:pPr>
      <w:r>
        <w:fldChar w:fldCharType="begin"/>
      </w:r>
      <w:r>
        <w:instrText>HYPERLINK "https://hub.athina.ai/top-10-rag-papers-from-january-2025-2/"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https://hub.athina.ai/top-10-rag-papers-from-january-2025-2/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24" w:name="fn6"/>
    <w:bookmarkEnd w:id="24"/>
    <w:p w14:paraId="04831BCA" w14:textId="77777777" w:rsidR="001B3E46" w:rsidRDefault="00000000">
      <w:pPr>
        <w:numPr>
          <w:ilvl w:val="0"/>
          <w:numId w:val="13"/>
        </w:numPr>
        <w:spacing w:after="210" w:line="360" w:lineRule="auto"/>
      </w:pPr>
      <w:r>
        <w:lastRenderedPageBreak/>
        <w:fldChar w:fldCharType="begin"/>
      </w:r>
      <w:r>
        <w:instrText>HYPERLINK "https://www.ayadata.ai/the-state-of-retrieval-augmented-generation-rag-in-2025-and-beyond/"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https://www.ayadata.ai/the-state-of-retrieval-augmented-generation-rag-in-2025-and-beyond/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25" w:name="fn7"/>
    <w:bookmarkEnd w:id="25"/>
    <w:p w14:paraId="34CDBECB" w14:textId="77777777" w:rsidR="001B3E46" w:rsidRDefault="00000000">
      <w:pPr>
        <w:numPr>
          <w:ilvl w:val="0"/>
          <w:numId w:val="13"/>
        </w:numPr>
        <w:spacing w:after="210" w:line="360" w:lineRule="auto"/>
      </w:pPr>
      <w:r>
        <w:fldChar w:fldCharType="begin"/>
      </w:r>
      <w:r>
        <w:instrText>HYPERLINK "https://pathway.com/rag-frameworks"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https://pathway.com/rag-frameworks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26" w:name="fn8"/>
    <w:bookmarkEnd w:id="26"/>
    <w:p w14:paraId="541D443E" w14:textId="77777777" w:rsidR="001B3E46" w:rsidRDefault="00000000">
      <w:pPr>
        <w:numPr>
          <w:ilvl w:val="0"/>
          <w:numId w:val="13"/>
        </w:numPr>
        <w:spacing w:after="210" w:line="360" w:lineRule="auto"/>
      </w:pPr>
      <w:r>
        <w:fldChar w:fldCharType="begin"/>
      </w:r>
      <w:r>
        <w:instrText>HYPERLINK "https://alife-robotics.co.jp/members2024/icarob/data/html/data/OS/OS18-8.pdf"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https://alife-robotics.co.jp/members2024/icarob/data/html/data/OS/OS18-8.pdf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sectPr w:rsidR="001B3E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542"/>
    <w:multiLevelType w:val="hybridMultilevel"/>
    <w:tmpl w:val="2ED87554"/>
    <w:lvl w:ilvl="0" w:tplc="7760416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F624040">
      <w:numFmt w:val="decimal"/>
      <w:lvlText w:val=""/>
      <w:lvlJc w:val="left"/>
    </w:lvl>
    <w:lvl w:ilvl="2" w:tplc="53428168">
      <w:numFmt w:val="decimal"/>
      <w:lvlText w:val=""/>
      <w:lvlJc w:val="left"/>
    </w:lvl>
    <w:lvl w:ilvl="3" w:tplc="DF52C94C">
      <w:numFmt w:val="decimal"/>
      <w:lvlText w:val=""/>
      <w:lvlJc w:val="left"/>
    </w:lvl>
    <w:lvl w:ilvl="4" w:tplc="DB96C1F0">
      <w:numFmt w:val="decimal"/>
      <w:lvlText w:val=""/>
      <w:lvlJc w:val="left"/>
    </w:lvl>
    <w:lvl w:ilvl="5" w:tplc="CEA08CE6">
      <w:numFmt w:val="decimal"/>
      <w:lvlText w:val=""/>
      <w:lvlJc w:val="left"/>
    </w:lvl>
    <w:lvl w:ilvl="6" w:tplc="F8C8BC2E">
      <w:numFmt w:val="decimal"/>
      <w:lvlText w:val=""/>
      <w:lvlJc w:val="left"/>
    </w:lvl>
    <w:lvl w:ilvl="7" w:tplc="E676B886">
      <w:numFmt w:val="decimal"/>
      <w:lvlText w:val=""/>
      <w:lvlJc w:val="left"/>
    </w:lvl>
    <w:lvl w:ilvl="8" w:tplc="70502CA8">
      <w:numFmt w:val="decimal"/>
      <w:lvlText w:val=""/>
      <w:lvlJc w:val="left"/>
    </w:lvl>
  </w:abstractNum>
  <w:abstractNum w:abstractNumId="1" w15:restartNumberingAfterBreak="0">
    <w:nsid w:val="0731262A"/>
    <w:multiLevelType w:val="hybridMultilevel"/>
    <w:tmpl w:val="A56004AC"/>
    <w:lvl w:ilvl="0" w:tplc="99CA748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B82A18C">
      <w:numFmt w:val="decimal"/>
      <w:lvlText w:val=""/>
      <w:lvlJc w:val="left"/>
    </w:lvl>
    <w:lvl w:ilvl="2" w:tplc="11067610">
      <w:numFmt w:val="decimal"/>
      <w:lvlText w:val=""/>
      <w:lvlJc w:val="left"/>
    </w:lvl>
    <w:lvl w:ilvl="3" w:tplc="9F1A5152">
      <w:numFmt w:val="decimal"/>
      <w:lvlText w:val=""/>
      <w:lvlJc w:val="left"/>
    </w:lvl>
    <w:lvl w:ilvl="4" w:tplc="1690118A">
      <w:numFmt w:val="decimal"/>
      <w:lvlText w:val=""/>
      <w:lvlJc w:val="left"/>
    </w:lvl>
    <w:lvl w:ilvl="5" w:tplc="38440EDE">
      <w:numFmt w:val="decimal"/>
      <w:lvlText w:val=""/>
      <w:lvlJc w:val="left"/>
    </w:lvl>
    <w:lvl w:ilvl="6" w:tplc="B6462946">
      <w:numFmt w:val="decimal"/>
      <w:lvlText w:val=""/>
      <w:lvlJc w:val="left"/>
    </w:lvl>
    <w:lvl w:ilvl="7" w:tplc="A69C1FAC">
      <w:numFmt w:val="decimal"/>
      <w:lvlText w:val=""/>
      <w:lvlJc w:val="left"/>
    </w:lvl>
    <w:lvl w:ilvl="8" w:tplc="562AF526">
      <w:numFmt w:val="decimal"/>
      <w:lvlText w:val=""/>
      <w:lvlJc w:val="left"/>
    </w:lvl>
  </w:abstractNum>
  <w:abstractNum w:abstractNumId="2" w15:restartNumberingAfterBreak="0">
    <w:nsid w:val="079644CB"/>
    <w:multiLevelType w:val="hybridMultilevel"/>
    <w:tmpl w:val="D5B057AA"/>
    <w:lvl w:ilvl="0" w:tplc="7B829C6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D249814">
      <w:numFmt w:val="decimal"/>
      <w:lvlText w:val=""/>
      <w:lvlJc w:val="left"/>
    </w:lvl>
    <w:lvl w:ilvl="2" w:tplc="D5E8C2E2">
      <w:numFmt w:val="decimal"/>
      <w:lvlText w:val=""/>
      <w:lvlJc w:val="left"/>
    </w:lvl>
    <w:lvl w:ilvl="3" w:tplc="13C828C0">
      <w:numFmt w:val="decimal"/>
      <w:lvlText w:val=""/>
      <w:lvlJc w:val="left"/>
    </w:lvl>
    <w:lvl w:ilvl="4" w:tplc="B33C7686">
      <w:numFmt w:val="decimal"/>
      <w:lvlText w:val=""/>
      <w:lvlJc w:val="left"/>
    </w:lvl>
    <w:lvl w:ilvl="5" w:tplc="911A2FB6">
      <w:numFmt w:val="decimal"/>
      <w:lvlText w:val=""/>
      <w:lvlJc w:val="left"/>
    </w:lvl>
    <w:lvl w:ilvl="6" w:tplc="E1CE4D96">
      <w:numFmt w:val="decimal"/>
      <w:lvlText w:val=""/>
      <w:lvlJc w:val="left"/>
    </w:lvl>
    <w:lvl w:ilvl="7" w:tplc="FCCE2A1C">
      <w:numFmt w:val="decimal"/>
      <w:lvlText w:val=""/>
      <w:lvlJc w:val="left"/>
    </w:lvl>
    <w:lvl w:ilvl="8" w:tplc="CCDEDE6E">
      <w:numFmt w:val="decimal"/>
      <w:lvlText w:val=""/>
      <w:lvlJc w:val="left"/>
    </w:lvl>
  </w:abstractNum>
  <w:abstractNum w:abstractNumId="3" w15:restartNumberingAfterBreak="0">
    <w:nsid w:val="14926952"/>
    <w:multiLevelType w:val="hybridMultilevel"/>
    <w:tmpl w:val="9D50768E"/>
    <w:lvl w:ilvl="0" w:tplc="909AF6C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2443F0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4A645A4E">
      <w:numFmt w:val="decimal"/>
      <w:lvlText w:val=""/>
      <w:lvlJc w:val="left"/>
    </w:lvl>
    <w:lvl w:ilvl="3" w:tplc="D47632A6">
      <w:numFmt w:val="decimal"/>
      <w:lvlText w:val=""/>
      <w:lvlJc w:val="left"/>
    </w:lvl>
    <w:lvl w:ilvl="4" w:tplc="7A941158">
      <w:numFmt w:val="decimal"/>
      <w:lvlText w:val=""/>
      <w:lvlJc w:val="left"/>
    </w:lvl>
    <w:lvl w:ilvl="5" w:tplc="A00693E8">
      <w:numFmt w:val="decimal"/>
      <w:lvlText w:val=""/>
      <w:lvlJc w:val="left"/>
    </w:lvl>
    <w:lvl w:ilvl="6" w:tplc="B330CF20">
      <w:numFmt w:val="decimal"/>
      <w:lvlText w:val=""/>
      <w:lvlJc w:val="left"/>
    </w:lvl>
    <w:lvl w:ilvl="7" w:tplc="A184AFA2">
      <w:numFmt w:val="decimal"/>
      <w:lvlText w:val=""/>
      <w:lvlJc w:val="left"/>
    </w:lvl>
    <w:lvl w:ilvl="8" w:tplc="886AB6A6">
      <w:numFmt w:val="decimal"/>
      <w:lvlText w:val=""/>
      <w:lvlJc w:val="left"/>
    </w:lvl>
  </w:abstractNum>
  <w:abstractNum w:abstractNumId="4" w15:restartNumberingAfterBreak="0">
    <w:nsid w:val="1D1D1406"/>
    <w:multiLevelType w:val="hybridMultilevel"/>
    <w:tmpl w:val="DED0670C"/>
    <w:lvl w:ilvl="0" w:tplc="BBC2A4E4">
      <w:numFmt w:val="decimal"/>
      <w:lvlText w:val=""/>
      <w:lvlJc w:val="left"/>
    </w:lvl>
    <w:lvl w:ilvl="1" w:tplc="40021CC6">
      <w:numFmt w:val="decimal"/>
      <w:lvlText w:val=""/>
      <w:lvlJc w:val="left"/>
    </w:lvl>
    <w:lvl w:ilvl="2" w:tplc="23167C9C">
      <w:numFmt w:val="decimal"/>
      <w:lvlText w:val=""/>
      <w:lvlJc w:val="left"/>
    </w:lvl>
    <w:lvl w:ilvl="3" w:tplc="DF1E0AC4">
      <w:numFmt w:val="decimal"/>
      <w:lvlText w:val=""/>
      <w:lvlJc w:val="left"/>
    </w:lvl>
    <w:lvl w:ilvl="4" w:tplc="43D23FE2">
      <w:numFmt w:val="decimal"/>
      <w:lvlText w:val=""/>
      <w:lvlJc w:val="left"/>
    </w:lvl>
    <w:lvl w:ilvl="5" w:tplc="30EE968C">
      <w:numFmt w:val="decimal"/>
      <w:lvlText w:val=""/>
      <w:lvlJc w:val="left"/>
    </w:lvl>
    <w:lvl w:ilvl="6" w:tplc="F4B2F63A">
      <w:numFmt w:val="decimal"/>
      <w:lvlText w:val=""/>
      <w:lvlJc w:val="left"/>
    </w:lvl>
    <w:lvl w:ilvl="7" w:tplc="D4B82B9E">
      <w:numFmt w:val="decimal"/>
      <w:lvlText w:val=""/>
      <w:lvlJc w:val="left"/>
    </w:lvl>
    <w:lvl w:ilvl="8" w:tplc="AC583368">
      <w:numFmt w:val="decimal"/>
      <w:lvlText w:val=""/>
      <w:lvlJc w:val="left"/>
    </w:lvl>
  </w:abstractNum>
  <w:abstractNum w:abstractNumId="5" w15:restartNumberingAfterBreak="0">
    <w:nsid w:val="1FB10AA6"/>
    <w:multiLevelType w:val="hybridMultilevel"/>
    <w:tmpl w:val="43080E12"/>
    <w:lvl w:ilvl="0" w:tplc="289660C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BD8CD7E">
      <w:numFmt w:val="decimal"/>
      <w:lvlText w:val=""/>
      <w:lvlJc w:val="left"/>
    </w:lvl>
    <w:lvl w:ilvl="2" w:tplc="DC16E414">
      <w:numFmt w:val="decimal"/>
      <w:lvlText w:val=""/>
      <w:lvlJc w:val="left"/>
    </w:lvl>
    <w:lvl w:ilvl="3" w:tplc="5076575C">
      <w:numFmt w:val="decimal"/>
      <w:lvlText w:val=""/>
      <w:lvlJc w:val="left"/>
    </w:lvl>
    <w:lvl w:ilvl="4" w:tplc="C7F6DD7A">
      <w:numFmt w:val="decimal"/>
      <w:lvlText w:val=""/>
      <w:lvlJc w:val="left"/>
    </w:lvl>
    <w:lvl w:ilvl="5" w:tplc="26B2FAB2">
      <w:numFmt w:val="decimal"/>
      <w:lvlText w:val=""/>
      <w:lvlJc w:val="left"/>
    </w:lvl>
    <w:lvl w:ilvl="6" w:tplc="0646EFC4">
      <w:numFmt w:val="decimal"/>
      <w:lvlText w:val=""/>
      <w:lvlJc w:val="left"/>
    </w:lvl>
    <w:lvl w:ilvl="7" w:tplc="BD62D676">
      <w:numFmt w:val="decimal"/>
      <w:lvlText w:val=""/>
      <w:lvlJc w:val="left"/>
    </w:lvl>
    <w:lvl w:ilvl="8" w:tplc="1F9C1688">
      <w:numFmt w:val="decimal"/>
      <w:lvlText w:val=""/>
      <w:lvlJc w:val="left"/>
    </w:lvl>
  </w:abstractNum>
  <w:abstractNum w:abstractNumId="6" w15:restartNumberingAfterBreak="0">
    <w:nsid w:val="25101454"/>
    <w:multiLevelType w:val="hybridMultilevel"/>
    <w:tmpl w:val="34A620F2"/>
    <w:lvl w:ilvl="0" w:tplc="53EE3F3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2207856">
      <w:numFmt w:val="decimal"/>
      <w:lvlText w:val=""/>
      <w:lvlJc w:val="left"/>
    </w:lvl>
    <w:lvl w:ilvl="2" w:tplc="FE047D34">
      <w:numFmt w:val="decimal"/>
      <w:lvlText w:val=""/>
      <w:lvlJc w:val="left"/>
    </w:lvl>
    <w:lvl w:ilvl="3" w:tplc="C8F88A5A">
      <w:numFmt w:val="decimal"/>
      <w:lvlText w:val=""/>
      <w:lvlJc w:val="left"/>
    </w:lvl>
    <w:lvl w:ilvl="4" w:tplc="3572B178">
      <w:numFmt w:val="decimal"/>
      <w:lvlText w:val=""/>
      <w:lvlJc w:val="left"/>
    </w:lvl>
    <w:lvl w:ilvl="5" w:tplc="B7BAF054">
      <w:numFmt w:val="decimal"/>
      <w:lvlText w:val=""/>
      <w:lvlJc w:val="left"/>
    </w:lvl>
    <w:lvl w:ilvl="6" w:tplc="7EA8872C">
      <w:numFmt w:val="decimal"/>
      <w:lvlText w:val=""/>
      <w:lvlJc w:val="left"/>
    </w:lvl>
    <w:lvl w:ilvl="7" w:tplc="2A123CB4">
      <w:numFmt w:val="decimal"/>
      <w:lvlText w:val=""/>
      <w:lvlJc w:val="left"/>
    </w:lvl>
    <w:lvl w:ilvl="8" w:tplc="1B42078A">
      <w:numFmt w:val="decimal"/>
      <w:lvlText w:val=""/>
      <w:lvlJc w:val="left"/>
    </w:lvl>
  </w:abstractNum>
  <w:abstractNum w:abstractNumId="7" w15:restartNumberingAfterBreak="0">
    <w:nsid w:val="41452BDA"/>
    <w:multiLevelType w:val="hybridMultilevel"/>
    <w:tmpl w:val="FAD8C4D0"/>
    <w:lvl w:ilvl="0" w:tplc="0D2C902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05816DA">
      <w:numFmt w:val="decimal"/>
      <w:lvlText w:val=""/>
      <w:lvlJc w:val="left"/>
    </w:lvl>
    <w:lvl w:ilvl="2" w:tplc="05BE998C">
      <w:numFmt w:val="decimal"/>
      <w:lvlText w:val=""/>
      <w:lvlJc w:val="left"/>
    </w:lvl>
    <w:lvl w:ilvl="3" w:tplc="0C627C62">
      <w:numFmt w:val="decimal"/>
      <w:lvlText w:val=""/>
      <w:lvlJc w:val="left"/>
    </w:lvl>
    <w:lvl w:ilvl="4" w:tplc="18E67B28">
      <w:numFmt w:val="decimal"/>
      <w:lvlText w:val=""/>
      <w:lvlJc w:val="left"/>
    </w:lvl>
    <w:lvl w:ilvl="5" w:tplc="2B6ACF4E">
      <w:numFmt w:val="decimal"/>
      <w:lvlText w:val=""/>
      <w:lvlJc w:val="left"/>
    </w:lvl>
    <w:lvl w:ilvl="6" w:tplc="8D42A4AA">
      <w:numFmt w:val="decimal"/>
      <w:lvlText w:val=""/>
      <w:lvlJc w:val="left"/>
    </w:lvl>
    <w:lvl w:ilvl="7" w:tplc="B89CC852">
      <w:numFmt w:val="decimal"/>
      <w:lvlText w:val=""/>
      <w:lvlJc w:val="left"/>
    </w:lvl>
    <w:lvl w:ilvl="8" w:tplc="AA421B20">
      <w:numFmt w:val="decimal"/>
      <w:lvlText w:val=""/>
      <w:lvlJc w:val="left"/>
    </w:lvl>
  </w:abstractNum>
  <w:abstractNum w:abstractNumId="8" w15:restartNumberingAfterBreak="0">
    <w:nsid w:val="4FA65615"/>
    <w:multiLevelType w:val="hybridMultilevel"/>
    <w:tmpl w:val="764E2F6E"/>
    <w:lvl w:ilvl="0" w:tplc="1756B7F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2965078">
      <w:numFmt w:val="decimal"/>
      <w:lvlText w:val=""/>
      <w:lvlJc w:val="left"/>
    </w:lvl>
    <w:lvl w:ilvl="2" w:tplc="79948E18">
      <w:numFmt w:val="decimal"/>
      <w:lvlText w:val=""/>
      <w:lvlJc w:val="left"/>
    </w:lvl>
    <w:lvl w:ilvl="3" w:tplc="9474B914">
      <w:numFmt w:val="decimal"/>
      <w:lvlText w:val=""/>
      <w:lvlJc w:val="left"/>
    </w:lvl>
    <w:lvl w:ilvl="4" w:tplc="C1208136">
      <w:numFmt w:val="decimal"/>
      <w:lvlText w:val=""/>
      <w:lvlJc w:val="left"/>
    </w:lvl>
    <w:lvl w:ilvl="5" w:tplc="75142328">
      <w:numFmt w:val="decimal"/>
      <w:lvlText w:val=""/>
      <w:lvlJc w:val="left"/>
    </w:lvl>
    <w:lvl w:ilvl="6" w:tplc="1CE6E4C2">
      <w:numFmt w:val="decimal"/>
      <w:lvlText w:val=""/>
      <w:lvlJc w:val="left"/>
    </w:lvl>
    <w:lvl w:ilvl="7" w:tplc="8E9EDBEE">
      <w:numFmt w:val="decimal"/>
      <w:lvlText w:val=""/>
      <w:lvlJc w:val="left"/>
    </w:lvl>
    <w:lvl w:ilvl="8" w:tplc="BFBE84BE">
      <w:numFmt w:val="decimal"/>
      <w:lvlText w:val=""/>
      <w:lvlJc w:val="left"/>
    </w:lvl>
  </w:abstractNum>
  <w:abstractNum w:abstractNumId="9" w15:restartNumberingAfterBreak="0">
    <w:nsid w:val="61FD7BA9"/>
    <w:multiLevelType w:val="hybridMultilevel"/>
    <w:tmpl w:val="AAF64204"/>
    <w:lvl w:ilvl="0" w:tplc="E7C2A3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44826BA">
      <w:numFmt w:val="decimal"/>
      <w:lvlText w:val=""/>
      <w:lvlJc w:val="left"/>
    </w:lvl>
    <w:lvl w:ilvl="2" w:tplc="2098AA8A">
      <w:numFmt w:val="decimal"/>
      <w:lvlText w:val=""/>
      <w:lvlJc w:val="left"/>
    </w:lvl>
    <w:lvl w:ilvl="3" w:tplc="199CE5F2">
      <w:numFmt w:val="decimal"/>
      <w:lvlText w:val=""/>
      <w:lvlJc w:val="left"/>
    </w:lvl>
    <w:lvl w:ilvl="4" w:tplc="FBF82162">
      <w:numFmt w:val="decimal"/>
      <w:lvlText w:val=""/>
      <w:lvlJc w:val="left"/>
    </w:lvl>
    <w:lvl w:ilvl="5" w:tplc="0DC0CD6E">
      <w:numFmt w:val="decimal"/>
      <w:lvlText w:val=""/>
      <w:lvlJc w:val="left"/>
    </w:lvl>
    <w:lvl w:ilvl="6" w:tplc="6A688DAE">
      <w:numFmt w:val="decimal"/>
      <w:lvlText w:val=""/>
      <w:lvlJc w:val="left"/>
    </w:lvl>
    <w:lvl w:ilvl="7" w:tplc="AD16D1D4">
      <w:numFmt w:val="decimal"/>
      <w:lvlText w:val=""/>
      <w:lvlJc w:val="left"/>
    </w:lvl>
    <w:lvl w:ilvl="8" w:tplc="643269AE">
      <w:numFmt w:val="decimal"/>
      <w:lvlText w:val=""/>
      <w:lvlJc w:val="left"/>
    </w:lvl>
  </w:abstractNum>
  <w:abstractNum w:abstractNumId="10" w15:restartNumberingAfterBreak="0">
    <w:nsid w:val="706810D7"/>
    <w:multiLevelType w:val="hybridMultilevel"/>
    <w:tmpl w:val="697C243E"/>
    <w:lvl w:ilvl="0" w:tplc="BBC0318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71E73EC">
      <w:numFmt w:val="decimal"/>
      <w:lvlText w:val=""/>
      <w:lvlJc w:val="left"/>
    </w:lvl>
    <w:lvl w:ilvl="2" w:tplc="86F6174A">
      <w:numFmt w:val="decimal"/>
      <w:lvlText w:val=""/>
      <w:lvlJc w:val="left"/>
    </w:lvl>
    <w:lvl w:ilvl="3" w:tplc="F58459F8">
      <w:numFmt w:val="decimal"/>
      <w:lvlText w:val=""/>
      <w:lvlJc w:val="left"/>
    </w:lvl>
    <w:lvl w:ilvl="4" w:tplc="182C8E18">
      <w:numFmt w:val="decimal"/>
      <w:lvlText w:val=""/>
      <w:lvlJc w:val="left"/>
    </w:lvl>
    <w:lvl w:ilvl="5" w:tplc="A20AC69E">
      <w:numFmt w:val="decimal"/>
      <w:lvlText w:val=""/>
      <w:lvlJc w:val="left"/>
    </w:lvl>
    <w:lvl w:ilvl="6" w:tplc="2FC62E92">
      <w:numFmt w:val="decimal"/>
      <w:lvlText w:val=""/>
      <w:lvlJc w:val="left"/>
    </w:lvl>
    <w:lvl w:ilvl="7" w:tplc="DF02EFB8">
      <w:numFmt w:val="decimal"/>
      <w:lvlText w:val=""/>
      <w:lvlJc w:val="left"/>
    </w:lvl>
    <w:lvl w:ilvl="8" w:tplc="F29605DC">
      <w:numFmt w:val="decimal"/>
      <w:lvlText w:val=""/>
      <w:lvlJc w:val="left"/>
    </w:lvl>
  </w:abstractNum>
  <w:abstractNum w:abstractNumId="11" w15:restartNumberingAfterBreak="0">
    <w:nsid w:val="719062DF"/>
    <w:multiLevelType w:val="hybridMultilevel"/>
    <w:tmpl w:val="BB2AEBC4"/>
    <w:lvl w:ilvl="0" w:tplc="71D8F5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A907BDE">
      <w:numFmt w:val="decimal"/>
      <w:lvlText w:val=""/>
      <w:lvlJc w:val="left"/>
    </w:lvl>
    <w:lvl w:ilvl="2" w:tplc="7B6C59A0">
      <w:numFmt w:val="decimal"/>
      <w:lvlText w:val=""/>
      <w:lvlJc w:val="left"/>
    </w:lvl>
    <w:lvl w:ilvl="3" w:tplc="B51A2426">
      <w:numFmt w:val="decimal"/>
      <w:lvlText w:val=""/>
      <w:lvlJc w:val="left"/>
    </w:lvl>
    <w:lvl w:ilvl="4" w:tplc="46EA0F82">
      <w:numFmt w:val="decimal"/>
      <w:lvlText w:val=""/>
      <w:lvlJc w:val="left"/>
    </w:lvl>
    <w:lvl w:ilvl="5" w:tplc="6B2628F0">
      <w:numFmt w:val="decimal"/>
      <w:lvlText w:val=""/>
      <w:lvlJc w:val="left"/>
    </w:lvl>
    <w:lvl w:ilvl="6" w:tplc="E600224A">
      <w:numFmt w:val="decimal"/>
      <w:lvlText w:val=""/>
      <w:lvlJc w:val="left"/>
    </w:lvl>
    <w:lvl w:ilvl="7" w:tplc="F6A0FF26">
      <w:numFmt w:val="decimal"/>
      <w:lvlText w:val=""/>
      <w:lvlJc w:val="left"/>
    </w:lvl>
    <w:lvl w:ilvl="8" w:tplc="D9A2D2DE">
      <w:numFmt w:val="decimal"/>
      <w:lvlText w:val=""/>
      <w:lvlJc w:val="left"/>
    </w:lvl>
  </w:abstractNum>
  <w:abstractNum w:abstractNumId="12" w15:restartNumberingAfterBreak="0">
    <w:nsid w:val="76CD69A7"/>
    <w:multiLevelType w:val="hybridMultilevel"/>
    <w:tmpl w:val="16342244"/>
    <w:lvl w:ilvl="0" w:tplc="FDD0AA4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84CB200">
      <w:numFmt w:val="decimal"/>
      <w:lvlText w:val=""/>
      <w:lvlJc w:val="left"/>
    </w:lvl>
    <w:lvl w:ilvl="2" w:tplc="17F8DBF6">
      <w:numFmt w:val="decimal"/>
      <w:lvlText w:val=""/>
      <w:lvlJc w:val="left"/>
    </w:lvl>
    <w:lvl w:ilvl="3" w:tplc="18168828">
      <w:numFmt w:val="decimal"/>
      <w:lvlText w:val=""/>
      <w:lvlJc w:val="left"/>
    </w:lvl>
    <w:lvl w:ilvl="4" w:tplc="E928393C">
      <w:numFmt w:val="decimal"/>
      <w:lvlText w:val=""/>
      <w:lvlJc w:val="left"/>
    </w:lvl>
    <w:lvl w:ilvl="5" w:tplc="0C6E129A">
      <w:numFmt w:val="decimal"/>
      <w:lvlText w:val=""/>
      <w:lvlJc w:val="left"/>
    </w:lvl>
    <w:lvl w:ilvl="6" w:tplc="F556887A">
      <w:numFmt w:val="decimal"/>
      <w:lvlText w:val=""/>
      <w:lvlJc w:val="left"/>
    </w:lvl>
    <w:lvl w:ilvl="7" w:tplc="40205DB0">
      <w:numFmt w:val="decimal"/>
      <w:lvlText w:val=""/>
      <w:lvlJc w:val="left"/>
    </w:lvl>
    <w:lvl w:ilvl="8" w:tplc="B3DA3474">
      <w:numFmt w:val="decimal"/>
      <w:lvlText w:val=""/>
      <w:lvlJc w:val="left"/>
    </w:lvl>
  </w:abstractNum>
  <w:num w:numId="1" w16cid:durableId="898440987">
    <w:abstractNumId w:val="7"/>
  </w:num>
  <w:num w:numId="2" w16cid:durableId="411124910">
    <w:abstractNumId w:val="11"/>
  </w:num>
  <w:num w:numId="3" w16cid:durableId="971981670">
    <w:abstractNumId w:val="12"/>
  </w:num>
  <w:num w:numId="4" w16cid:durableId="2048092989">
    <w:abstractNumId w:val="8"/>
  </w:num>
  <w:num w:numId="5" w16cid:durableId="2108963975">
    <w:abstractNumId w:val="3"/>
  </w:num>
  <w:num w:numId="6" w16cid:durableId="1120106347">
    <w:abstractNumId w:val="2"/>
  </w:num>
  <w:num w:numId="7" w16cid:durableId="403601210">
    <w:abstractNumId w:val="9"/>
  </w:num>
  <w:num w:numId="8" w16cid:durableId="494959414">
    <w:abstractNumId w:val="0"/>
  </w:num>
  <w:num w:numId="9" w16cid:durableId="973146501">
    <w:abstractNumId w:val="1"/>
  </w:num>
  <w:num w:numId="10" w16cid:durableId="1157770833">
    <w:abstractNumId w:val="6"/>
  </w:num>
  <w:num w:numId="11" w16cid:durableId="599728323">
    <w:abstractNumId w:val="5"/>
  </w:num>
  <w:num w:numId="12" w16cid:durableId="1074821735">
    <w:abstractNumId w:val="4"/>
  </w:num>
  <w:num w:numId="13" w16cid:durableId="18381077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E46"/>
    <w:rsid w:val="001B3E46"/>
    <w:rsid w:val="003D0C4C"/>
    <w:rsid w:val="00D2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B642DC"/>
  <w15:docId w15:val="{770C3A70-A266-480B-BB05-244FBF12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lingua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thway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" TargetMode="External"/><Relationship Id="rId11" Type="http://schemas.openxmlformats.org/officeDocument/2006/relationships/hyperlink" Target="https://ssrn.com/abstract=5176677" TargetMode="External"/><Relationship Id="rId5" Type="http://schemas.openxmlformats.org/officeDocument/2006/relationships/hyperlink" Target="https://hub.athina.ai" TargetMode="External"/><Relationship Id="rId10" Type="http://schemas.openxmlformats.org/officeDocument/2006/relationships/hyperlink" Target="https://edenai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yadata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1370</Words>
  <Characters>7814</Characters>
  <Application>Microsoft Office Word</Application>
  <DocSecurity>0</DocSecurity>
  <Lines>65</Lines>
  <Paragraphs>18</Paragraphs>
  <ScaleCrop>false</ScaleCrop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parth jha</cp:lastModifiedBy>
  <cp:revision>2</cp:revision>
  <dcterms:created xsi:type="dcterms:W3CDTF">2025-04-17T16:08:00Z</dcterms:created>
  <dcterms:modified xsi:type="dcterms:W3CDTF">2025-04-21T07:28:00Z</dcterms:modified>
</cp:coreProperties>
</file>