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85DEA" w14:textId="77777777" w:rsidR="00962DB6" w:rsidRDefault="00000000">
      <w:pPr>
        <w:pStyle w:val="Heading2"/>
      </w:pPr>
      <w:bookmarkStart w:id="0" w:name="table-of-contents"/>
      <w:r>
        <w:t>Table of Contents</w:t>
      </w:r>
    </w:p>
    <w:p w14:paraId="6FE7BF29" w14:textId="77777777" w:rsidR="00962DB6" w:rsidRDefault="00000000">
      <w:pPr>
        <w:pStyle w:val="Compact"/>
        <w:numPr>
          <w:ilvl w:val="0"/>
          <w:numId w:val="2"/>
        </w:numPr>
      </w:pPr>
      <w:r>
        <w:t>Abstract</w:t>
      </w:r>
    </w:p>
    <w:p w14:paraId="289D69FA" w14:textId="77777777" w:rsidR="00962DB6" w:rsidRDefault="00000000">
      <w:pPr>
        <w:pStyle w:val="Compact"/>
        <w:numPr>
          <w:ilvl w:val="0"/>
          <w:numId w:val="2"/>
        </w:numPr>
      </w:pPr>
      <w:r>
        <w:t>Introduction</w:t>
      </w:r>
    </w:p>
    <w:p w14:paraId="39F76CD2" w14:textId="77777777" w:rsidR="00962DB6" w:rsidRDefault="00000000">
      <w:pPr>
        <w:pStyle w:val="Compact"/>
        <w:numPr>
          <w:ilvl w:val="1"/>
          <w:numId w:val="3"/>
        </w:numPr>
      </w:pPr>
      <w:r>
        <w:t>The Web Application Threat Landscape</w:t>
      </w:r>
    </w:p>
    <w:p w14:paraId="64167553" w14:textId="77777777" w:rsidR="00962DB6" w:rsidRDefault="00000000">
      <w:pPr>
        <w:pStyle w:val="Compact"/>
        <w:numPr>
          <w:ilvl w:val="1"/>
          <w:numId w:val="3"/>
        </w:numPr>
      </w:pPr>
      <w:r>
        <w:t>From Passive Detection to Active Deception</w:t>
      </w:r>
    </w:p>
    <w:p w14:paraId="4C9FE477" w14:textId="77777777" w:rsidR="00962DB6" w:rsidRDefault="00000000">
      <w:pPr>
        <w:pStyle w:val="Compact"/>
        <w:numPr>
          <w:ilvl w:val="1"/>
          <w:numId w:val="3"/>
        </w:numPr>
      </w:pPr>
      <w:r>
        <w:t>Contributions and Paper Organization</w:t>
      </w:r>
    </w:p>
    <w:p w14:paraId="2D0C97FA" w14:textId="77777777" w:rsidR="00962DB6" w:rsidRDefault="00000000">
      <w:pPr>
        <w:pStyle w:val="Compact"/>
        <w:numPr>
          <w:ilvl w:val="0"/>
          <w:numId w:val="2"/>
        </w:numPr>
      </w:pPr>
      <w:r>
        <w:t>Literature Review</w:t>
      </w:r>
    </w:p>
    <w:p w14:paraId="572F1721" w14:textId="77777777" w:rsidR="00962DB6" w:rsidRDefault="00000000">
      <w:pPr>
        <w:pStyle w:val="Compact"/>
        <w:numPr>
          <w:ilvl w:val="1"/>
          <w:numId w:val="4"/>
        </w:numPr>
      </w:pPr>
      <w:r>
        <w:t>Review Methodology</w:t>
      </w:r>
    </w:p>
    <w:p w14:paraId="44972780" w14:textId="77777777" w:rsidR="00962DB6" w:rsidRDefault="00000000">
      <w:pPr>
        <w:pStyle w:val="Compact"/>
        <w:numPr>
          <w:ilvl w:val="1"/>
          <w:numId w:val="4"/>
        </w:numPr>
      </w:pPr>
      <w:r>
        <w:t>The Case for a Priced Third Action</w:t>
      </w:r>
    </w:p>
    <w:p w14:paraId="75D34385" w14:textId="77777777" w:rsidR="00962DB6" w:rsidRDefault="00000000">
      <w:pPr>
        <w:pStyle w:val="Compact"/>
        <w:numPr>
          <w:ilvl w:val="1"/>
          <w:numId w:val="4"/>
        </w:numPr>
      </w:pPr>
      <w:r>
        <w:t>Detection Literature by Vulnerability Class</w:t>
      </w:r>
    </w:p>
    <w:p w14:paraId="44D24658" w14:textId="77777777" w:rsidR="00962DB6" w:rsidRDefault="00000000">
      <w:pPr>
        <w:pStyle w:val="Compact"/>
        <w:numPr>
          <w:ilvl w:val="1"/>
          <w:numId w:val="4"/>
        </w:numPr>
      </w:pPr>
      <w:r>
        <w:t>Cyber Deception: Theory and Surveys</w:t>
      </w:r>
    </w:p>
    <w:p w14:paraId="51E16FB7" w14:textId="77777777" w:rsidR="00962DB6" w:rsidRDefault="00000000">
      <w:pPr>
        <w:pStyle w:val="Compact"/>
        <w:numPr>
          <w:ilvl w:val="1"/>
          <w:numId w:val="4"/>
        </w:numPr>
      </w:pPr>
      <w:r>
        <w:t>Honeypots</w:t>
      </w:r>
    </w:p>
    <w:p w14:paraId="50879FD6" w14:textId="77777777" w:rsidR="00962DB6" w:rsidRDefault="00000000">
      <w:pPr>
        <w:pStyle w:val="Compact"/>
        <w:numPr>
          <w:ilvl w:val="1"/>
          <w:numId w:val="4"/>
        </w:numPr>
      </w:pPr>
      <w:r>
        <w:t>LLM-Based Honeypots</w:t>
      </w:r>
    </w:p>
    <w:p w14:paraId="7E0BC535" w14:textId="77777777" w:rsidR="00962DB6" w:rsidRDefault="00000000">
      <w:pPr>
        <w:pStyle w:val="Compact"/>
        <w:numPr>
          <w:ilvl w:val="1"/>
          <w:numId w:val="4"/>
        </w:numPr>
      </w:pPr>
      <w:r>
        <w:t>Honeytokens, Decoys, and Bait</w:t>
      </w:r>
    </w:p>
    <w:p w14:paraId="249974BF" w14:textId="77777777" w:rsidR="00962DB6" w:rsidRDefault="00000000">
      <w:pPr>
        <w:pStyle w:val="Compact"/>
        <w:numPr>
          <w:ilvl w:val="1"/>
          <w:numId w:val="4"/>
        </w:numPr>
      </w:pPr>
      <w:r>
        <w:t>Deception Inside the Application Layer</w:t>
      </w:r>
    </w:p>
    <w:p w14:paraId="2E208BD8" w14:textId="77777777" w:rsidR="00962DB6" w:rsidRDefault="00000000">
      <w:pPr>
        <w:pStyle w:val="Compact"/>
        <w:numPr>
          <w:ilvl w:val="1"/>
          <w:numId w:val="4"/>
        </w:numPr>
      </w:pPr>
      <w:r>
        <w:t>Web Attack Detection and Web Application Firewalls</w:t>
      </w:r>
    </w:p>
    <w:p w14:paraId="31A1A9BF" w14:textId="77777777" w:rsidR="00962DB6" w:rsidRDefault="00000000">
      <w:pPr>
        <w:pStyle w:val="Compact"/>
        <w:numPr>
          <w:ilvl w:val="1"/>
          <w:numId w:val="4"/>
        </w:numPr>
      </w:pPr>
      <w:r>
        <w:t>Bot and Automation Detection</w:t>
      </w:r>
    </w:p>
    <w:p w14:paraId="21F9DAC8" w14:textId="77777777" w:rsidR="00962DB6" w:rsidRDefault="00000000">
      <w:pPr>
        <w:pStyle w:val="Compact"/>
        <w:numPr>
          <w:ilvl w:val="1"/>
          <w:numId w:val="4"/>
        </w:numPr>
      </w:pPr>
      <w:r>
        <w:t>Decision Theory and Cost</w:t>
      </w:r>
    </w:p>
    <w:p w14:paraId="094AEEB2" w14:textId="77777777" w:rsidR="00962DB6" w:rsidRDefault="00000000">
      <w:pPr>
        <w:pStyle w:val="Compact"/>
        <w:numPr>
          <w:ilvl w:val="1"/>
          <w:numId w:val="4"/>
        </w:numPr>
      </w:pPr>
      <w:r>
        <w:t>Evaluating Security Machine Learning</w:t>
      </w:r>
    </w:p>
    <w:p w14:paraId="1AB3D372" w14:textId="77777777" w:rsidR="00962DB6" w:rsidRDefault="00000000">
      <w:pPr>
        <w:pStyle w:val="Compact"/>
        <w:numPr>
          <w:ilvl w:val="1"/>
          <w:numId w:val="4"/>
        </w:numPr>
      </w:pPr>
      <w:r>
        <w:t>Supporting Work</w:t>
      </w:r>
    </w:p>
    <w:p w14:paraId="7FC37967" w14:textId="77777777" w:rsidR="00962DB6" w:rsidRDefault="00000000">
      <w:pPr>
        <w:pStyle w:val="Compact"/>
        <w:numPr>
          <w:ilvl w:val="1"/>
          <w:numId w:val="4"/>
        </w:numPr>
      </w:pPr>
      <w:r>
        <w:t>Comparative Analysis</w:t>
      </w:r>
    </w:p>
    <w:p w14:paraId="09155F14" w14:textId="77777777" w:rsidR="00962DB6" w:rsidRDefault="00000000">
      <w:pPr>
        <w:pStyle w:val="Compact"/>
        <w:numPr>
          <w:ilvl w:val="1"/>
          <w:numId w:val="4"/>
        </w:numPr>
      </w:pPr>
      <w:r>
        <w:t>Research Gaps</w:t>
      </w:r>
    </w:p>
    <w:p w14:paraId="13ED4315" w14:textId="77777777" w:rsidR="00962DB6" w:rsidRDefault="00000000">
      <w:pPr>
        <w:pStyle w:val="Compact"/>
        <w:numPr>
          <w:ilvl w:val="0"/>
          <w:numId w:val="2"/>
        </w:numPr>
      </w:pPr>
      <w:r>
        <w:t>Methodology</w:t>
      </w:r>
    </w:p>
    <w:p w14:paraId="103334AE" w14:textId="77777777" w:rsidR="00962DB6" w:rsidRDefault="00000000">
      <w:pPr>
        <w:pStyle w:val="Compact"/>
        <w:numPr>
          <w:ilvl w:val="1"/>
          <w:numId w:val="5"/>
        </w:numPr>
      </w:pPr>
      <w:r>
        <w:t>Problem Formulation: Probing as a Priced Third Action</w:t>
      </w:r>
    </w:p>
    <w:p w14:paraId="1778A598" w14:textId="77777777" w:rsidR="00962DB6" w:rsidRDefault="00000000">
      <w:pPr>
        <w:pStyle w:val="Compact"/>
        <w:numPr>
          <w:ilvl w:val="1"/>
          <w:numId w:val="5"/>
        </w:numPr>
      </w:pPr>
      <w:r>
        <w:t>System Architecture</w:t>
      </w:r>
    </w:p>
    <w:p w14:paraId="0A757C68" w14:textId="77777777" w:rsidR="00962DB6" w:rsidRDefault="00000000">
      <w:pPr>
        <w:pStyle w:val="Compact"/>
        <w:numPr>
          <w:ilvl w:val="1"/>
          <w:numId w:val="5"/>
        </w:numPr>
      </w:pPr>
      <w:r>
        <w:t>Parameter Sensitivity Analysis</w:t>
      </w:r>
    </w:p>
    <w:p w14:paraId="5832607F" w14:textId="77777777" w:rsidR="00962DB6" w:rsidRDefault="00000000">
      <w:pPr>
        <w:pStyle w:val="Compact"/>
        <w:numPr>
          <w:ilvl w:val="1"/>
          <w:numId w:val="5"/>
        </w:numPr>
      </w:pPr>
      <w:r>
        <w:t>Evaluation Design</w:t>
      </w:r>
    </w:p>
    <w:p w14:paraId="1FACC340" w14:textId="77777777" w:rsidR="00962DB6" w:rsidRDefault="00000000">
      <w:pPr>
        <w:pStyle w:val="Compact"/>
        <w:numPr>
          <w:ilvl w:val="1"/>
          <w:numId w:val="5"/>
        </w:numPr>
      </w:pPr>
      <w:r>
        <w:t>Scope and Limitations</w:t>
      </w:r>
    </w:p>
    <w:p w14:paraId="41CB434B" w14:textId="77777777" w:rsidR="00962DB6" w:rsidRDefault="00000000">
      <w:pPr>
        <w:pStyle w:val="Compact"/>
        <w:numPr>
          <w:ilvl w:val="0"/>
          <w:numId w:val="2"/>
        </w:numPr>
      </w:pPr>
      <w:r>
        <w:t>References</w:t>
      </w:r>
    </w:p>
    <w:p w14:paraId="2DE1744E" w14:textId="77777777" w:rsidR="00962DB6" w:rsidRDefault="00000000">
      <w:pPr>
        <w:pStyle w:val="Heading1"/>
      </w:pPr>
      <w:bookmarkStart w:id="1" w:name="abstract"/>
      <w:bookmarkEnd w:id="0"/>
      <w:r>
        <w:t>1. Abstract</w:t>
      </w:r>
    </w:p>
    <w:p w14:paraId="3D37A8EE" w14:textId="77777777" w:rsidR="00962DB6" w:rsidRDefault="00000000">
      <w:pPr>
        <w:pStyle w:val="FirstParagraph"/>
      </w:pPr>
      <w:r>
        <w:t xml:space="preserve">Web-attack detectors act in two moves — allow or block — and defer deception to after a confident decision. We ask when a detector should take a </w:t>
      </w:r>
      <w:r>
        <w:rPr>
          <w:i/>
          <w:iCs/>
        </w:rPr>
        <w:t>third</w:t>
      </w:r>
      <w:r>
        <w:t xml:space="preserve"> move: plant an invisible, inert response-side probe to manufacture the evidence a passive classifier would otherwise have to wait for. We show this middle action is not a tuned heuristic but a </w:t>
      </w:r>
      <w:r>
        <w:rPr>
          <w:b/>
          <w:bCs/>
        </w:rPr>
        <w:t>priced</w:t>
      </w:r>
      <w:r>
        <w:t xml:space="preserve"> one. Modelling the probe as an Expected-Value-of-Sample-Information purchase (a standard object; the contribution is its application), the belief interval over which probing is cost-optimal is a </w:t>
      </w:r>
      <w:r>
        <w:rPr>
          <w:i/>
          <w:iCs/>
        </w:rPr>
        <w:t>derived</w:t>
      </w:r>
      <w:r>
        <w:t xml:space="preserve"> consequence of the error-cost table and the probe’s measured effectiveness — and under cost accounting alone that interval is empty, so the third action </w:t>
      </w:r>
      <w:r>
        <w:lastRenderedPageBreak/>
        <w:t xml:space="preserve">cannot be a tuned threshold. A parameter sweep shows the interval’s existence and the safety-relevant divert-threshold floor are </w:t>
      </w:r>
      <w:r>
        <w:rPr>
          <w:b/>
          <w:bCs/>
        </w:rPr>
        <w:t>invariant</w:t>
      </w:r>
      <w:r>
        <w:t xml:space="preserve"> across the full range of the one estimated parameter; only their magnitude moves.</w:t>
      </w:r>
    </w:p>
    <w:p w14:paraId="1B588F13" w14:textId="77777777" w:rsidR="00962DB6" w:rsidRDefault="00000000">
      <w:pPr>
        <w:pStyle w:val="BodyText"/>
      </w:pPr>
      <w:r>
        <w:t xml:space="preserve">We build a complete reproducible system (frozen, hash-verified model; an invisibility gate certified before any probe; a state-consistent decoy whose contradiction rate drops from 100% to 0% with its consistency layer) and evaluate it over 20 seeded traffic draws against a hard benign corpus containing automated-but-harmless clients — whose omission, we report, had hidden a 100% false-positive on benign API integrations. The system diverts no automated client and no ordinary user (benign diversion 0.027, 95% CI [0.020, 0.036], identical with and without the probe). A randomised holdout gives a </w:t>
      </w:r>
      <w:r>
        <w:rPr>
          <w:b/>
          <w:bCs/>
        </w:rPr>
        <w:t>significant causal estimate</w:t>
      </w:r>
      <w:r>
        <w:t xml:space="preserve"> of the probe’s effect (+0.11, Fisher </w:t>
      </w:r>
      <w:r>
        <w:rPr>
          <w:i/>
          <w:iCs/>
        </w:rPr>
        <w:t>p</w:t>
      </w:r>
      <w:r>
        <w:t xml:space="preserve">&lt;10⁻⁵), and the probe lifts attack recall from 0.915 to 0.947 (paired McNemar </w:t>
      </w:r>
      <w:r>
        <w:rPr>
          <w:i/>
          <w:iCs/>
        </w:rPr>
        <w:t>p</w:t>
      </w:r>
      <w:r>
        <w:t>&lt;10⁻⁴), the gain concentrated entirely in the object-reference attacks no signature can see.</w:t>
      </w:r>
    </w:p>
    <w:p w14:paraId="2F7592DC" w14:textId="77777777" w:rsidR="00962DB6" w:rsidRDefault="00000000">
      <w:pPr>
        <w:pStyle w:val="Heading1"/>
      </w:pPr>
      <w:bookmarkStart w:id="2" w:name="introduction"/>
      <w:bookmarkEnd w:id="1"/>
      <w:r>
        <w:t>2. Introduction</w:t>
      </w:r>
    </w:p>
    <w:p w14:paraId="4C8FDC49" w14:textId="77777777" w:rsidR="00962DB6" w:rsidRDefault="00000000">
      <w:pPr>
        <w:pStyle w:val="Heading2"/>
      </w:pPr>
      <w:bookmarkStart w:id="3" w:name="the-web-application-threat-landscape"/>
      <w:r>
        <w:t>2.1 The Web Application Threat Landscape</w:t>
      </w:r>
    </w:p>
    <w:p w14:paraId="4602B89B" w14:textId="77777777" w:rsidR="00962DB6" w:rsidRDefault="00000000">
      <w:pPr>
        <w:pStyle w:val="FirstParagraph"/>
      </w:pPr>
      <w:r>
        <w:t>Web applications face a persistent and diverse set of attack vectors, ranging from decades-old classes such as SQL injection to more architecturally rooted issues such as server-side request forgery (SSRF) and broken access control. Research maturity is uneven across these categories. SQL injection detection is the most extensively studied problem, with dozens of machine-learning and deep-learning papers published yearly and benchmark datasets that are now fairly standardized (Al-talak &amp; Abbass, 2021; Tekerek, 2021). IDOR/broken access control and SSRF have seen a surge of interest only in the last two to three years, largely because they resist signature-based detection and instead require either specification-driven analysis or taint tracking. File upload vulnerabilities and CSRF, by contrast, remain comparatively under-studied as dedicated machine-learning detection problems — most published work treats them either as a sub-case of a broader “web attack detection” pipeline or folds them into adjacent categories.</w:t>
      </w:r>
    </w:p>
    <w:p w14:paraId="7170F536" w14:textId="77777777" w:rsidR="00962DB6" w:rsidRDefault="00000000">
      <w:pPr>
        <w:pStyle w:val="BodyText"/>
      </w:pPr>
      <w:r>
        <w:t xml:space="preserve">Against this backdrop, defences today remain fundamentally </w:t>
      </w:r>
      <w:r>
        <w:rPr>
          <w:i/>
          <w:iCs/>
        </w:rPr>
        <w:t>passive</w:t>
      </w:r>
      <w:r>
        <w:t>. A web application firewall (WAF) matches patterns [R22, R23, R26]; a machine-learned detector watches and waits [R25]. Both must wait for the attacker to produce enough evidence before acting, which forces a bad trade-off: act early and innocent users are hurt, act late and the attacker gets a head start [R32]. Reinforcement-learning-driven adversarial testing shows that this pattern-matching posture is bypassable in practice, beating well-configured WAFs by more than 33% on average [R26].</w:t>
      </w:r>
    </w:p>
    <w:p w14:paraId="157C0FD5" w14:textId="77777777" w:rsidR="00962DB6" w:rsidRDefault="00000000">
      <w:pPr>
        <w:pStyle w:val="Heading2"/>
      </w:pPr>
      <w:bookmarkStart w:id="4" w:name="Xc50e17a60875ce16a43f9f098b6841664139259"/>
      <w:bookmarkEnd w:id="3"/>
      <w:r>
        <w:t>2.2 From Passive Detection to Active Deception</w:t>
      </w:r>
    </w:p>
    <w:p w14:paraId="5378118E" w14:textId="77777777" w:rsidR="00962DB6" w:rsidRDefault="00000000">
      <w:pPr>
        <w:pStyle w:val="FirstParagraph"/>
      </w:pPr>
      <w:r>
        <w:t xml:space="preserve">Deception-based defences — honeypots, honeytokens, and moving-target architectures — have evolved from static, easily fingerprinted decoys into dynamic, often AI-driven systems capable of sustaining a convincing interaction with an attacker over time. Deception is the field’s known answer to passivity, but it is consistently placed in the wrong location </w:t>
      </w:r>
      <w:r>
        <w:lastRenderedPageBreak/>
        <w:t xml:space="preserve">relative to the real system. Honeypots gather excellent intelligence [R6, R7, R8], but they sit </w:t>
      </w:r>
      <w:r>
        <w:rPr>
          <w:i/>
          <w:iCs/>
        </w:rPr>
        <w:t>beside</w:t>
      </w:r>
      <w:r>
        <w:t xml:space="preserve"> the real system, so they only catch attackers who wander into them [R9]. Honeytokens sit </w:t>
      </w:r>
      <w:r>
        <w:rPr>
          <w:i/>
          <w:iCs/>
        </w:rPr>
        <w:t>inside</w:t>
      </w:r>
      <w:r>
        <w:t xml:space="preserve"> the system, but they are planted once, statically, for every visitor [R14, R15, R16]. Deception theory already anticipates that a middle option should exist — the major surveys classify deception into families and note that the hard question is not </w:t>
      </w:r>
      <w:r>
        <w:rPr>
          <w:i/>
          <w:iCs/>
        </w:rPr>
        <w:t>how</w:t>
      </w:r>
      <w:r>
        <w:t xml:space="preserve"> to deceive but </w:t>
      </w:r>
      <w:r>
        <w:rPr>
          <w:i/>
          <w:iCs/>
        </w:rPr>
        <w:t>when</w:t>
      </w:r>
      <w:r>
        <w:t xml:space="preserve"> [R1, R2, R3, R4, R5] — yet the decision of when remains, almost without exception, a hand-set threshold.</w:t>
      </w:r>
    </w:p>
    <w:p w14:paraId="404650BF" w14:textId="77777777" w:rsidR="00962DB6" w:rsidRDefault="00000000">
      <w:pPr>
        <w:pStyle w:val="BodyText"/>
      </w:pPr>
      <w:r>
        <w:t xml:space="preserve">Application-layer deception, where fake content is woven directly into the response of a real, running application rather than confined to a separate honeypot or a static planted file, is a very new and very small research area. Kahlhofer and Rass survey it and count only nineteen technical methods, explicitly noting that most have had “little research interest” [R19]. This is the closest neighbourhood to the present work, and it is nearly empty. Within it, almost nobody measures the cost that deception imposes on </w:t>
      </w:r>
      <w:r>
        <w:rPr>
          <w:b/>
          <w:bCs/>
        </w:rPr>
        <w:t>honest users</w:t>
      </w:r>
      <w:r>
        <w:t xml:space="preserve">, and almost nobody establishes the effect of deception </w:t>
      </w:r>
      <w:r>
        <w:rPr>
          <w:b/>
          <w:bCs/>
        </w:rPr>
        <w:t>causally</w:t>
      </w:r>
      <w:r>
        <w:t>. The one strong exception, Ferguson-Walter et al. [R35], ran a controlled human experiment; that paper is the model this project’s randomised holdout follows.</w:t>
      </w:r>
    </w:p>
    <w:p w14:paraId="64949942" w14:textId="77777777" w:rsidR="00962DB6" w:rsidRDefault="00000000">
      <w:pPr>
        <w:pStyle w:val="BodyText"/>
      </w:pPr>
      <w:r>
        <w:t xml:space="preserve">This paper asks a narrower and, we argue, more tractable question than “how should an application deceive an attacker?” — namely, </w:t>
      </w:r>
      <w:r>
        <w:rPr>
          <w:i/>
          <w:iCs/>
        </w:rPr>
        <w:t>when</w:t>
      </w:r>
      <w:r>
        <w:t>, in a single request/response cycle, is deception the cost-optimal action for a detector that currently has only two moves? We answer it by treating a response-side probe as a purchase of information with a calculable expected value, which turns the timing decision from a tuned heuristic into a derived one.</w:t>
      </w:r>
    </w:p>
    <w:p w14:paraId="33C86C11" w14:textId="77777777" w:rsidR="00962DB6" w:rsidRDefault="00000000">
      <w:pPr>
        <w:pStyle w:val="Heading2"/>
      </w:pPr>
      <w:bookmarkStart w:id="5" w:name="contributions-and-paper-organization"/>
      <w:bookmarkEnd w:id="4"/>
      <w:r>
        <w:t>2.3 Contributions and Paper Organization</w:t>
      </w:r>
    </w:p>
    <w:p w14:paraId="2AE6A204" w14:textId="77777777" w:rsidR="00962DB6" w:rsidRDefault="00000000">
      <w:pPr>
        <w:pStyle w:val="FirstParagraph"/>
      </w:pPr>
      <w:r>
        <w:t>In the order we claim them, the contributions of this paper are:</w:t>
      </w:r>
    </w:p>
    <w:p w14:paraId="6CE2451F" w14:textId="77777777" w:rsidR="00962DB6" w:rsidRDefault="00000000">
      <w:pPr>
        <w:numPr>
          <w:ilvl w:val="0"/>
          <w:numId w:val="6"/>
        </w:numPr>
      </w:pPr>
      <w:r>
        <w:rPr>
          <w:b/>
          <w:bCs/>
        </w:rPr>
        <w:t>A priced third action.</w:t>
      </w:r>
      <w:r>
        <w:t xml:space="preserve"> Response-side probing is the cost-optimal action over a band </w:t>
      </w:r>
      <w:r>
        <w:rPr>
          <w:i/>
          <w:iCs/>
        </w:rPr>
        <w:t>derived</w:t>
      </w:r>
      <w:r>
        <w:t xml:space="preserve"> from the cost table and the calibrated probe effectiveness; without the information term the band is empty, so there is no tuned threshold to attack. We apply the Expected Value of Sample Information (Howard, 1966 [R29]); the inequality guaranteeing the value of information is non-negative is a standard consequence of Jensen’s inequality — we claim the application to this decision problem, not the mathematics itself.</w:t>
      </w:r>
    </w:p>
    <w:p w14:paraId="3F82B604" w14:textId="77777777" w:rsidR="00962DB6" w:rsidRDefault="00000000">
      <w:pPr>
        <w:numPr>
          <w:ilvl w:val="0"/>
          <w:numId w:val="6"/>
        </w:numPr>
      </w:pPr>
      <w:r>
        <w:rPr>
          <w:b/>
          <w:bCs/>
        </w:rPr>
        <w:t>β-invariance of the conclusions.</w:t>
      </w:r>
      <w:r>
        <w:t xml:space="preserve"> Across the estimated attacker base-rate β_attack ∈ [0.05, 0.99], the cost-optimal probing band stays non-empty and the divert threshold stays at or above the cost-only boundary. The existence of the third action and the safety guarantee it provides do not depend on the one parameter that had to be estimated rather than measured.</w:t>
      </w:r>
    </w:p>
    <w:p w14:paraId="148D85C2" w14:textId="77777777" w:rsidR="00962DB6" w:rsidRDefault="00000000">
      <w:pPr>
        <w:numPr>
          <w:ilvl w:val="0"/>
          <w:numId w:val="6"/>
        </w:numPr>
      </w:pPr>
      <w:r>
        <w:rPr>
          <w:b/>
          <w:bCs/>
        </w:rPr>
        <w:t>A measured safety result on a hard corpus.</w:t>
      </w:r>
      <w:r>
        <w:t xml:space="preserve"> Zero diversions occur among automated clients and ordinary users, evaluated against a benign set deliberately built to resemble an attack. The only residual false positive is a deliberately included hard-negative persona, and all safety figures are reported with confidence intervals.</w:t>
      </w:r>
    </w:p>
    <w:p w14:paraId="14510FD6" w14:textId="77777777" w:rsidR="00962DB6" w:rsidRDefault="00000000">
      <w:pPr>
        <w:numPr>
          <w:ilvl w:val="0"/>
          <w:numId w:val="6"/>
        </w:numPr>
      </w:pPr>
      <w:r>
        <w:rPr>
          <w:b/>
          <w:bCs/>
        </w:rPr>
        <w:lastRenderedPageBreak/>
        <w:t>A methodological finding.</w:t>
      </w:r>
      <w:r>
        <w:t xml:space="preserve"> A human-only benign traffic set concealed a 100% false-positive rate on benign JSON-API integration clients; only adding automated-but-harmless agents to the benign corpus exposed it. A safety metric only tests what its inputs contain.</w:t>
      </w:r>
    </w:p>
    <w:p w14:paraId="04D94C9A" w14:textId="77777777" w:rsidR="00962DB6" w:rsidRDefault="00000000">
      <w:pPr>
        <w:numPr>
          <w:ilvl w:val="0"/>
          <w:numId w:val="6"/>
        </w:numPr>
      </w:pPr>
      <w:r>
        <w:rPr>
          <w:b/>
          <w:bCs/>
        </w:rPr>
        <w:t>A causal estimate via randomised holdout</w:t>
      </w:r>
      <w:r>
        <w:t>, together with a limiting-rule robustness result: against a bait-aware adversary, the decision rule converges asymptotically to the passive two-action rule, though this is not a per-session guarantee.</w:t>
      </w:r>
    </w:p>
    <w:p w14:paraId="1F5C6AD7" w14:textId="77777777" w:rsidR="00962DB6" w:rsidRDefault="00000000">
      <w:pPr>
        <w:pStyle w:val="FirstParagraph"/>
      </w:pPr>
      <w:r>
        <w:t>The remainder of the paper is organised as follows. Section 3 reviews the relevant literature, first by web-attack vulnerability class and then by deception theme, before synthesising the field’s gaps against the present work’s contributions. Section 4 sets out the methodology: the decision-theoretic formulation of the probe as a priced action, the system architecture that implements it, and the evaluation design used to test it. We close the paper (outside the scope of this document) with results, discussion, and limitations.</w:t>
      </w:r>
    </w:p>
    <w:p w14:paraId="377B8B1B" w14:textId="77777777" w:rsidR="00962DB6" w:rsidRDefault="00000000">
      <w:pPr>
        <w:pStyle w:val="Heading1"/>
      </w:pPr>
      <w:bookmarkStart w:id="6" w:name="literature-review"/>
      <w:bookmarkEnd w:id="2"/>
      <w:bookmarkEnd w:id="5"/>
      <w:r>
        <w:t>3. Literature Review</w:t>
      </w:r>
    </w:p>
    <w:p w14:paraId="19944BD9" w14:textId="77777777" w:rsidR="00962DB6" w:rsidRDefault="00000000">
      <w:pPr>
        <w:pStyle w:val="FirstParagraph"/>
      </w:pPr>
      <w:r>
        <w:t>This review covers thirty-eight primary references on cyber deception, honeypots, honeytokens, web-attack detection, decision theory, and security evaluation methodology, verified individually against publisher records (ACM Digital Library, IEEE Xplore, USENIX, SpringerLink, arXiv, DBLP), together with a complementary set of recent papers on machine-learning detection of specific web-application vulnerability classes. Priority is given to work from 2020 onward; older references are retained only where they are the original source of a concept the present work depends on — for example, Howard’s value of information [R29], Elkan’s cost-sensitive learning [R30], and Axelsson’s base-rate work [R32].</w:t>
      </w:r>
    </w:p>
    <w:p w14:paraId="692E90C8" w14:textId="77777777" w:rsidR="00962DB6" w:rsidRDefault="00000000">
      <w:pPr>
        <w:pStyle w:val="Heading2"/>
      </w:pPr>
      <w:bookmarkStart w:id="7" w:name="review-methodology"/>
      <w:r>
        <w:t>3.1 Review Methodology</w:t>
      </w:r>
    </w:p>
    <w:p w14:paraId="3A753767" w14:textId="77777777" w:rsidR="00962DB6" w:rsidRDefault="00000000">
      <w:pPr>
        <w:pStyle w:val="FirstParagraph"/>
      </w:pPr>
      <w:r>
        <w:t xml:space="preserve">The search covered ACM Digital Library, IEEE Xplore, USENIX, SpringerLink, arXiv, and DBLP, using search terms including </w:t>
      </w:r>
      <w:r>
        <w:rPr>
          <w:i/>
          <w:iCs/>
        </w:rPr>
        <w:t>cyber deception</w:t>
      </w:r>
      <w:r>
        <w:t xml:space="preserve">, </w:t>
      </w:r>
      <w:r>
        <w:rPr>
          <w:i/>
          <w:iCs/>
        </w:rPr>
        <w:t>defensive deception</w:t>
      </w:r>
      <w:r>
        <w:t xml:space="preserve">, </w:t>
      </w:r>
      <w:r>
        <w:rPr>
          <w:i/>
          <w:iCs/>
        </w:rPr>
        <w:t>honeypot</w:t>
      </w:r>
      <w:r>
        <w:t xml:space="preserve">, </w:t>
      </w:r>
      <w:r>
        <w:rPr>
          <w:i/>
          <w:iCs/>
        </w:rPr>
        <w:t>honeytoken</w:t>
      </w:r>
      <w:r>
        <w:t xml:space="preserve">, </w:t>
      </w:r>
      <w:r>
        <w:rPr>
          <w:i/>
          <w:iCs/>
        </w:rPr>
        <w:t>honeyfile</w:t>
      </w:r>
      <w:r>
        <w:t xml:space="preserve">, </w:t>
      </w:r>
      <w:r>
        <w:rPr>
          <w:i/>
          <w:iCs/>
        </w:rPr>
        <w:t>decoy document</w:t>
      </w:r>
      <w:r>
        <w:t xml:space="preserve">, </w:t>
      </w:r>
      <w:r>
        <w:rPr>
          <w:i/>
          <w:iCs/>
        </w:rPr>
        <w:t>application layer deception</w:t>
      </w:r>
      <w:r>
        <w:t xml:space="preserve">, </w:t>
      </w:r>
      <w:r>
        <w:rPr>
          <w:i/>
          <w:iCs/>
        </w:rPr>
        <w:t>web attack detection</w:t>
      </w:r>
      <w:r>
        <w:t xml:space="preserve">, </w:t>
      </w:r>
      <w:r>
        <w:rPr>
          <w:i/>
          <w:iCs/>
        </w:rPr>
        <w:t>web application firewall</w:t>
      </w:r>
      <w:r>
        <w:t xml:space="preserve">, </w:t>
      </w:r>
      <w:r>
        <w:rPr>
          <w:i/>
          <w:iCs/>
        </w:rPr>
        <w:t>web bot detection</w:t>
      </w:r>
      <w:r>
        <w:t xml:space="preserve">, </w:t>
      </w:r>
      <w:r>
        <w:rPr>
          <w:i/>
          <w:iCs/>
        </w:rPr>
        <w:t>value of information</w:t>
      </w:r>
      <w:r>
        <w:t xml:space="preserve">, and </w:t>
      </w:r>
      <w:r>
        <w:rPr>
          <w:i/>
          <w:iCs/>
        </w:rPr>
        <w:t>cost-sensitive decision</w:t>
      </w:r>
      <w:r>
        <w:t>. The time window spans 1966–2025, with priority given to 2020–2025 work; older papers were retained only when they are the original source of a concept the project depends on. Papers were included if peer-reviewed, or if an arXiv preprint was already well cited and directly on topic; papers with no measurement component, and papers concerned only with network-level or IoT honeypots with no application-layer angle, were excluded. Every entry was opened on the publisher page and its title, author order, venue, year, pages, and DOI confirmed. Of the thirty-eight primary references, seventeen (45%) are from 2020 or later.</w:t>
      </w:r>
    </w:p>
    <w:p w14:paraId="3DDB2FBA" w14:textId="77777777" w:rsidR="00962DB6" w:rsidRDefault="00000000">
      <w:pPr>
        <w:pStyle w:val="Heading2"/>
      </w:pPr>
      <w:bookmarkStart w:id="8" w:name="the-case-for-a-priced-third-action"/>
      <w:bookmarkEnd w:id="7"/>
      <w:r>
        <w:lastRenderedPageBreak/>
        <w:t>3.2 The Case for a Priced Third Action</w:t>
      </w:r>
    </w:p>
    <w:p w14:paraId="1CC2CD16" w14:textId="77777777" w:rsidR="00962DB6" w:rsidRDefault="00000000">
      <w:pPr>
        <w:pStyle w:val="FirstParagraph"/>
      </w:pPr>
      <w:r>
        <w:t xml:space="preserve">Six observations, taken together, motivate the present work and structure the rest of this review. First, today’s defences are passive: a WAF matches patterns [R22, R23, R26] and a machine-learned detector watches and waits [R25], both forced into the early-versus-late trade-off described in Section 2.1 [R32]. Second, deception is the known answer to passivity but is placed either beside the application, as honeypots are [R6, R7, R8, R9], or statically inside it, as honeytokens are [R14, R15, R16]. Third, deception theory already anticipates a middle option — the major surveys note that the hard question is </w:t>
      </w:r>
      <w:r>
        <w:rPr>
          <w:i/>
          <w:iCs/>
        </w:rPr>
        <w:t>when</w:t>
      </w:r>
      <w:r>
        <w:t xml:space="preserve"> to deceive, not how [R1–R5], and game-theoretic work models the decision as a signalling problem [R31] — yet in practice the </w:t>
      </w:r>
      <w:r>
        <w:rPr>
          <w:i/>
          <w:iCs/>
        </w:rPr>
        <w:t>when</w:t>
      </w:r>
      <w:r>
        <w:t xml:space="preserve"> is still a hand-set threshold. Fourth, application-layer deception, the neighbourhood closest to this project, is new and nearly empty [R19, R20, R21]. Fifth, almost nobody in this literature measures the cost of deception to honest users or establishes its effect causally, with the exception of Ferguson-Walter et al.’s controlled experiment [R35]. The resulting gap is a deception mechanism that lives in the </w:t>
      </w:r>
      <w:r>
        <w:rPr>
          <w:i/>
          <w:iCs/>
        </w:rPr>
        <w:t>response</w:t>
      </w:r>
      <w:r>
        <w:t xml:space="preserve"> of a real application, is chosen </w:t>
      </w:r>
      <w:r>
        <w:rPr>
          <w:i/>
          <w:iCs/>
        </w:rPr>
        <w:t>per session</w:t>
      </w:r>
      <w:r>
        <w:t xml:space="preserve">, has a </w:t>
      </w:r>
      <w:r>
        <w:rPr>
          <w:i/>
          <w:iCs/>
        </w:rPr>
        <w:t>derived</w:t>
      </w:r>
      <w:r>
        <w:t xml:space="preserve"> rather than tuned trigger point, and is evaluated for its cost to innocent traffic with a </w:t>
      </w:r>
      <w:r>
        <w:rPr>
          <w:i/>
          <w:iCs/>
        </w:rPr>
        <w:t>randomised</w:t>
      </w:r>
      <w:r>
        <w:t xml:space="preserve"> design — which is the gap this paper’s contributions (Section 2.3) are built to close.</w:t>
      </w:r>
    </w:p>
    <w:p w14:paraId="784288A6" w14:textId="77777777" w:rsidR="00962DB6" w:rsidRDefault="00000000">
      <w:pPr>
        <w:pStyle w:val="Heading2"/>
      </w:pPr>
      <w:bookmarkStart w:id="9" w:name="Xfdd2ea2a9497ae33045b210e15bc089fbd661cd"/>
      <w:bookmarkEnd w:id="8"/>
      <w:r>
        <w:t>3.3 Detection Literature by Vulnerability Class</w:t>
      </w:r>
    </w:p>
    <w:p w14:paraId="2B814955" w14:textId="77777777" w:rsidR="00962DB6" w:rsidRDefault="00000000">
      <w:pPr>
        <w:pStyle w:val="FirstParagraph"/>
      </w:pPr>
      <w:r>
        <w:t>The proposed system’s detection tier must discriminate between several structurally different classes of web attack before any deception decision can be made. The maturity of the supporting machine-learning literature varies sharply across these classes.</w:t>
      </w:r>
    </w:p>
    <w:p w14:paraId="19E713A1" w14:textId="77777777" w:rsidR="00962DB6" w:rsidRDefault="00000000">
      <w:pPr>
        <w:pStyle w:val="Heading3"/>
      </w:pPr>
      <w:bookmarkStart w:id="10" w:name="injection-attacks"/>
      <w:r>
        <w:t>3.3.1 Injection Attacks</w:t>
      </w:r>
    </w:p>
    <w:p w14:paraId="50E8C17B" w14:textId="77777777" w:rsidR="00962DB6" w:rsidRDefault="00000000">
      <w:pPr>
        <w:pStyle w:val="FirstParagraph"/>
      </w:pPr>
      <w:r>
        <w:t xml:space="preserve">SQL injection (SQLi) remains the most heavily researched of the vulnerability classes reviewed here, and the literature organises into three methodological waves. Feature-engineered classical machine learning extracts hand-designed lexical and syntactic features — token counts, presence of SQL keywords, string entropy, comment markers — feeding classifiers such as Naive Bayes, Decision Trees, Random Forest, and Support Vector Machines; a representative study defining thirteen such features across six algorithms reports up to 99.6% accuracy after feature selection, illustrating both the strength and the brittleness of the approach, since performance this high on a training distribution is sensitive to which features were hand-selected. A related line of work applies SMOTE oversampling ahead of Random Forest and k-nearest-neighbour classifiers to address the class imbalance inherent in injection traffic, finding ensemble tree methods more robust to the imbalance than instance-based methods. A second wave moves toward sequence models — LSTM and CNN architectures applied to raw or tokenized query text — with one representative study benchmarking Random Forest against LSTM and finding the latter better captures syntactically varied injection payloads, though Random Forest remains competitive and considerably cheaper to train. The most recent shift borrows from NLP: a BERT fine-tune paired with a TextCNN classification head is motivated by the claim that rule-based tools cannot keep pace with evolving obfuscation, and this approach is conceptually the closest existing analogue to what an adaptive, per-vulnerability detector needs — high recall against payloads not seen verbatim in training. A smaller body of work </w:t>
      </w:r>
      <w:r>
        <w:lastRenderedPageBreak/>
        <w:t>extends the same methodology (tokenize, extract features or embeddings, classify) to XML-based injection.</w:t>
      </w:r>
    </w:p>
    <w:p w14:paraId="0C537C28" w14:textId="77777777" w:rsidR="00962DB6" w:rsidRDefault="00000000">
      <w:pPr>
        <w:pStyle w:val="BodyText"/>
      </w:pPr>
      <w:r>
        <w:t>For a system in which a false positive triggers a live session diversion rather than merely a log entry, the cost asymmetry favours a detector tuned for high precision even at some recall cost, arguing for classical machine learning or a lightweight distilled transformer in the initial detection tier rather than a full BERT fine-tune, with a heavier model reserved for a secondary confirmation pass.</w:t>
      </w:r>
    </w:p>
    <w:p w14:paraId="79CEB04B" w14:textId="77777777" w:rsidR="00962DB6" w:rsidRDefault="00000000">
      <w:pPr>
        <w:pStyle w:val="Heading3"/>
      </w:pPr>
      <w:bookmarkStart w:id="11" w:name="file-upload-vulnerabilities"/>
      <w:bookmarkEnd w:id="10"/>
      <w:r>
        <w:t>3.3.2 File Upload Vulnerabilities</w:t>
      </w:r>
    </w:p>
    <w:p w14:paraId="094E1C12" w14:textId="77777777" w:rsidR="00962DB6" w:rsidRDefault="00000000">
      <w:pPr>
        <w:pStyle w:val="FirstParagraph"/>
      </w:pPr>
      <w:r>
        <w:t xml:space="preserve">File upload research is markedly thinner than SQL injection, and splits along a meaningful line: detecting the </w:t>
      </w:r>
      <w:r>
        <w:rPr>
          <w:i/>
          <w:iCs/>
        </w:rPr>
        <w:t>vulnerability itself</w:t>
      </w:r>
      <w:r>
        <w:t xml:space="preserve"> versus detecting </w:t>
      </w:r>
      <w:r>
        <w:rPr>
          <w:i/>
          <w:iCs/>
        </w:rPr>
        <w:t>malicious content after upload</w:t>
      </w:r>
      <w:r>
        <w:t xml:space="preserve">. On the vulnerability-discovery side, URadar (2023) discovers unrestricted file upload vulnerabilities through adaptive dynamic testing, probing upload endpoints with variant payloads — extension spoofing, MIME-type manipulation, null-byte tricks, magic-byte forgery — to determine which restrictions are enforced server-side versus merely client-side, while UFuzzer (2021) combines static analysis with targeted fuzzing for PHP applications specifically. Both tools target security testing rather than runtime detection, a materially different problem from the one a diversion-triggering detector needs solved. On the post-upload side, the bulk of machine-learning work targets webshell detection after upload: a 2025 sliding-window-attention model is designed to handle the long-text and lexical-ambiguity problems that defeat simpler classifiers on obfuscated PHP webshells, building on earlier static and multi-language deep-learning webshell detectors, while a parallel 2024 study applies CNN and RNN-LSTM architectures over opcode-level features, finding CNN outperforms RNN-LSTM on an institutional dataset without evaluating cross-dataset generalisation. No paper identified in this review trains a classifier to flag the </w:t>
      </w:r>
      <w:r>
        <w:rPr>
          <w:i/>
          <w:iCs/>
        </w:rPr>
        <w:t>upload request itself</w:t>
      </w:r>
      <w:r>
        <w:t xml:space="preserve"> as malicious in real time, the way SQLi or SSRF detectors flag a query or URL — the most transferable technique available is a lightweight extension/MIME/magic-byte heuristic layer feeding a webshell-style classifier applied to the payload before it is admitted to a decoy environment.</w:t>
      </w:r>
    </w:p>
    <w:p w14:paraId="14978488" w14:textId="77777777" w:rsidR="00962DB6" w:rsidRDefault="00000000">
      <w:pPr>
        <w:pStyle w:val="Heading3"/>
      </w:pPr>
      <w:bookmarkStart w:id="12" w:name="broken-access-control-and-idor"/>
      <w:bookmarkEnd w:id="11"/>
      <w:r>
        <w:t>3.3.3 Broken Access Control and IDOR</w:t>
      </w:r>
    </w:p>
    <w:p w14:paraId="13C40C68" w14:textId="77777777" w:rsidR="00962DB6" w:rsidRDefault="00000000">
      <w:pPr>
        <w:pStyle w:val="FirstParagraph"/>
      </w:pPr>
      <w:r>
        <w:t xml:space="preserve">Broken access control, and IDOR/BOLA (Broken Object Level Authorization) specifically, has become one of the most active web-security research areas in the last three years, driven by its position as the top category in both the OWASP Top 10 (since 2021) and the OWASP API Security Top 10 (since 2019). Unlike SQL injection, IDOR is a logic-layer vulnerability: an exploit is typically a syntactically valid, well-formed request that simply references an object the requester should not be authorized to access, so there is usually no malicious string to pattern-match. A 2022 specification-driven approach systematises IDOR/BOLA attack patterns from research papers, bug-bounty reports, and grey literature into attack groups, then processes OpenAPI specifications to flag endpoints whose parameter structure matches known-vulnerable patterns — sequential IDs, predictable encodings, user-controlled keys without ownership checks — a static, pre-deployment technique whose taxonomy is nonetheless directly useful for runtime detection logic. BACFuzz (2025) names the core difficulty holding back automated testing in this class: a </w:t>
      </w:r>
      <w:r>
        <w:lastRenderedPageBreak/>
        <w:t xml:space="preserve">broken-access-control violation typically produces no crash and no distinguishing response signal beyond the fact that data was returned that should not have been, making the </w:t>
      </w:r>
      <w:r>
        <w:rPr>
          <w:i/>
          <w:iCs/>
        </w:rPr>
        <w:t>test oracle problem</w:t>
      </w:r>
      <w:r>
        <w:t xml:space="preserve"> the central research challenge. A 2025 extension of static taint analysis to GraphQL APIs addresses the flexible-query access-control surface that REST-oriented tools miss, and a smaller strand applies graph-based semi-supervised learning to authorization decision-making itself. Because there is no syntactic tell in the malicious request, a runtime IDOR detector likely cannot rely on payload inspection alone and instead needs either a differential/reference-check approach — comparing a requested object’s owner against the authenticated session’s identity — or a behavioural approach flagging sequential or out-of-pattern object-ID access across a session, which has direct implications for how quickly a diversion decision can be made.</w:t>
      </w:r>
    </w:p>
    <w:p w14:paraId="631CB1B1" w14:textId="77777777" w:rsidR="00962DB6" w:rsidRDefault="00000000">
      <w:pPr>
        <w:pStyle w:val="Heading3"/>
      </w:pPr>
      <w:bookmarkStart w:id="13" w:name="server-side-request-forgery"/>
      <w:bookmarkEnd w:id="12"/>
      <w:r>
        <w:t>3.3.4 Server-Side Request Forgery</w:t>
      </w:r>
    </w:p>
    <w:p w14:paraId="5ED9D12E" w14:textId="77777777" w:rsidR="00962DB6" w:rsidRDefault="00000000">
      <w:pPr>
        <w:pStyle w:val="FirstParagraph"/>
      </w:pPr>
      <w:r>
        <w:t xml:space="preserve">SSRF detection divides into supervised machine learning applied to URLs or requests, and program-analysis techniques applied before deployment. Al-talak and Abbass (2021), the most-cited work in this space, apply an LSTM network to SSRF detection framed as sequence classification over the URL/request string, reporting 0.969 accuracy across non-blind, blind, and semi-blind SSRF sub-types — a reminder that a detector needs to account for cases where the malicious signal is an anomalous outbound connection pattern rather than a directly observable response. A more recent architecture integrates a detection layer directly into the network path, pairing an IDS/IPS with a dedicated Nginx helper server and using XGBoost to classify URLs, reporting 98.55% accuracy; the framing — a dedicated proxy sitting in front of the application to intercept and evaluate outbound requests — is structurally close to a reverse-proxy pivot, differing chiefly in that the helper server there is a permanent inline component rather than a destination a session is diverted </w:t>
      </w:r>
      <w:r>
        <w:rPr>
          <w:i/>
          <w:iCs/>
        </w:rPr>
        <w:t>to</w:t>
      </w:r>
      <w:r>
        <w:t xml:space="preserve"> upon detection. Artemis (2025) represents a more recent shift toward LLM-assisted, inter-procedural, path-sensitive taint analysis that traces how untrusted input reaches a server-side request-issuing function, using an LLM to resolve code paths pure static analysis handles poorly; this class of tool finds SSRF-vulnerable code before deployment, complementary to rather than a substitute for runtime detection. A 2024 large-scale study of real-world SSRF vulnerabilities provides empirical grounding for how heterogeneous SSRF manifests across frameworks, useful context for the claim that a single SSRF decoy module needs to handle cloud-metadata probing, internal-service enumeration, and port scanning rather than one narrow pattern. SSRF is, on this evidence, the vulnerability class best served conceptually by a reverse-proxy-pivot architecture, though the design must support both a fake internal network (to absorb reconnaissance) and a fake external callback endpoint (to detect blind SSRF via out-of-band interaction).</w:t>
      </w:r>
    </w:p>
    <w:p w14:paraId="653AB18B" w14:textId="77777777" w:rsidR="00962DB6" w:rsidRDefault="00000000">
      <w:pPr>
        <w:pStyle w:val="Heading3"/>
      </w:pPr>
      <w:bookmarkStart w:id="14" w:name="brute-force-and-credential-stuffing"/>
      <w:bookmarkEnd w:id="13"/>
      <w:r>
        <w:t>3.3.5 Brute Force and Credential Stuffing</w:t>
      </w:r>
    </w:p>
    <w:p w14:paraId="17BA078D" w14:textId="77777777" w:rsidR="00962DB6" w:rsidRDefault="00000000">
      <w:pPr>
        <w:pStyle w:val="FirstParagraph"/>
      </w:pPr>
      <w:r>
        <w:t xml:space="preserve">Brute-force and credential-stuffing detection sits at the intersection of classical intrusion detection and a newer strand targeting the cross-site nature of credential reuse. Classical honeypot-log-based work classifying SSH brute-force attacks from Kippo and Cowrie logs using Decision Tree, Naive Bayes, SVM, and Random Forest reports accuracy around 0.92 for the best tree-based methods, and a flow-based detector (SSHCure), validated across roughly 100 servers and honeypots, achieves near-100% accuracy by analysing </w:t>
      </w:r>
      <w:r>
        <w:lastRenderedPageBreak/>
        <w:t xml:space="preserve">connection-level flow features — timing, attempts per source, failure rates — rather than payload content, a more robust signal since the attack is behavioural rather than payload-based. Credential stuffing differs architecturally: the attacker replays credentials stolen from a different breach, so a single login attempt is often indistinguishable from a legitimate one by content alone. This has pushed recent work toward behavioural biometrics and cross-site risk modelling; a 2025 study combining Isolation Forest and Local Outlier Factor over session-navigation behavioural biometrics reaches ROC-AUC up to 0.936 in an unsupervised setting, sidestepping the scarcity of labelled attack data for this class. The most architecturally distinct recent contribution, PassREfinder-FL (2025), reframes the problem entirely — predicting the </w:t>
      </w:r>
      <w:r>
        <w:rPr>
          <w:i/>
          <w:iCs/>
        </w:rPr>
        <w:t>risk</w:t>
      </w:r>
      <w:r>
        <w:t xml:space="preserve"> that passwords are reused across a given pair of websites via a graph neural network with federated learning, rather than detecting an individual attempt — positioned explicitly against compromised-credential-checking services that can only flag reuse of already-disclosed breaches. A login-decoy module in the proposed architecture likely needs to accumulate a short behavioural profile across several requests within a session, mirroring the flow-based and behavioural-biometric approaches above, rather than acting on a single suspicious attempt in isolation.</w:t>
      </w:r>
    </w:p>
    <w:p w14:paraId="56C06ED5" w14:textId="77777777" w:rsidR="00962DB6" w:rsidRDefault="00000000">
      <w:pPr>
        <w:pStyle w:val="Heading3"/>
      </w:pPr>
      <w:bookmarkStart w:id="15" w:name="cross-site-request-forgery"/>
      <w:bookmarkEnd w:id="14"/>
      <w:r>
        <w:t>3.3.6 Cross-Site Request Forgery</w:t>
      </w:r>
    </w:p>
    <w:p w14:paraId="2F68CD94" w14:textId="77777777" w:rsidR="00962DB6" w:rsidRDefault="00000000">
      <w:pPr>
        <w:pStyle w:val="FirstParagraph"/>
      </w:pPr>
      <w:r>
        <w:t>CSRF is the thinnest category in the dedicated machine-learning literature surveyed here, and nearly all substantive work bundles it with cross-site scripting rather than treating it as a standalone detection problem. algoXSSF (2024) is the clearest anchor, explicitly framing its contribution as joint detection of CSRF (referred to as XSRF) and XSS using a shared set of algorithms, building on a narrowly scoped 2022 predecessor rather than an extended line of research — evidence that CSRF detection has not developed the iterative depth seen in SQLi or, more recently, IDOR and SSRF. The structural reason is that CSRF exploitation does not manifest as a malicious payload in the request a vulnerable server receives — the request itself is often perfectly well-formed — but rather in the absence of a validation step, a missing or bypassed anti-CSRF token, that the server should have enforced. This makes CSRF detection closer in spirit to IDOR than to SQLi: there is no string to pattern-match, and a runtime detector must instead reason about session and token state. Much of the relevant “prior work” for CSRF accordingly exists as security-engineering guidance and OWASP testing methodology rather than as trained classifiers. The most defensible detection approach for a CSRF-specific module is consequently a token-validation-state detector — flagging requests missing, reusing, or presenting a mismatched anti-CSRF token relative to the authenticated session — with a decoy backend presenting a fake session/token flow designed to let a CSRF-driven request appear to succeed against a fabricated account state.</w:t>
      </w:r>
    </w:p>
    <w:p w14:paraId="62A36554" w14:textId="77777777" w:rsidR="00962DB6" w:rsidRDefault="00000000">
      <w:pPr>
        <w:pStyle w:val="Heading2"/>
      </w:pPr>
      <w:bookmarkStart w:id="16" w:name="cyber-deception-theory-and-surveys"/>
      <w:bookmarkEnd w:id="9"/>
      <w:bookmarkEnd w:id="15"/>
      <w:r>
        <w:t>3.4 Cyber Deception: Theory and Surveys</w:t>
      </w:r>
    </w:p>
    <w:p w14:paraId="31733B0E" w14:textId="77777777" w:rsidR="00962DB6" w:rsidRDefault="00000000">
      <w:pPr>
        <w:pStyle w:val="FirstParagraph"/>
      </w:pPr>
      <w:r>
        <w:t xml:space="preserve">Deception’s status as a design discipline rather than an ad hoc trick traces to Almeshekah and Spafford [R1], who give a planning model: decide what the attacker should </w:t>
      </w:r>
      <w:r>
        <w:rPr>
          <w:i/>
          <w:iCs/>
        </w:rPr>
        <w:t>believe</w:t>
      </w:r>
      <w:r>
        <w:t>, then build the deception backwards from that belief. Han, Kheir, and Balzarotti [R2] provide the field’s standard taxonomy, splitting deception by what is faked and where it sits, and establish that response-embedded bait is a distinct category from network- or file-level decoys — though the survey predates both the LLM-honeypot and application-layer-</w:t>
      </w:r>
      <w:r>
        <w:lastRenderedPageBreak/>
        <w:t>deception literatures. Pawlick, Colbert, and Zhu [R3] define six deception families — perturbation, moving target defence, obfuscation, mixing, honey-x, and attacker engagement — placing work of the present kind in the honey-x-plus-attacker-engagement corner, though the models surveyed there are mostly analytical rather than implemented and measured. Zhu et al. [R4] offer the best single state-of-the-field citation for 2021-onward game-theoretic and machine-learning approaches to deception, concluding deployment decisions remain mostly heuristic. The newest major survey, Beltrán López, Gil Pérez, and Nespoli [R5], builds a unified taxonomy and lists open challenges as of 2025, evidencing that the timing question this paper addresses remains open at the field level.</w:t>
      </w:r>
    </w:p>
    <w:p w14:paraId="2CAD6560" w14:textId="77777777" w:rsidR="00962DB6" w:rsidRDefault="00000000">
      <w:pPr>
        <w:pStyle w:val="Heading2"/>
      </w:pPr>
      <w:bookmarkStart w:id="17" w:name="honeypots"/>
      <w:bookmarkEnd w:id="16"/>
      <w:r>
        <w:t>3.5 Honeypots</w:t>
      </w:r>
    </w:p>
    <w:p w14:paraId="1316CCD3" w14:textId="77777777" w:rsidR="00962DB6" w:rsidRDefault="00000000">
      <w:pPr>
        <w:pStyle w:val="FirstParagraph"/>
      </w:pPr>
      <w:r>
        <w:t xml:space="preserve">Provos’s Honeyd [R6] is the classical reference point: many virtual machines simulated on unused IP addresses, defining the honeypot as a system </w:t>
      </w:r>
      <w:r>
        <w:rPr>
          <w:i/>
          <w:iCs/>
        </w:rPr>
        <w:t>separate</w:t>
      </w:r>
      <w:r>
        <w:t xml:space="preserve"> from the real application — precisely the structural placement problem this paper’s architecture is built to avoid. Nawrocki et al. [R7] catalogue honeypot software broadly and establish the low-/medium-/high-interaction vocabulary still used in the field, while Javadpour et al. [R8] survey recent work on making honeypots more convincing, evidencing that the field’s attention has been on realism rather than on the cost deception imposes on honest users. Barron and Nikiforakis [R9] ran a four-month experiment across 102 medium-interaction honeypots, varying location, difficulty of break-in, and planted files, and found that what is planted measurably changes attacker behaviour — evidence supporting per-session bait selection, and a model for well-designed measurement studies generally. Vetterl and Clayton [R10] fingerprint honeypots at internet scale using a single packet, reaching an equal error rate of 0.0183 and locating 7,605 live honeypot instances across nine implementations, because honeypots implement network protocols subtly differently from the real thing; this is the strongest available motivation for treating invisibility to fingerprinting as something to be measured and certified rather than assumed.</w:t>
      </w:r>
    </w:p>
    <w:p w14:paraId="6CBC6FED" w14:textId="77777777" w:rsidR="00962DB6" w:rsidRDefault="00000000">
      <w:pPr>
        <w:pStyle w:val="Heading2"/>
      </w:pPr>
      <w:bookmarkStart w:id="18" w:name="llm-based-honeypots"/>
      <w:bookmarkEnd w:id="17"/>
      <w:r>
        <w:t>3.6 LLM-Based Honeypots</w:t>
      </w:r>
    </w:p>
    <w:p w14:paraId="141EB68F" w14:textId="77777777" w:rsidR="00962DB6" w:rsidRDefault="00000000">
      <w:pPr>
        <w:pStyle w:val="FirstParagraph"/>
      </w:pPr>
      <w:r>
        <w:t>Sladić, Valeros, Catania, and Garcia [R11] introduce shelLM, an LLM-based Linux-shell honeypot that generates command output on demand, evaluated by having human researchers judge whether each response was real or fake and reaching a 0.92 accuracy rate at convincing evaluators; this establishes the field’s now-standard human-judgment evaluation paradigm, and — because the LLM sits in the request path, incurring latency and unpredictability — motivates a design choice in the present work to move generation offline, before runtime. Reworr and Volkov [R12] deploy prompt injection inside an SSH honeypot aimed at autonomous AI attackers, collecting over eight million hacking attempts over roughly three months; injecting something into the response to provoke a reaction is the closest published idea to a response-side probe, albeit at the shell level and aimed specifically at AI agents. Bridges, Mitchell, Muñoz, and Henriksson [R13] systematise the LLM-honeypot area and report that real deployments show only incremental progress, and that the field lacks agreed evaluation methods — a measurement gap the present work’s contradiction-rate metric directly addresses.</w:t>
      </w:r>
    </w:p>
    <w:p w14:paraId="794E4F4E" w14:textId="77777777" w:rsidR="00962DB6" w:rsidRDefault="00000000">
      <w:pPr>
        <w:pStyle w:val="BodyText"/>
      </w:pPr>
      <w:r>
        <w:lastRenderedPageBreak/>
        <w:t>The subfield has expanded rapidly since 2023. Limbosh extends the shelLM lineage with prompt-injection mitigation and configurable modularity, addressing a risk specific to LLM-driven deception: an attacker manipulating the honeypot’s own underlying model through crafted input. VelLMes generalises beyond a single SSH shell to multiple protocols — MySQL, POP3, and HTTP — through distinct prompt-engineered personas deployable simultaneously across network instances, organising decoys by protocol rather than by web-application vulnerability class, and without implementing mid-session diversion from a real endpoint. LLMHoney (Malhotra, 2025) combines a dictionary-based virtual filesystem for low-latency handling of common commands with LLM generation reserved for novel inputs, evaluated across thirteen model variants against 138 representative Linux commands — a hybrid fast-path/slow-path design directly relevant to any decoy backend needing to respond convincingly without incurring inference latency on every interaction. Otal and Canbaz (2024) fine-tune an open-source model directly on attacker command/response data rather than relying purely on prompting, trading deployment simplicity for more domain-adapted responses. The most architecturally mature recent contribution, AdvancedShelLM (2026), is a stateful, multi-agent honeypot with a Manager agent and a Worker agent dividing responsibility for understanding commands and generating consistent responses, maintaining a persistent filesystem so simultaneous attackers observe consistent, evolving state; its evaluation — spanning automated tests, an adversarial AI attacker, human attacker studies, and live internet deployment — finds that improved generative capability does not by itself translate into stronger deception, and argues evaluation must move beyond single-response realism toward sustained, cross-session consistency. This finding motivates the present work’s decoy consistency layer directly (Section 4.2.3).</w:t>
      </w:r>
    </w:p>
    <w:p w14:paraId="4C456EDA" w14:textId="77777777" w:rsidR="00962DB6" w:rsidRDefault="00000000">
      <w:pPr>
        <w:pStyle w:val="BodyText"/>
      </w:pPr>
      <w:r>
        <w:t>Two further strands bear on engagement policy and evaluation vocabulary. Huang and Zhu model attacker sojourn time in a honeynet as a semi-Markov decision process, designing engagement policies that trade off dwell time against the risk of deeper penetration — a framing directly analogous to the “keep the attacker occupied” goal of a state-consistent decoy — and HoneyIoT extends the approach to IoT honeypots, applying differential mutation of response values specifically so identical queries do not return suspiciously identical responses. Honeyquest for LLMs (2026) adapts a human deception-testing methodology to AI attackers, presenting an AI “attacker” with neutral, risky, and deceptive elements and asking it to distinguish exploitable targets from honeypot bait, introducing a five-quality taxonomy for deception — enticingness, believability, variability, generative stability, and related operational qualities — that offers useful evaluation vocabulary beyond simple realism.</w:t>
      </w:r>
    </w:p>
    <w:p w14:paraId="1EBA836E" w14:textId="77777777" w:rsidR="00962DB6" w:rsidRDefault="00000000">
      <w:pPr>
        <w:pStyle w:val="Heading2"/>
      </w:pPr>
      <w:bookmarkStart w:id="19" w:name="honeytokens-decoys-and-bait"/>
      <w:bookmarkEnd w:id="18"/>
      <w:r>
        <w:t>3.7 Honeytokens, Decoys, and Bait</w:t>
      </w:r>
    </w:p>
    <w:p w14:paraId="7450CB74" w14:textId="77777777" w:rsidR="00962DB6" w:rsidRDefault="00000000">
      <w:pPr>
        <w:pStyle w:val="FirstParagraph"/>
      </w:pPr>
      <w:r>
        <w:t xml:space="preserve">Yuill, Zappe, Denning, and Feer [R14] introduce the honeyfile: bait files placed on a file server whose access raises an alarm, the origin of “planting bait raises an alarm” as a design pattern, though placement is static, uniform across visitors, and its effect on legitimate users is not measured. Bowen, Hershkop, Keromytis, and Stolfo [R15] automatically generate and place decoy documents and, importantly, enumerate the properties a good decoy needs — believable, enticing, non-interfering, detectable — the </w:t>
      </w:r>
      <w:r>
        <w:lastRenderedPageBreak/>
        <w:t>closest prior art to the present work’s bait design criteria; the invisibility gate proposed here (Section 4.2.2) is a measured, automated version of their “non-interfering” property. Juels and Rivest [R16] introduce honeywords: fake passwords stored alongside the real one, whose use raises an alarm checked by a separate honeychecker server — the cleanest example of a tripwire whose sole purpose is to produce evidence, and conceptually the nearest ancestor of the present work’s bait, limited to one fixed tripwire type with no belief model and no decision about when to deploy, since it is always active. Srinivasa, Pedersen, and Vasilomanolakis [R17] are the first to study fingerprinting of honeytokens specifically, with a proof-of-concept detecting several token types — direct evidence that badly built tokens are detectable, motivating the certified-invisibility-gate approach used here. Timmer, Liebowitz, Nepal, and Kanhere [R18] study the two qualities that matter for a decoy, realism and enticement, and observe that the field measures both but not the cost to honest users — the third axis the present evaluation adds.</w:t>
      </w:r>
    </w:p>
    <w:p w14:paraId="5A9A1FB1" w14:textId="77777777" w:rsidR="00962DB6" w:rsidRDefault="00000000">
      <w:pPr>
        <w:pStyle w:val="BodyText"/>
      </w:pPr>
      <w:r>
        <w:t>Distinct from full honeypot environments, honeytokens (canary tokens) more broadly offer a lighter-weight deception primitive: fake credentials, API keys, or documents seeded into a real environment that trigger an alert on access. A recent paper examines canary tokens’ dual role for both defenders and red teams, grounding the discussion in real incidents including the 2025 Grafana Labs breach and Iranian APT MuddyWater campaigns; honeytokens of this kind are complementary to, rather than competing with, the present architecture and could be seeded inside decoy backends as a secondary detection layer.</w:t>
      </w:r>
    </w:p>
    <w:p w14:paraId="65BEC18F" w14:textId="77777777" w:rsidR="00962DB6" w:rsidRDefault="00000000">
      <w:pPr>
        <w:pStyle w:val="Heading2"/>
      </w:pPr>
      <w:bookmarkStart w:id="20" w:name="deception-inside-the-application-layer"/>
      <w:bookmarkEnd w:id="19"/>
      <w:r>
        <w:t>3.8 Deception Inside the Application Layer</w:t>
      </w:r>
    </w:p>
    <w:p w14:paraId="6214793E" w14:textId="77777777" w:rsidR="00962DB6" w:rsidRDefault="00000000">
      <w:pPr>
        <w:pStyle w:val="FirstParagraph"/>
      </w:pPr>
      <w:r>
        <w:t xml:space="preserve">This is the neighbourhood the present paper occupies most directly. It is small, new, and dominated by one research group, which is favourable for a novelty claim. Kahlhofer and Rass [R19] review nineteen technical methods for application-layer deception and score them on technical, topological, operational, and efficacy properties, explicitly reporting that techniques beyond honeypots and reverse proxies “have received little research interest” — the single most important related-work citation for this paper, since it both defines the space and states that the space is under-explored. Kahlhofer, Achleitner, Rass, and Mayrhofer [R20] introduce Honeyquest, turning twenty-five deception techniques into a machine-readable specification and measuring enticingness via questionnaire without having to build them, reporting that the presence of deception cut the risk of an adversary finding a true security risk by roughly 22% on average; the method offers a way to rank bait candidates before building them and a published number for how much deception helps, though its questionnaire basis measures what people say they would click rather than what they do in a live system, which the present work’s behavioural bite rates address directly. Kahlhofer, Golinelli, and Rass [R21] present Koney, a Kubernetes operator automating the setup, rotation, and teardown of honeytokens and fake API endpoints using eBPF for detection and logging — the closest engineering neighbour to this project, solving deployment and lifecycle but not deciding </w:t>
      </w:r>
      <w:r>
        <w:rPr>
          <w:i/>
          <w:iCs/>
        </w:rPr>
        <w:t>when</w:t>
      </w:r>
      <w:r>
        <w:t xml:space="preserve"> to deploy based on a belief about the current visitor, which remains this work’s contribution.</w:t>
      </w:r>
    </w:p>
    <w:p w14:paraId="467C27C0" w14:textId="77777777" w:rsidR="00962DB6" w:rsidRDefault="00000000">
      <w:pPr>
        <w:pStyle w:val="Heading2"/>
      </w:pPr>
      <w:bookmarkStart w:id="21" w:name="X74c5949d20b430b62d5996b33b7b3dc8de189a7"/>
      <w:bookmarkEnd w:id="20"/>
      <w:r>
        <w:lastRenderedPageBreak/>
        <w:t>3.9 Web Attack Detection and Web Application Firewalls</w:t>
      </w:r>
    </w:p>
    <w:p w14:paraId="240DBDA1" w14:textId="77777777" w:rsidR="00962DB6" w:rsidRDefault="00000000">
      <w:pPr>
        <w:pStyle w:val="FirstParagraph"/>
      </w:pPr>
      <w:r>
        <w:t xml:space="preserve">Kruegel and Vigna [R22] give the foundational anomaly-detection method for HTTP, learning per-parameter models of length, character distribution, and structure from normal traffic; several features used in the present detector descend from this lineage. Robertson, Vigna, Kruegel, and Kemmerer [R23] extend this work by generalising anomalies into explainable classes, motivating a system that produces proof of an attack rather than merely an anomaly score. The CSIC 2010 dataset [R24], roughly 36,000 normal and 25,000-plus anomalous HTTP requests, remains the default benchmark for web-attack detection, but it has no sessions, no timing information, no bait interactions, and no benign-but-automated traffic class, and so cannot support any of the metrics this project reports — the direct justification for building a purpose-built corpus (Section 4.4.1). Tekerek [R25] applies a CNN architecture to HTTP anomaly detection, representative of where the mainstream is heading: better classifiers, still fully passive. Amouei, Rezvani, and Fateh [R26] use reinforcement learning to automatically discover payloads that bypass well-configured WAFs, beating prior methods by 33.53% on average — hard evidence that pattern-matching defences are bypassable, motivating a system that generates evidence it </w:t>
      </w:r>
      <w:r>
        <w:rPr>
          <w:i/>
          <w:iCs/>
        </w:rPr>
        <w:t>causes</w:t>
      </w:r>
      <w:r>
        <w:t xml:space="preserve"> rather than patterns it </w:t>
      </w:r>
      <w:r>
        <w:rPr>
          <w:i/>
          <w:iCs/>
        </w:rPr>
        <w:t>matches</w:t>
      </w:r>
      <w:r>
        <w:t>.</w:t>
      </w:r>
    </w:p>
    <w:p w14:paraId="3E308AE7" w14:textId="77777777" w:rsidR="00962DB6" w:rsidRDefault="00000000">
      <w:pPr>
        <w:pStyle w:val="Heading2"/>
      </w:pPr>
      <w:bookmarkStart w:id="22" w:name="bot-and-automation-detection"/>
      <w:bookmarkEnd w:id="21"/>
      <w:r>
        <w:t>3.10 Bot and Automation Detection</w:t>
      </w:r>
    </w:p>
    <w:p w14:paraId="674D8958" w14:textId="77777777" w:rsidR="00962DB6" w:rsidRDefault="00000000">
      <w:pPr>
        <w:pStyle w:val="FirstParagraph"/>
      </w:pPr>
      <w:r>
        <w:t>Iliou et al. [R27] propose a two-module framework for detecting advanced web bots, one operating on web logs and one on mouse movement, justifying the automation axis used alongside attack-content detection in the present work. The journal extension [R28] makes the key point that advanced bots imitate human browser fingerprints and human-like behaviour, lowering detectability by automation signals alone — the reason the present system’s decision model uses a second axis, with bait invoked precisely when the automation signal is weak.</w:t>
      </w:r>
    </w:p>
    <w:p w14:paraId="249AF579" w14:textId="77777777" w:rsidR="00962DB6" w:rsidRDefault="00000000">
      <w:pPr>
        <w:pStyle w:val="Heading2"/>
      </w:pPr>
      <w:bookmarkStart w:id="23" w:name="decision-theory-and-cost"/>
      <w:bookmarkEnd w:id="22"/>
      <w:r>
        <w:t>3.11 Decision Theory and Cost</w:t>
      </w:r>
    </w:p>
    <w:p w14:paraId="67C7EA23" w14:textId="77777777" w:rsidR="00962DB6" w:rsidRDefault="00000000">
      <w:pPr>
        <w:pStyle w:val="FirstParagraph"/>
      </w:pPr>
      <w:r>
        <w:t>Howard [R29] is the original source for placing a number on the worth of an observation before it is made — the direct ancestor of the value-of-information term in the decision policy used here, and the correct citation for the origin of Expected Value of Sample Information rather than any later restatement. Elkan [R30] shows how to make optimal decisions when different mistakes carry different costs, and defines when a cost matrix is coherent versus economically nonsensical — the justification for the frozen cost table this work depends on. Pawlick, Colbert, and Zhu [R31] extend signalling games with a detector that issues probabilistic warnings when a sender is deceptive, finding that high-quality detectors remove some pure-strategy equilibria and that receivers do best against equal-error-rate detectors; the theoretical framing of “deception that can leak” this paper offers is precisely the leak the present work’s invisibility gate is designed to bound.</w:t>
      </w:r>
    </w:p>
    <w:p w14:paraId="7B6E2FFB" w14:textId="77777777" w:rsidR="00962DB6" w:rsidRDefault="00000000">
      <w:pPr>
        <w:pStyle w:val="Heading2"/>
      </w:pPr>
      <w:bookmarkStart w:id="24" w:name="evaluating-security-machine-learning"/>
      <w:bookmarkEnd w:id="23"/>
      <w:r>
        <w:t>3.12 Evaluating Security Machine Learning</w:t>
      </w:r>
    </w:p>
    <w:p w14:paraId="4D33A645" w14:textId="77777777" w:rsidR="00962DB6" w:rsidRDefault="00000000">
      <w:pPr>
        <w:pStyle w:val="FirstParagraph"/>
      </w:pPr>
      <w:r>
        <w:t xml:space="preserve">Four references guard against a reviewer dismissing this paper’s results on methodological grounds. Axelsson [R32] shows that because attacks are rare, even a highly accurate </w:t>
      </w:r>
      <w:r>
        <w:lastRenderedPageBreak/>
        <w:t xml:space="preserve">detector produces mostly false alarms — the base-rate fallacy — which is the reason this work reports expected cost per session rather than raw accuracy, and the reason the benign-diversion rate is reported as a headline figure rather than a footnote. Sommer and Paxson [R33], winner of the 2020 IEEE Test of Time award, explain why machine-learning anomaly detection is common in the literature and rare in production: the cost of a false positive, the lack of good ground truth, and the “semantic gap” between an anomaly and an action — the present bait mechanism closes that semantic gap by turning an anomaly into an act. Arp et al. [R34] name ten common pitfalls in security machine learning — sampling bias, label inaccuracy, data snooping, spurious correlations, inappropriate baselines, among others — against which the frozen schema, frozen cost table, separate calibration round, and refusal to mix attack rounds used in this work’s design are each an explicit, named answer. Ferguson-Walter, Major, Johnson, and Muhleman [R35] run a controlled experiment with professional red teamers testing both real decoys and the purely psychological effect of telling attackers deception might be present, providing the model for the present work’s randomised holdout and evidence that this field </w:t>
      </w:r>
      <w:r>
        <w:rPr>
          <w:i/>
          <w:iCs/>
        </w:rPr>
        <w:t>can</w:t>
      </w:r>
      <w:r>
        <w:t xml:space="preserve"> support causal claims, though it rarely does.</w:t>
      </w:r>
    </w:p>
    <w:p w14:paraId="517E8918" w14:textId="77777777" w:rsidR="00962DB6" w:rsidRDefault="00000000">
      <w:pPr>
        <w:pStyle w:val="Heading2"/>
      </w:pPr>
      <w:bookmarkStart w:id="25" w:name="supporting-work"/>
      <w:bookmarkEnd w:id="24"/>
      <w:r>
        <w:t>3.13 Supporting Work</w:t>
      </w:r>
    </w:p>
    <w:p w14:paraId="7E5E4A5C" w14:textId="77777777" w:rsidR="00962DB6" w:rsidRDefault="00000000">
      <w:pPr>
        <w:pStyle w:val="FirstParagraph"/>
      </w:pPr>
      <w:r>
        <w:t xml:space="preserve">Schneier and Kelsey [R36] give a cheap method for making log entries written before a compromise impossible to read, modify, or destroy undetectably — the citation behind this work’s hash-chained, append-only log store. Cho et al. [R37] survey moving target defence, the other principal proactive-defence family, which keeps changing the system so an attacker’s knowledge goes stale, in contrast to deception, which changes the attacker’s </w:t>
      </w:r>
      <w:r>
        <w:rPr>
          <w:i/>
          <w:iCs/>
        </w:rPr>
        <w:t>beliefs</w:t>
      </w:r>
      <w:r>
        <w:t xml:space="preserve">; the present work belongs to the latter category. Schuirmann [R38] is the origin of the Two One-Sided Tests (TOST) equivalence procedure, the statistical basis for this work’s invisibility gate: a non-significant difference is not evidence of invisibility, whereas TOST allows a bound to be stated and tested </w:t>
      </w:r>
      <w:r>
        <w:rPr>
          <w:i/>
          <w:iCs/>
        </w:rPr>
        <w:t>for</w:t>
      </w:r>
      <w:r>
        <w:t xml:space="preserve"> equivalence directly.</w:t>
      </w:r>
    </w:p>
    <w:p w14:paraId="0257BA2A" w14:textId="77777777" w:rsidR="00962DB6" w:rsidRDefault="00000000">
      <w:pPr>
        <w:pStyle w:val="BodyText"/>
      </w:pPr>
      <w:r>
        <w:t xml:space="preserve">At the survey level, several broader retrospectives are useful for scoping and situating this work without being tied to any single technical component. A systematic meta-survey of cyber deception identifies coverage gaps around tarpits, honey-encryption, and honey-patches in the prior survey literature, useful context for scoping what a related-work section should and should not claim to cover comprehensively. A retrospective spanning three decades of deception techniques in active cyber defence, using a cyber-kill-chain taxonomy from the late 1980s through 2021, is the most useful single framework for situating a detection-triggered, mid-session diversion architecture along the kill chain, since such a defence intervenes </w:t>
      </w:r>
      <w:r>
        <w:rPr>
          <w:i/>
          <w:iCs/>
        </w:rPr>
        <w:t>after</w:t>
      </w:r>
      <w:r>
        <w:t xml:space="preserve"> initial access or reconnaissance has already begun against what the attacker believes is the real target, rather than being encountered from the first request.</w:t>
      </w:r>
    </w:p>
    <w:p w14:paraId="7A8D91C8" w14:textId="77777777" w:rsidR="00962DB6" w:rsidRDefault="00000000">
      <w:pPr>
        <w:pStyle w:val="Heading2"/>
      </w:pPr>
      <w:bookmarkStart w:id="26" w:name="comparative-analysis"/>
      <w:bookmarkEnd w:id="25"/>
      <w:r>
        <w:t>3.14 Comparative Analysis</w:t>
      </w:r>
    </w:p>
    <w:p w14:paraId="241E8C2A" w14:textId="77777777" w:rsidR="00962DB6" w:rsidRDefault="00000000">
      <w:pPr>
        <w:pStyle w:val="FirstParagraph"/>
      </w:pPr>
      <w:r>
        <w:t>The tables below summarise, in aggregate, how the present work relates to the thirty-eight primary references reviewed above.</w:t>
      </w:r>
    </w:p>
    <w:p w14:paraId="42F3DE08" w14:textId="77777777" w:rsidR="00962DB6" w:rsidRDefault="00000000">
      <w:pPr>
        <w:pStyle w:val="BodyText"/>
      </w:pPr>
      <w:r>
        <w:rPr>
          <w:b/>
          <w:bCs/>
        </w:rPr>
        <w:t>Table 1 — Master map of the primary reference set (selected entries by theme)</w:t>
      </w:r>
    </w:p>
    <w:tbl>
      <w:tblPr>
        <w:tblStyle w:val="Table"/>
        <w:tblW w:w="5000" w:type="pct"/>
        <w:tblLook w:val="0020" w:firstRow="1" w:lastRow="0" w:firstColumn="0" w:lastColumn="0" w:noHBand="0" w:noVBand="0"/>
      </w:tblPr>
      <w:tblGrid>
        <w:gridCol w:w="3059"/>
        <w:gridCol w:w="1349"/>
        <w:gridCol w:w="5168"/>
      </w:tblGrid>
      <w:tr w:rsidR="00962DB6" w14:paraId="5F908A6B" w14:textId="77777777" w:rsidTr="00962DB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2099AA48" w14:textId="77777777" w:rsidR="00962DB6" w:rsidRDefault="00000000">
            <w:pPr>
              <w:pStyle w:val="Compact"/>
            </w:pPr>
            <w:r>
              <w:lastRenderedPageBreak/>
              <w:t>Theme</w:t>
            </w:r>
          </w:p>
        </w:tc>
        <w:tc>
          <w:tcPr>
            <w:tcW w:w="0" w:type="auto"/>
          </w:tcPr>
          <w:p w14:paraId="422649AC" w14:textId="77777777" w:rsidR="00962DB6" w:rsidRDefault="00000000">
            <w:pPr>
              <w:pStyle w:val="Compact"/>
            </w:pPr>
            <w:r>
              <w:t>References</w:t>
            </w:r>
          </w:p>
        </w:tc>
        <w:tc>
          <w:tcPr>
            <w:tcW w:w="0" w:type="auto"/>
          </w:tcPr>
          <w:p w14:paraId="51E52A31" w14:textId="77777777" w:rsidR="00962DB6" w:rsidRDefault="00000000">
            <w:pPr>
              <w:pStyle w:val="Compact"/>
            </w:pPr>
            <w:r>
              <w:t>Focus</w:t>
            </w:r>
          </w:p>
        </w:tc>
      </w:tr>
      <w:tr w:rsidR="00962DB6" w14:paraId="494973C3" w14:textId="77777777" w:rsidTr="00962DB6">
        <w:trPr>
          <w:cantSplit/>
        </w:trPr>
        <w:tc>
          <w:tcPr>
            <w:tcW w:w="0" w:type="auto"/>
          </w:tcPr>
          <w:p w14:paraId="471B04EF" w14:textId="77777777" w:rsidR="00962DB6" w:rsidRDefault="00000000">
            <w:pPr>
              <w:pStyle w:val="Compact"/>
            </w:pPr>
            <w:r>
              <w:t>A — Deception theory and surveys</w:t>
            </w:r>
          </w:p>
        </w:tc>
        <w:tc>
          <w:tcPr>
            <w:tcW w:w="0" w:type="auto"/>
          </w:tcPr>
          <w:p w14:paraId="72992B66" w14:textId="77777777" w:rsidR="00962DB6" w:rsidRDefault="00000000">
            <w:pPr>
              <w:pStyle w:val="Compact"/>
            </w:pPr>
            <w:r>
              <w:t>R1–R5</w:t>
            </w:r>
          </w:p>
        </w:tc>
        <w:tc>
          <w:tcPr>
            <w:tcW w:w="0" w:type="auto"/>
          </w:tcPr>
          <w:p w14:paraId="7922DB71" w14:textId="77777777" w:rsidR="00962DB6" w:rsidRDefault="00000000">
            <w:pPr>
              <w:pStyle w:val="Compact"/>
            </w:pPr>
            <w:r>
              <w:t>Taxonomies and open challenges in cyber deception, 2014–2025</w:t>
            </w:r>
          </w:p>
        </w:tc>
      </w:tr>
      <w:tr w:rsidR="00962DB6" w14:paraId="6B17114E" w14:textId="77777777" w:rsidTr="00962DB6">
        <w:trPr>
          <w:cantSplit/>
        </w:trPr>
        <w:tc>
          <w:tcPr>
            <w:tcW w:w="0" w:type="auto"/>
          </w:tcPr>
          <w:p w14:paraId="21EAE778" w14:textId="77777777" w:rsidR="00962DB6" w:rsidRDefault="00000000">
            <w:pPr>
              <w:pStyle w:val="Compact"/>
            </w:pPr>
            <w:r>
              <w:t>B — Honeypots</w:t>
            </w:r>
          </w:p>
        </w:tc>
        <w:tc>
          <w:tcPr>
            <w:tcW w:w="0" w:type="auto"/>
          </w:tcPr>
          <w:p w14:paraId="4BBEA216" w14:textId="77777777" w:rsidR="00962DB6" w:rsidRDefault="00000000">
            <w:pPr>
              <w:pStyle w:val="Compact"/>
            </w:pPr>
            <w:r>
              <w:t>R6–R10</w:t>
            </w:r>
          </w:p>
        </w:tc>
        <w:tc>
          <w:tcPr>
            <w:tcW w:w="0" w:type="auto"/>
          </w:tcPr>
          <w:p w14:paraId="6B5D085F" w14:textId="77777777" w:rsidR="00962DB6" w:rsidRDefault="00000000">
            <w:pPr>
              <w:pStyle w:val="Compact"/>
            </w:pPr>
            <w:r>
              <w:t>Classical, network-level honeypots; placement and fingerprinting</w:t>
            </w:r>
          </w:p>
        </w:tc>
      </w:tr>
      <w:tr w:rsidR="00962DB6" w14:paraId="31EE4E4B" w14:textId="77777777" w:rsidTr="00962DB6">
        <w:trPr>
          <w:cantSplit/>
        </w:trPr>
        <w:tc>
          <w:tcPr>
            <w:tcW w:w="0" w:type="auto"/>
          </w:tcPr>
          <w:p w14:paraId="6EFFD3A5" w14:textId="77777777" w:rsidR="00962DB6" w:rsidRDefault="00000000">
            <w:pPr>
              <w:pStyle w:val="Compact"/>
            </w:pPr>
            <w:r>
              <w:t>C — LLM-based honeypots</w:t>
            </w:r>
          </w:p>
        </w:tc>
        <w:tc>
          <w:tcPr>
            <w:tcW w:w="0" w:type="auto"/>
          </w:tcPr>
          <w:p w14:paraId="676759F3" w14:textId="77777777" w:rsidR="00962DB6" w:rsidRDefault="00000000">
            <w:pPr>
              <w:pStyle w:val="Compact"/>
            </w:pPr>
            <w:r>
              <w:t>R11–R13</w:t>
            </w:r>
          </w:p>
        </w:tc>
        <w:tc>
          <w:tcPr>
            <w:tcW w:w="0" w:type="auto"/>
          </w:tcPr>
          <w:p w14:paraId="02F2A69C" w14:textId="77777777" w:rsidR="00962DB6" w:rsidRDefault="00000000">
            <w:pPr>
              <w:pStyle w:val="Compact"/>
            </w:pPr>
            <w:r>
              <w:t>Generative, LLM-driven honeypot content and its evaluation</w:t>
            </w:r>
          </w:p>
        </w:tc>
      </w:tr>
      <w:tr w:rsidR="00962DB6" w14:paraId="1721C560" w14:textId="77777777" w:rsidTr="00962DB6">
        <w:trPr>
          <w:cantSplit/>
        </w:trPr>
        <w:tc>
          <w:tcPr>
            <w:tcW w:w="0" w:type="auto"/>
          </w:tcPr>
          <w:p w14:paraId="1E3E5FC1" w14:textId="77777777" w:rsidR="00962DB6" w:rsidRDefault="00000000">
            <w:pPr>
              <w:pStyle w:val="Compact"/>
            </w:pPr>
            <w:r>
              <w:t>D — Honeytokens, decoys, bait</w:t>
            </w:r>
          </w:p>
        </w:tc>
        <w:tc>
          <w:tcPr>
            <w:tcW w:w="0" w:type="auto"/>
          </w:tcPr>
          <w:p w14:paraId="59EC24B0" w14:textId="77777777" w:rsidR="00962DB6" w:rsidRDefault="00000000">
            <w:pPr>
              <w:pStyle w:val="Compact"/>
            </w:pPr>
            <w:r>
              <w:t>R14–R18</w:t>
            </w:r>
          </w:p>
        </w:tc>
        <w:tc>
          <w:tcPr>
            <w:tcW w:w="0" w:type="auto"/>
          </w:tcPr>
          <w:p w14:paraId="534848E8" w14:textId="77777777" w:rsidR="00962DB6" w:rsidRDefault="00000000">
            <w:pPr>
              <w:pStyle w:val="Compact"/>
            </w:pPr>
            <w:r>
              <w:t>Static tripwires: honeyfiles, decoy documents, honeywords</w:t>
            </w:r>
          </w:p>
        </w:tc>
      </w:tr>
      <w:tr w:rsidR="00962DB6" w14:paraId="12B51D52" w14:textId="77777777" w:rsidTr="00962DB6">
        <w:trPr>
          <w:cantSplit/>
        </w:trPr>
        <w:tc>
          <w:tcPr>
            <w:tcW w:w="0" w:type="auto"/>
          </w:tcPr>
          <w:p w14:paraId="059DA63B" w14:textId="77777777" w:rsidR="00962DB6" w:rsidRDefault="00000000">
            <w:pPr>
              <w:pStyle w:val="Compact"/>
            </w:pPr>
            <w:r>
              <w:t>E — Application-layer deception</w:t>
            </w:r>
          </w:p>
        </w:tc>
        <w:tc>
          <w:tcPr>
            <w:tcW w:w="0" w:type="auto"/>
          </w:tcPr>
          <w:p w14:paraId="0BFEDB4F" w14:textId="77777777" w:rsidR="00962DB6" w:rsidRDefault="00000000">
            <w:pPr>
              <w:pStyle w:val="Compact"/>
            </w:pPr>
            <w:r>
              <w:t>R19–R21</w:t>
            </w:r>
          </w:p>
        </w:tc>
        <w:tc>
          <w:tcPr>
            <w:tcW w:w="0" w:type="auto"/>
          </w:tcPr>
          <w:p w14:paraId="4B30302D" w14:textId="77777777" w:rsidR="00962DB6" w:rsidRDefault="00000000">
            <w:pPr>
              <w:pStyle w:val="Compact"/>
            </w:pPr>
            <w:r>
              <w:t>Deception embedded in a live application’s own responses</w:t>
            </w:r>
          </w:p>
        </w:tc>
      </w:tr>
      <w:tr w:rsidR="00962DB6" w14:paraId="27988BF2" w14:textId="77777777" w:rsidTr="00962DB6">
        <w:trPr>
          <w:cantSplit/>
        </w:trPr>
        <w:tc>
          <w:tcPr>
            <w:tcW w:w="0" w:type="auto"/>
          </w:tcPr>
          <w:p w14:paraId="493286A4" w14:textId="77777777" w:rsidR="00962DB6" w:rsidRDefault="00000000">
            <w:pPr>
              <w:pStyle w:val="Compact"/>
            </w:pPr>
            <w:r>
              <w:t>F — Web attack detection / WAFs</w:t>
            </w:r>
          </w:p>
        </w:tc>
        <w:tc>
          <w:tcPr>
            <w:tcW w:w="0" w:type="auto"/>
          </w:tcPr>
          <w:p w14:paraId="32640FBB" w14:textId="77777777" w:rsidR="00962DB6" w:rsidRDefault="00000000">
            <w:pPr>
              <w:pStyle w:val="Compact"/>
            </w:pPr>
            <w:r>
              <w:t>R22–R26</w:t>
            </w:r>
          </w:p>
        </w:tc>
        <w:tc>
          <w:tcPr>
            <w:tcW w:w="0" w:type="auto"/>
          </w:tcPr>
          <w:p w14:paraId="43BC3DB8" w14:textId="77777777" w:rsidR="00962DB6" w:rsidRDefault="00000000">
            <w:pPr>
              <w:pStyle w:val="Compact"/>
            </w:pPr>
            <w:r>
              <w:t>Passive, pattern- and anomaly-based detection</w:t>
            </w:r>
          </w:p>
        </w:tc>
      </w:tr>
      <w:tr w:rsidR="00962DB6" w14:paraId="6FD28D99" w14:textId="77777777" w:rsidTr="00962DB6">
        <w:trPr>
          <w:cantSplit/>
        </w:trPr>
        <w:tc>
          <w:tcPr>
            <w:tcW w:w="0" w:type="auto"/>
          </w:tcPr>
          <w:p w14:paraId="223D7D10" w14:textId="77777777" w:rsidR="00962DB6" w:rsidRDefault="00000000">
            <w:pPr>
              <w:pStyle w:val="Compact"/>
            </w:pPr>
            <w:r>
              <w:t>G — Bot and automation detection</w:t>
            </w:r>
          </w:p>
        </w:tc>
        <w:tc>
          <w:tcPr>
            <w:tcW w:w="0" w:type="auto"/>
          </w:tcPr>
          <w:p w14:paraId="2BF3807E" w14:textId="77777777" w:rsidR="00962DB6" w:rsidRDefault="00000000">
            <w:pPr>
              <w:pStyle w:val="Compact"/>
            </w:pPr>
            <w:r>
              <w:t>R27–R28</w:t>
            </w:r>
          </w:p>
        </w:tc>
        <w:tc>
          <w:tcPr>
            <w:tcW w:w="0" w:type="auto"/>
          </w:tcPr>
          <w:p w14:paraId="379525A9" w14:textId="77777777" w:rsidR="00962DB6" w:rsidRDefault="00000000">
            <w:pPr>
              <w:pStyle w:val="Compact"/>
            </w:pPr>
            <w:r>
              <w:t>Distinguishing automated from human traffic</w:t>
            </w:r>
          </w:p>
        </w:tc>
      </w:tr>
      <w:tr w:rsidR="00962DB6" w14:paraId="6EF9BDA2" w14:textId="77777777" w:rsidTr="00962DB6">
        <w:trPr>
          <w:cantSplit/>
        </w:trPr>
        <w:tc>
          <w:tcPr>
            <w:tcW w:w="0" w:type="auto"/>
          </w:tcPr>
          <w:p w14:paraId="7B8F122D" w14:textId="77777777" w:rsidR="00962DB6" w:rsidRDefault="00000000">
            <w:pPr>
              <w:pStyle w:val="Compact"/>
            </w:pPr>
            <w:r>
              <w:t>H — Decision theory and cost</w:t>
            </w:r>
          </w:p>
        </w:tc>
        <w:tc>
          <w:tcPr>
            <w:tcW w:w="0" w:type="auto"/>
          </w:tcPr>
          <w:p w14:paraId="3AB94242" w14:textId="77777777" w:rsidR="00962DB6" w:rsidRDefault="00000000">
            <w:pPr>
              <w:pStyle w:val="Compact"/>
            </w:pPr>
            <w:r>
              <w:t>R29–R31</w:t>
            </w:r>
          </w:p>
        </w:tc>
        <w:tc>
          <w:tcPr>
            <w:tcW w:w="0" w:type="auto"/>
          </w:tcPr>
          <w:p w14:paraId="702FA5D5" w14:textId="77777777" w:rsidR="00962DB6" w:rsidRDefault="00000000">
            <w:pPr>
              <w:pStyle w:val="Compact"/>
            </w:pPr>
            <w:r>
              <w:t>Value of information; cost-sensitive decision-making</w:t>
            </w:r>
          </w:p>
        </w:tc>
      </w:tr>
      <w:tr w:rsidR="00962DB6" w14:paraId="5A97CE1D" w14:textId="77777777" w:rsidTr="00962DB6">
        <w:trPr>
          <w:cantSplit/>
        </w:trPr>
        <w:tc>
          <w:tcPr>
            <w:tcW w:w="0" w:type="auto"/>
          </w:tcPr>
          <w:p w14:paraId="7DECE75C" w14:textId="77777777" w:rsidR="00962DB6" w:rsidRDefault="00000000">
            <w:pPr>
              <w:pStyle w:val="Compact"/>
            </w:pPr>
            <w:r>
              <w:t>I — Security ML evaluation</w:t>
            </w:r>
          </w:p>
        </w:tc>
        <w:tc>
          <w:tcPr>
            <w:tcW w:w="0" w:type="auto"/>
          </w:tcPr>
          <w:p w14:paraId="0474A9D7" w14:textId="77777777" w:rsidR="00962DB6" w:rsidRDefault="00000000">
            <w:pPr>
              <w:pStyle w:val="Compact"/>
            </w:pPr>
            <w:r>
              <w:t>R32–R35</w:t>
            </w:r>
          </w:p>
        </w:tc>
        <w:tc>
          <w:tcPr>
            <w:tcW w:w="0" w:type="auto"/>
          </w:tcPr>
          <w:p w14:paraId="0AA44280" w14:textId="77777777" w:rsidR="00962DB6" w:rsidRDefault="00000000">
            <w:pPr>
              <w:pStyle w:val="Compact"/>
            </w:pPr>
            <w:r>
              <w:t>Base-rate effects, production pitfalls, causal evaluation</w:t>
            </w:r>
          </w:p>
        </w:tc>
      </w:tr>
      <w:tr w:rsidR="00962DB6" w14:paraId="51D4D889" w14:textId="77777777" w:rsidTr="00962DB6">
        <w:trPr>
          <w:cantSplit/>
        </w:trPr>
        <w:tc>
          <w:tcPr>
            <w:tcW w:w="0" w:type="auto"/>
          </w:tcPr>
          <w:p w14:paraId="0CCB0F6C" w14:textId="77777777" w:rsidR="00962DB6" w:rsidRDefault="00000000">
            <w:pPr>
              <w:pStyle w:val="Compact"/>
            </w:pPr>
            <w:r>
              <w:t>J — Supporting work</w:t>
            </w:r>
          </w:p>
        </w:tc>
        <w:tc>
          <w:tcPr>
            <w:tcW w:w="0" w:type="auto"/>
          </w:tcPr>
          <w:p w14:paraId="651B5063" w14:textId="77777777" w:rsidR="00962DB6" w:rsidRDefault="00000000">
            <w:pPr>
              <w:pStyle w:val="Compact"/>
            </w:pPr>
            <w:r>
              <w:t>R36–R38</w:t>
            </w:r>
          </w:p>
        </w:tc>
        <w:tc>
          <w:tcPr>
            <w:tcW w:w="0" w:type="auto"/>
          </w:tcPr>
          <w:p w14:paraId="63E7E1F8" w14:textId="77777777" w:rsidR="00962DB6" w:rsidRDefault="00000000">
            <w:pPr>
              <w:pStyle w:val="Compact"/>
            </w:pPr>
            <w:r>
              <w:t>Logging integrity, moving target defence, equivalence testing</w:t>
            </w:r>
          </w:p>
        </w:tc>
      </w:tr>
    </w:tbl>
    <w:p w14:paraId="6D83D9C2" w14:textId="77777777" w:rsidR="00962DB6" w:rsidRDefault="00000000">
      <w:pPr>
        <w:pStyle w:val="BodyText"/>
      </w:pPr>
      <w:r>
        <w:rPr>
          <w:b/>
          <w:bCs/>
        </w:rPr>
        <w:t>Table 2 — The three existing defence families compared with this work</w:t>
      </w:r>
    </w:p>
    <w:tbl>
      <w:tblPr>
        <w:tblStyle w:val="Table"/>
        <w:tblW w:w="5000" w:type="pct"/>
        <w:tblLook w:val="0020" w:firstRow="1" w:lastRow="0" w:firstColumn="0" w:lastColumn="0" w:noHBand="0" w:noVBand="0"/>
      </w:tblPr>
      <w:tblGrid>
        <w:gridCol w:w="2029"/>
        <w:gridCol w:w="2193"/>
        <w:gridCol w:w="1751"/>
        <w:gridCol w:w="1626"/>
        <w:gridCol w:w="1977"/>
      </w:tblGrid>
      <w:tr w:rsidR="00962DB6" w14:paraId="444A42E2" w14:textId="77777777" w:rsidTr="00962DB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645C715" w14:textId="77777777" w:rsidR="00962DB6" w:rsidRDefault="00962DB6">
            <w:pPr>
              <w:pStyle w:val="Compact"/>
            </w:pPr>
          </w:p>
        </w:tc>
        <w:tc>
          <w:tcPr>
            <w:tcW w:w="0" w:type="auto"/>
          </w:tcPr>
          <w:p w14:paraId="6DF36823" w14:textId="77777777" w:rsidR="00962DB6" w:rsidRDefault="00000000">
            <w:pPr>
              <w:pStyle w:val="Compact"/>
            </w:pPr>
            <w:r>
              <w:t>Rule-based WAF</w:t>
            </w:r>
          </w:p>
        </w:tc>
        <w:tc>
          <w:tcPr>
            <w:tcW w:w="0" w:type="auto"/>
          </w:tcPr>
          <w:p w14:paraId="2DEEFC21" w14:textId="77777777" w:rsidR="00962DB6" w:rsidRDefault="00000000">
            <w:pPr>
              <w:pStyle w:val="Compact"/>
            </w:pPr>
            <w:r>
              <w:t>ML classifier</w:t>
            </w:r>
          </w:p>
        </w:tc>
        <w:tc>
          <w:tcPr>
            <w:tcW w:w="0" w:type="auto"/>
          </w:tcPr>
          <w:p w14:paraId="444B49BE" w14:textId="77777777" w:rsidR="00962DB6" w:rsidRDefault="00000000">
            <w:pPr>
              <w:pStyle w:val="Compact"/>
            </w:pPr>
            <w:r>
              <w:t>Honeypot</w:t>
            </w:r>
          </w:p>
        </w:tc>
        <w:tc>
          <w:tcPr>
            <w:tcW w:w="0" w:type="auto"/>
          </w:tcPr>
          <w:p w14:paraId="1758CA01" w14:textId="77777777" w:rsidR="00962DB6" w:rsidRDefault="00000000">
            <w:pPr>
              <w:pStyle w:val="Compact"/>
            </w:pPr>
            <w:r>
              <w:t>This work</w:t>
            </w:r>
          </w:p>
        </w:tc>
      </w:tr>
      <w:tr w:rsidR="00962DB6" w14:paraId="474F6EF7" w14:textId="77777777" w:rsidTr="00962DB6">
        <w:trPr>
          <w:cantSplit/>
        </w:trPr>
        <w:tc>
          <w:tcPr>
            <w:tcW w:w="0" w:type="auto"/>
          </w:tcPr>
          <w:p w14:paraId="6FF4AC9E" w14:textId="77777777" w:rsidR="00962DB6" w:rsidRDefault="00000000">
            <w:pPr>
              <w:pStyle w:val="Compact"/>
            </w:pPr>
            <w:r>
              <w:t>Where it sits</w:t>
            </w:r>
          </w:p>
        </w:tc>
        <w:tc>
          <w:tcPr>
            <w:tcW w:w="0" w:type="auto"/>
          </w:tcPr>
          <w:p w14:paraId="188F2568" w14:textId="77777777" w:rsidR="00962DB6" w:rsidRDefault="00000000">
            <w:pPr>
              <w:pStyle w:val="Compact"/>
            </w:pPr>
            <w:r>
              <w:t>In front of the app</w:t>
            </w:r>
          </w:p>
        </w:tc>
        <w:tc>
          <w:tcPr>
            <w:tcW w:w="0" w:type="auto"/>
          </w:tcPr>
          <w:p w14:paraId="469AD1EF" w14:textId="77777777" w:rsidR="00962DB6" w:rsidRDefault="00000000">
            <w:pPr>
              <w:pStyle w:val="Compact"/>
            </w:pPr>
            <w:r>
              <w:t>In front of the app</w:t>
            </w:r>
          </w:p>
        </w:tc>
        <w:tc>
          <w:tcPr>
            <w:tcW w:w="0" w:type="auto"/>
          </w:tcPr>
          <w:p w14:paraId="3C749EC8" w14:textId="77777777" w:rsidR="00962DB6" w:rsidRDefault="00000000">
            <w:pPr>
              <w:pStyle w:val="Compact"/>
            </w:pPr>
            <w:r>
              <w:t>Beside the app</w:t>
            </w:r>
          </w:p>
        </w:tc>
        <w:tc>
          <w:tcPr>
            <w:tcW w:w="0" w:type="auto"/>
          </w:tcPr>
          <w:p w14:paraId="60FC3A24" w14:textId="77777777" w:rsidR="00962DB6" w:rsidRDefault="00000000">
            <w:pPr>
              <w:pStyle w:val="Compact"/>
            </w:pPr>
            <w:r>
              <w:t>In front of, and inside, the app</w:t>
            </w:r>
          </w:p>
        </w:tc>
      </w:tr>
      <w:tr w:rsidR="00962DB6" w14:paraId="2DE8DD22" w14:textId="77777777" w:rsidTr="00962DB6">
        <w:trPr>
          <w:cantSplit/>
        </w:trPr>
        <w:tc>
          <w:tcPr>
            <w:tcW w:w="0" w:type="auto"/>
          </w:tcPr>
          <w:p w14:paraId="4D60C52F" w14:textId="77777777" w:rsidR="00962DB6" w:rsidRDefault="00000000">
            <w:pPr>
              <w:pStyle w:val="Compact"/>
            </w:pPr>
            <w:r>
              <w:t>Source of evidence</w:t>
            </w:r>
          </w:p>
        </w:tc>
        <w:tc>
          <w:tcPr>
            <w:tcW w:w="0" w:type="auto"/>
          </w:tcPr>
          <w:p w14:paraId="1479728B" w14:textId="77777777" w:rsidR="00962DB6" w:rsidRDefault="00000000">
            <w:pPr>
              <w:pStyle w:val="Compact"/>
            </w:pPr>
            <w:r>
              <w:t>Request matches a pattern</w:t>
            </w:r>
          </w:p>
        </w:tc>
        <w:tc>
          <w:tcPr>
            <w:tcW w:w="0" w:type="auto"/>
          </w:tcPr>
          <w:p w14:paraId="122C0981" w14:textId="77777777" w:rsidR="00962DB6" w:rsidRDefault="00000000">
            <w:pPr>
              <w:pStyle w:val="Compact"/>
            </w:pPr>
            <w:r>
              <w:t>Request looks unusual</w:t>
            </w:r>
          </w:p>
        </w:tc>
        <w:tc>
          <w:tcPr>
            <w:tcW w:w="0" w:type="auto"/>
          </w:tcPr>
          <w:p w14:paraId="3E754685" w14:textId="77777777" w:rsidR="00962DB6" w:rsidRDefault="00000000">
            <w:pPr>
              <w:pStyle w:val="Compact"/>
            </w:pPr>
            <w:r>
              <w:t>Attacker walks in</w:t>
            </w:r>
          </w:p>
        </w:tc>
        <w:tc>
          <w:tcPr>
            <w:tcW w:w="0" w:type="auto"/>
          </w:tcPr>
          <w:p w14:paraId="341F400C" w14:textId="77777777" w:rsidR="00962DB6" w:rsidRDefault="00000000">
            <w:pPr>
              <w:pStyle w:val="Compact"/>
            </w:pPr>
            <w:r>
              <w:t>Defender provokes a reaction</w:t>
            </w:r>
          </w:p>
        </w:tc>
      </w:tr>
      <w:tr w:rsidR="00962DB6" w14:paraId="60918A6D" w14:textId="77777777" w:rsidTr="00962DB6">
        <w:trPr>
          <w:cantSplit/>
        </w:trPr>
        <w:tc>
          <w:tcPr>
            <w:tcW w:w="0" w:type="auto"/>
          </w:tcPr>
          <w:p w14:paraId="597833D9" w14:textId="77777777" w:rsidR="00962DB6" w:rsidRDefault="00000000">
            <w:pPr>
              <w:pStyle w:val="Compact"/>
            </w:pPr>
            <w:r>
              <w:t>Evidence arrives</w:t>
            </w:r>
          </w:p>
        </w:tc>
        <w:tc>
          <w:tcPr>
            <w:tcW w:w="0" w:type="auto"/>
          </w:tcPr>
          <w:p w14:paraId="7369E525" w14:textId="77777777" w:rsidR="00962DB6" w:rsidRDefault="00000000">
            <w:pPr>
              <w:pStyle w:val="Compact"/>
            </w:pPr>
            <w:r>
              <w:t>Immediately, often wrong</w:t>
            </w:r>
          </w:p>
        </w:tc>
        <w:tc>
          <w:tcPr>
            <w:tcW w:w="0" w:type="auto"/>
          </w:tcPr>
          <w:p w14:paraId="4088AA10" w14:textId="77777777" w:rsidR="00962DB6" w:rsidRDefault="00000000">
            <w:pPr>
              <w:pStyle w:val="Compact"/>
            </w:pPr>
            <w:r>
              <w:t>Slowly</w:t>
            </w:r>
          </w:p>
        </w:tc>
        <w:tc>
          <w:tcPr>
            <w:tcW w:w="0" w:type="auto"/>
          </w:tcPr>
          <w:p w14:paraId="55F0F7C3" w14:textId="77777777" w:rsidR="00962DB6" w:rsidRDefault="00000000">
            <w:pPr>
              <w:pStyle w:val="Compact"/>
            </w:pPr>
            <w:r>
              <w:t>Only if attacker strays</w:t>
            </w:r>
          </w:p>
        </w:tc>
        <w:tc>
          <w:tcPr>
            <w:tcW w:w="0" w:type="auto"/>
          </w:tcPr>
          <w:p w14:paraId="185DC66A" w14:textId="77777777" w:rsidR="00962DB6" w:rsidRDefault="00000000">
            <w:pPr>
              <w:pStyle w:val="Compact"/>
            </w:pPr>
            <w:r>
              <w:t>On demand, when uncertain</w:t>
            </w:r>
          </w:p>
        </w:tc>
      </w:tr>
      <w:tr w:rsidR="00962DB6" w14:paraId="102A3924" w14:textId="77777777" w:rsidTr="00962DB6">
        <w:trPr>
          <w:cantSplit/>
        </w:trPr>
        <w:tc>
          <w:tcPr>
            <w:tcW w:w="0" w:type="auto"/>
          </w:tcPr>
          <w:p w14:paraId="4A786119" w14:textId="77777777" w:rsidR="00962DB6" w:rsidRDefault="00000000">
            <w:pPr>
              <w:pStyle w:val="Compact"/>
            </w:pPr>
            <w:r>
              <w:t>Attacker learns they were caught</w:t>
            </w:r>
          </w:p>
        </w:tc>
        <w:tc>
          <w:tcPr>
            <w:tcW w:w="0" w:type="auto"/>
          </w:tcPr>
          <w:p w14:paraId="0731CC56" w14:textId="77777777" w:rsidR="00962DB6" w:rsidRDefault="00000000">
            <w:pPr>
              <w:pStyle w:val="Compact"/>
            </w:pPr>
            <w:r>
              <w:t>Yes (blocked)</w:t>
            </w:r>
          </w:p>
        </w:tc>
        <w:tc>
          <w:tcPr>
            <w:tcW w:w="0" w:type="auto"/>
          </w:tcPr>
          <w:p w14:paraId="1C78A0F6" w14:textId="77777777" w:rsidR="00962DB6" w:rsidRDefault="00000000">
            <w:pPr>
              <w:pStyle w:val="Compact"/>
            </w:pPr>
            <w:r>
              <w:t>Often (blocked)</w:t>
            </w:r>
          </w:p>
        </w:tc>
        <w:tc>
          <w:tcPr>
            <w:tcW w:w="0" w:type="auto"/>
          </w:tcPr>
          <w:p w14:paraId="5AC3CD2A" w14:textId="77777777" w:rsidR="00962DB6" w:rsidRDefault="00000000">
            <w:pPr>
              <w:pStyle w:val="Compact"/>
            </w:pPr>
            <w:r>
              <w:t>No</w:t>
            </w:r>
          </w:p>
        </w:tc>
        <w:tc>
          <w:tcPr>
            <w:tcW w:w="0" w:type="auto"/>
          </w:tcPr>
          <w:p w14:paraId="24A2AF42" w14:textId="77777777" w:rsidR="00962DB6" w:rsidRDefault="00000000">
            <w:pPr>
              <w:pStyle w:val="Compact"/>
            </w:pPr>
            <w:r>
              <w:t>No (silent divert)</w:t>
            </w:r>
          </w:p>
        </w:tc>
      </w:tr>
      <w:tr w:rsidR="00962DB6" w14:paraId="3C968BD9" w14:textId="77777777" w:rsidTr="00962DB6">
        <w:trPr>
          <w:cantSplit/>
        </w:trPr>
        <w:tc>
          <w:tcPr>
            <w:tcW w:w="0" w:type="auto"/>
          </w:tcPr>
          <w:p w14:paraId="3EDEDC77" w14:textId="77777777" w:rsidR="00962DB6" w:rsidRDefault="00000000">
            <w:pPr>
              <w:pStyle w:val="Compact"/>
            </w:pPr>
            <w:r>
              <w:t>Cost to honest users</w:t>
            </w:r>
          </w:p>
        </w:tc>
        <w:tc>
          <w:tcPr>
            <w:tcW w:w="0" w:type="auto"/>
          </w:tcPr>
          <w:p w14:paraId="06BC9887" w14:textId="77777777" w:rsidR="00962DB6" w:rsidRDefault="00000000">
            <w:pPr>
              <w:pStyle w:val="Compact"/>
            </w:pPr>
            <w:r>
              <w:t>False blocks</w:t>
            </w:r>
          </w:p>
        </w:tc>
        <w:tc>
          <w:tcPr>
            <w:tcW w:w="0" w:type="auto"/>
          </w:tcPr>
          <w:p w14:paraId="0C34179D" w14:textId="77777777" w:rsidR="00962DB6" w:rsidRDefault="00000000">
            <w:pPr>
              <w:pStyle w:val="Compact"/>
            </w:pPr>
            <w:r>
              <w:t>False alarms</w:t>
            </w:r>
          </w:p>
        </w:tc>
        <w:tc>
          <w:tcPr>
            <w:tcW w:w="0" w:type="auto"/>
          </w:tcPr>
          <w:p w14:paraId="457A87B9" w14:textId="77777777" w:rsidR="00962DB6" w:rsidRDefault="00000000">
            <w:pPr>
              <w:pStyle w:val="Compact"/>
            </w:pPr>
            <w:r>
              <w:t>None</w:t>
            </w:r>
          </w:p>
        </w:tc>
        <w:tc>
          <w:tcPr>
            <w:tcW w:w="0" w:type="auto"/>
          </w:tcPr>
          <w:p w14:paraId="08B5AC10" w14:textId="77777777" w:rsidR="00962DB6" w:rsidRDefault="00000000">
            <w:pPr>
              <w:pStyle w:val="Compact"/>
            </w:pPr>
            <w:r>
              <w:t>Measured, bounded by the gate</w:t>
            </w:r>
          </w:p>
        </w:tc>
      </w:tr>
      <w:tr w:rsidR="00962DB6" w14:paraId="665B7936" w14:textId="77777777" w:rsidTr="00962DB6">
        <w:trPr>
          <w:cantSplit/>
        </w:trPr>
        <w:tc>
          <w:tcPr>
            <w:tcW w:w="0" w:type="auto"/>
          </w:tcPr>
          <w:p w14:paraId="767FD9D9" w14:textId="77777777" w:rsidR="00962DB6" w:rsidRDefault="00000000">
            <w:pPr>
              <w:pStyle w:val="Compact"/>
            </w:pPr>
            <w:r>
              <w:t>Threshold source</w:t>
            </w:r>
          </w:p>
        </w:tc>
        <w:tc>
          <w:tcPr>
            <w:tcW w:w="0" w:type="auto"/>
          </w:tcPr>
          <w:p w14:paraId="21D547C1" w14:textId="77777777" w:rsidR="00962DB6" w:rsidRDefault="00000000">
            <w:pPr>
              <w:pStyle w:val="Compact"/>
            </w:pPr>
            <w:r>
              <w:t>Administrator’s choice</w:t>
            </w:r>
          </w:p>
        </w:tc>
        <w:tc>
          <w:tcPr>
            <w:tcW w:w="0" w:type="auto"/>
          </w:tcPr>
          <w:p w14:paraId="0E2E7C93" w14:textId="77777777" w:rsidR="00962DB6" w:rsidRDefault="00000000">
            <w:pPr>
              <w:pStyle w:val="Compact"/>
            </w:pPr>
            <w:r>
              <w:t>Tuned on a validation set</w:t>
            </w:r>
          </w:p>
        </w:tc>
        <w:tc>
          <w:tcPr>
            <w:tcW w:w="0" w:type="auto"/>
          </w:tcPr>
          <w:p w14:paraId="286DD57E" w14:textId="77777777" w:rsidR="00962DB6" w:rsidRDefault="00000000">
            <w:pPr>
              <w:pStyle w:val="Compact"/>
            </w:pPr>
            <w:r>
              <w:t>n/a</w:t>
            </w:r>
          </w:p>
        </w:tc>
        <w:tc>
          <w:tcPr>
            <w:tcW w:w="0" w:type="auto"/>
          </w:tcPr>
          <w:p w14:paraId="18A3FE32" w14:textId="77777777" w:rsidR="00962DB6" w:rsidRDefault="00000000">
            <w:pPr>
              <w:pStyle w:val="Compact"/>
            </w:pPr>
            <w:r>
              <w:t>Derived from cost table + EVSI</w:t>
            </w:r>
          </w:p>
        </w:tc>
      </w:tr>
    </w:tbl>
    <w:p w14:paraId="5E45FD88" w14:textId="77777777" w:rsidR="00962DB6" w:rsidRDefault="00000000">
      <w:pPr>
        <w:pStyle w:val="BodyText"/>
      </w:pPr>
      <w:r>
        <w:rPr>
          <w:b/>
          <w:bCs/>
        </w:rPr>
        <w:t>Table 3 — Where the deception is placed</w:t>
      </w:r>
    </w:p>
    <w:tbl>
      <w:tblPr>
        <w:tblStyle w:val="Table"/>
        <w:tblW w:w="5000" w:type="pct"/>
        <w:tblLook w:val="0020" w:firstRow="1" w:lastRow="0" w:firstColumn="0" w:lastColumn="0" w:noHBand="0" w:noVBand="0"/>
      </w:tblPr>
      <w:tblGrid>
        <w:gridCol w:w="1919"/>
        <w:gridCol w:w="1898"/>
        <w:gridCol w:w="2313"/>
        <w:gridCol w:w="1915"/>
        <w:gridCol w:w="1531"/>
      </w:tblGrid>
      <w:tr w:rsidR="00962DB6" w14:paraId="37A5C93F" w14:textId="77777777" w:rsidTr="00962DB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3E1C4058" w14:textId="77777777" w:rsidR="00962DB6" w:rsidRDefault="00000000">
            <w:pPr>
              <w:pStyle w:val="Compact"/>
            </w:pPr>
            <w:r>
              <w:lastRenderedPageBreak/>
              <w:t>Layer</w:t>
            </w:r>
          </w:p>
        </w:tc>
        <w:tc>
          <w:tcPr>
            <w:tcW w:w="0" w:type="auto"/>
          </w:tcPr>
          <w:p w14:paraId="5CDD460F" w14:textId="77777777" w:rsidR="00962DB6" w:rsidRDefault="00000000">
            <w:pPr>
              <w:pStyle w:val="Compact"/>
            </w:pPr>
            <w:r>
              <w:t>Representative refs</w:t>
            </w:r>
          </w:p>
        </w:tc>
        <w:tc>
          <w:tcPr>
            <w:tcW w:w="0" w:type="auto"/>
          </w:tcPr>
          <w:p w14:paraId="2FD5A257" w14:textId="77777777" w:rsidR="00962DB6" w:rsidRDefault="00000000">
            <w:pPr>
              <w:pStyle w:val="Compact"/>
            </w:pPr>
            <w:r>
              <w:t>What is faked</w:t>
            </w:r>
          </w:p>
        </w:tc>
        <w:tc>
          <w:tcPr>
            <w:tcW w:w="0" w:type="auto"/>
          </w:tcPr>
          <w:p w14:paraId="31C1A4DF" w14:textId="77777777" w:rsidR="00962DB6" w:rsidRDefault="00000000">
            <w:pPr>
              <w:pStyle w:val="Compact"/>
            </w:pPr>
            <w:r>
              <w:t>Reaches attackers on the real site?</w:t>
            </w:r>
          </w:p>
        </w:tc>
        <w:tc>
          <w:tcPr>
            <w:tcW w:w="0" w:type="auto"/>
          </w:tcPr>
          <w:p w14:paraId="6CDEBA81" w14:textId="77777777" w:rsidR="00962DB6" w:rsidRDefault="00000000">
            <w:pPr>
              <w:pStyle w:val="Compact"/>
            </w:pPr>
            <w:r>
              <w:t>Chosen per visitor?</w:t>
            </w:r>
          </w:p>
        </w:tc>
      </w:tr>
      <w:tr w:rsidR="00962DB6" w14:paraId="6CBCEE56" w14:textId="77777777" w:rsidTr="00962DB6">
        <w:trPr>
          <w:cantSplit/>
        </w:trPr>
        <w:tc>
          <w:tcPr>
            <w:tcW w:w="0" w:type="auto"/>
          </w:tcPr>
          <w:p w14:paraId="6E263C64" w14:textId="77777777" w:rsidR="00962DB6" w:rsidRDefault="00000000">
            <w:pPr>
              <w:pStyle w:val="Compact"/>
            </w:pPr>
            <w:r>
              <w:t>Network / host</w:t>
            </w:r>
          </w:p>
        </w:tc>
        <w:tc>
          <w:tcPr>
            <w:tcW w:w="0" w:type="auto"/>
          </w:tcPr>
          <w:p w14:paraId="4BE7C59C" w14:textId="77777777" w:rsidR="00962DB6" w:rsidRDefault="00000000">
            <w:pPr>
              <w:pStyle w:val="Compact"/>
            </w:pPr>
            <w:r>
              <w:t>R6, R7</w:t>
            </w:r>
          </w:p>
        </w:tc>
        <w:tc>
          <w:tcPr>
            <w:tcW w:w="0" w:type="auto"/>
          </w:tcPr>
          <w:p w14:paraId="1594C020" w14:textId="77777777" w:rsidR="00962DB6" w:rsidRDefault="00000000">
            <w:pPr>
              <w:pStyle w:val="Compact"/>
            </w:pPr>
            <w:r>
              <w:t>Whole fake machines</w:t>
            </w:r>
          </w:p>
        </w:tc>
        <w:tc>
          <w:tcPr>
            <w:tcW w:w="0" w:type="auto"/>
          </w:tcPr>
          <w:p w14:paraId="069B45EC" w14:textId="77777777" w:rsidR="00962DB6" w:rsidRDefault="00000000">
            <w:pPr>
              <w:pStyle w:val="Compact"/>
            </w:pPr>
            <w:r>
              <w:t>No — separate address space</w:t>
            </w:r>
          </w:p>
        </w:tc>
        <w:tc>
          <w:tcPr>
            <w:tcW w:w="0" w:type="auto"/>
          </w:tcPr>
          <w:p w14:paraId="0DD62E5A" w14:textId="77777777" w:rsidR="00962DB6" w:rsidRDefault="00000000">
            <w:pPr>
              <w:pStyle w:val="Compact"/>
            </w:pPr>
            <w:r>
              <w:t>No</w:t>
            </w:r>
          </w:p>
        </w:tc>
      </w:tr>
      <w:tr w:rsidR="00962DB6" w14:paraId="589BEABF" w14:textId="77777777" w:rsidTr="00962DB6">
        <w:trPr>
          <w:cantSplit/>
        </w:trPr>
        <w:tc>
          <w:tcPr>
            <w:tcW w:w="0" w:type="auto"/>
          </w:tcPr>
          <w:p w14:paraId="27104990" w14:textId="77777777" w:rsidR="00962DB6" w:rsidRDefault="00000000">
            <w:pPr>
              <w:pStyle w:val="Compact"/>
            </w:pPr>
            <w:r>
              <w:t>File system</w:t>
            </w:r>
          </w:p>
        </w:tc>
        <w:tc>
          <w:tcPr>
            <w:tcW w:w="0" w:type="auto"/>
          </w:tcPr>
          <w:p w14:paraId="36E2D794" w14:textId="77777777" w:rsidR="00962DB6" w:rsidRDefault="00000000">
            <w:pPr>
              <w:pStyle w:val="Compact"/>
            </w:pPr>
            <w:r>
              <w:t>R14, R15, R18</w:t>
            </w:r>
          </w:p>
        </w:tc>
        <w:tc>
          <w:tcPr>
            <w:tcW w:w="0" w:type="auto"/>
          </w:tcPr>
          <w:p w14:paraId="3775206F" w14:textId="77777777" w:rsidR="00962DB6" w:rsidRDefault="00000000">
            <w:pPr>
              <w:pStyle w:val="Compact"/>
            </w:pPr>
            <w:r>
              <w:t>Fake documents</w:t>
            </w:r>
          </w:p>
        </w:tc>
        <w:tc>
          <w:tcPr>
            <w:tcW w:w="0" w:type="auto"/>
          </w:tcPr>
          <w:p w14:paraId="236A09BC" w14:textId="77777777" w:rsidR="00962DB6" w:rsidRDefault="00000000">
            <w:pPr>
              <w:pStyle w:val="Compact"/>
            </w:pPr>
            <w:r>
              <w:t>Only after break-in</w:t>
            </w:r>
          </w:p>
        </w:tc>
        <w:tc>
          <w:tcPr>
            <w:tcW w:w="0" w:type="auto"/>
          </w:tcPr>
          <w:p w14:paraId="360428BF" w14:textId="77777777" w:rsidR="00962DB6" w:rsidRDefault="00000000">
            <w:pPr>
              <w:pStyle w:val="Compact"/>
            </w:pPr>
            <w:r>
              <w:t>No</w:t>
            </w:r>
          </w:p>
        </w:tc>
      </w:tr>
      <w:tr w:rsidR="00962DB6" w14:paraId="362B68C7" w14:textId="77777777" w:rsidTr="00962DB6">
        <w:trPr>
          <w:cantSplit/>
        </w:trPr>
        <w:tc>
          <w:tcPr>
            <w:tcW w:w="0" w:type="auto"/>
          </w:tcPr>
          <w:p w14:paraId="7089868A" w14:textId="77777777" w:rsidR="00962DB6" w:rsidRDefault="00000000">
            <w:pPr>
              <w:pStyle w:val="Compact"/>
            </w:pPr>
            <w:r>
              <w:t>Credential store</w:t>
            </w:r>
          </w:p>
        </w:tc>
        <w:tc>
          <w:tcPr>
            <w:tcW w:w="0" w:type="auto"/>
          </w:tcPr>
          <w:p w14:paraId="66FB3E36" w14:textId="77777777" w:rsidR="00962DB6" w:rsidRDefault="00000000">
            <w:pPr>
              <w:pStyle w:val="Compact"/>
            </w:pPr>
            <w:r>
              <w:t>R16</w:t>
            </w:r>
          </w:p>
        </w:tc>
        <w:tc>
          <w:tcPr>
            <w:tcW w:w="0" w:type="auto"/>
          </w:tcPr>
          <w:p w14:paraId="4F8E94FA" w14:textId="77777777" w:rsidR="00962DB6" w:rsidRDefault="00000000">
            <w:pPr>
              <w:pStyle w:val="Compact"/>
            </w:pPr>
            <w:r>
              <w:t>Fake passwords</w:t>
            </w:r>
          </w:p>
        </w:tc>
        <w:tc>
          <w:tcPr>
            <w:tcW w:w="0" w:type="auto"/>
          </w:tcPr>
          <w:p w14:paraId="2BF62239" w14:textId="77777777" w:rsidR="00962DB6" w:rsidRDefault="00000000">
            <w:pPr>
              <w:pStyle w:val="Compact"/>
            </w:pPr>
            <w:r>
              <w:t>Only after database theft</w:t>
            </w:r>
          </w:p>
        </w:tc>
        <w:tc>
          <w:tcPr>
            <w:tcW w:w="0" w:type="auto"/>
          </w:tcPr>
          <w:p w14:paraId="1C8BB1A9" w14:textId="77777777" w:rsidR="00962DB6" w:rsidRDefault="00000000">
            <w:pPr>
              <w:pStyle w:val="Compact"/>
            </w:pPr>
            <w:r>
              <w:t>No</w:t>
            </w:r>
          </w:p>
        </w:tc>
      </w:tr>
      <w:tr w:rsidR="00962DB6" w14:paraId="02F51DE2" w14:textId="77777777" w:rsidTr="00962DB6">
        <w:trPr>
          <w:cantSplit/>
        </w:trPr>
        <w:tc>
          <w:tcPr>
            <w:tcW w:w="0" w:type="auto"/>
          </w:tcPr>
          <w:p w14:paraId="3A5F5F9A" w14:textId="77777777" w:rsidR="00962DB6" w:rsidRDefault="00000000">
            <w:pPr>
              <w:pStyle w:val="Compact"/>
            </w:pPr>
            <w:r>
              <w:t>Container / cluster config</w:t>
            </w:r>
          </w:p>
        </w:tc>
        <w:tc>
          <w:tcPr>
            <w:tcW w:w="0" w:type="auto"/>
          </w:tcPr>
          <w:p w14:paraId="77E37175" w14:textId="77777777" w:rsidR="00962DB6" w:rsidRDefault="00000000">
            <w:pPr>
              <w:pStyle w:val="Compact"/>
            </w:pPr>
            <w:r>
              <w:t>R21</w:t>
            </w:r>
          </w:p>
        </w:tc>
        <w:tc>
          <w:tcPr>
            <w:tcW w:w="0" w:type="auto"/>
          </w:tcPr>
          <w:p w14:paraId="6B847F86" w14:textId="77777777" w:rsidR="00962DB6" w:rsidRDefault="00000000">
            <w:pPr>
              <w:pStyle w:val="Compact"/>
            </w:pPr>
            <w:r>
              <w:t>Honeytokens, fake API endpoints</w:t>
            </w:r>
          </w:p>
        </w:tc>
        <w:tc>
          <w:tcPr>
            <w:tcW w:w="0" w:type="auto"/>
          </w:tcPr>
          <w:p w14:paraId="551D38C8" w14:textId="77777777" w:rsidR="00962DB6" w:rsidRDefault="00000000">
            <w:pPr>
              <w:pStyle w:val="Compact"/>
            </w:pPr>
            <w:r>
              <w:t>Yes, but statically placed</w:t>
            </w:r>
          </w:p>
        </w:tc>
        <w:tc>
          <w:tcPr>
            <w:tcW w:w="0" w:type="auto"/>
          </w:tcPr>
          <w:p w14:paraId="5D18294C" w14:textId="77777777" w:rsidR="00962DB6" w:rsidRDefault="00000000">
            <w:pPr>
              <w:pStyle w:val="Compact"/>
            </w:pPr>
            <w:r>
              <w:t>No</w:t>
            </w:r>
          </w:p>
        </w:tc>
      </w:tr>
      <w:tr w:rsidR="00962DB6" w14:paraId="4C123A4E" w14:textId="77777777" w:rsidTr="00962DB6">
        <w:trPr>
          <w:cantSplit/>
        </w:trPr>
        <w:tc>
          <w:tcPr>
            <w:tcW w:w="0" w:type="auto"/>
          </w:tcPr>
          <w:p w14:paraId="10880F57" w14:textId="77777777" w:rsidR="00962DB6" w:rsidRDefault="00000000">
            <w:pPr>
              <w:pStyle w:val="Compact"/>
            </w:pPr>
            <w:r>
              <w:t>Shell session</w:t>
            </w:r>
          </w:p>
        </w:tc>
        <w:tc>
          <w:tcPr>
            <w:tcW w:w="0" w:type="auto"/>
          </w:tcPr>
          <w:p w14:paraId="4EC144D7" w14:textId="77777777" w:rsidR="00962DB6" w:rsidRDefault="00000000">
            <w:pPr>
              <w:pStyle w:val="Compact"/>
            </w:pPr>
            <w:r>
              <w:t>R11, R12</w:t>
            </w:r>
          </w:p>
        </w:tc>
        <w:tc>
          <w:tcPr>
            <w:tcW w:w="0" w:type="auto"/>
          </w:tcPr>
          <w:p w14:paraId="677ABA7A" w14:textId="77777777" w:rsidR="00962DB6" w:rsidRDefault="00000000">
            <w:pPr>
              <w:pStyle w:val="Compact"/>
            </w:pPr>
            <w:r>
              <w:t>Generated shell output</w:t>
            </w:r>
          </w:p>
        </w:tc>
        <w:tc>
          <w:tcPr>
            <w:tcW w:w="0" w:type="auto"/>
          </w:tcPr>
          <w:p w14:paraId="6A50DA5F" w14:textId="77777777" w:rsidR="00962DB6" w:rsidRDefault="00000000">
            <w:pPr>
              <w:pStyle w:val="Compact"/>
            </w:pPr>
            <w:r>
              <w:t>Only inside the honeypot</w:t>
            </w:r>
          </w:p>
        </w:tc>
        <w:tc>
          <w:tcPr>
            <w:tcW w:w="0" w:type="auto"/>
          </w:tcPr>
          <w:p w14:paraId="3AD6589C" w14:textId="77777777" w:rsidR="00962DB6" w:rsidRDefault="00000000">
            <w:pPr>
              <w:pStyle w:val="Compact"/>
            </w:pPr>
            <w:r>
              <w:t>Partly (R12)</w:t>
            </w:r>
          </w:p>
        </w:tc>
      </w:tr>
      <w:tr w:rsidR="00962DB6" w14:paraId="086DC74F" w14:textId="77777777" w:rsidTr="00962DB6">
        <w:trPr>
          <w:cantSplit/>
        </w:trPr>
        <w:tc>
          <w:tcPr>
            <w:tcW w:w="0" w:type="auto"/>
          </w:tcPr>
          <w:p w14:paraId="72538FCF" w14:textId="77777777" w:rsidR="00962DB6" w:rsidRDefault="00000000">
            <w:pPr>
              <w:pStyle w:val="Compact"/>
            </w:pPr>
            <w:r>
              <w:rPr>
                <w:b/>
                <w:bCs/>
              </w:rPr>
              <w:t>HTTP response of the live app</w:t>
            </w:r>
          </w:p>
        </w:tc>
        <w:tc>
          <w:tcPr>
            <w:tcW w:w="0" w:type="auto"/>
          </w:tcPr>
          <w:p w14:paraId="0AC0F15D" w14:textId="77777777" w:rsidR="00962DB6" w:rsidRDefault="00000000">
            <w:pPr>
              <w:pStyle w:val="Compact"/>
            </w:pPr>
            <w:r>
              <w:rPr>
                <w:b/>
                <w:bCs/>
              </w:rPr>
              <w:t>This work</w:t>
            </w:r>
          </w:p>
        </w:tc>
        <w:tc>
          <w:tcPr>
            <w:tcW w:w="0" w:type="auto"/>
          </w:tcPr>
          <w:p w14:paraId="26F82553" w14:textId="77777777" w:rsidR="00962DB6" w:rsidRDefault="00000000">
            <w:pPr>
              <w:pStyle w:val="Compact"/>
            </w:pPr>
            <w:r>
              <w:t>Error text, JSON fields, endpoint hints</w:t>
            </w:r>
          </w:p>
        </w:tc>
        <w:tc>
          <w:tcPr>
            <w:tcW w:w="0" w:type="auto"/>
          </w:tcPr>
          <w:p w14:paraId="18BC9EE5" w14:textId="77777777" w:rsidR="00962DB6" w:rsidRDefault="00000000">
            <w:pPr>
              <w:pStyle w:val="Compact"/>
            </w:pPr>
            <w:r>
              <w:rPr>
                <w:b/>
                <w:bCs/>
              </w:rPr>
              <w:t>Yes, always</w:t>
            </w:r>
          </w:p>
        </w:tc>
        <w:tc>
          <w:tcPr>
            <w:tcW w:w="0" w:type="auto"/>
          </w:tcPr>
          <w:p w14:paraId="17288472" w14:textId="77777777" w:rsidR="00962DB6" w:rsidRDefault="00000000">
            <w:pPr>
              <w:pStyle w:val="Compact"/>
            </w:pPr>
            <w:r>
              <w:rPr>
                <w:b/>
                <w:bCs/>
              </w:rPr>
              <w:t>Yes, chosen per session</w:t>
            </w:r>
          </w:p>
        </w:tc>
      </w:tr>
    </w:tbl>
    <w:p w14:paraId="7683D685" w14:textId="77777777" w:rsidR="00962DB6" w:rsidRDefault="00000000">
      <w:pPr>
        <w:pStyle w:val="BodyText"/>
      </w:pPr>
      <w:r>
        <w:t>The bottom row is the gap this paper addresses. R19’s survey of application-layer methods is the only prior work that maps this row at all, and it reports the area as under-researched.</w:t>
      </w:r>
    </w:p>
    <w:p w14:paraId="3AC9AEB1" w14:textId="77777777" w:rsidR="00962DB6" w:rsidRDefault="00000000">
      <w:pPr>
        <w:pStyle w:val="BodyText"/>
      </w:pPr>
      <w:r>
        <w:rPr>
          <w:b/>
          <w:bCs/>
        </w:rPr>
        <w:t>Table 8 — Gap matrix</w:t>
      </w:r>
    </w:p>
    <w:p w14:paraId="663F983C" w14:textId="77777777" w:rsidR="00962DB6" w:rsidRDefault="00000000">
      <w:pPr>
        <w:pStyle w:val="BodyText"/>
      </w:pPr>
      <w:r>
        <w:t>The table below records, for a subset of the most relevant prior works, which of six properties claimed by this project they already establish (Y = yes, P = partly, — = no).</w:t>
      </w:r>
    </w:p>
    <w:tbl>
      <w:tblPr>
        <w:tblStyle w:val="Table"/>
        <w:tblW w:w="5000" w:type="pct"/>
        <w:tblLook w:val="0020" w:firstRow="1" w:lastRow="0" w:firstColumn="0" w:lastColumn="0" w:noHBand="0" w:noVBand="0"/>
      </w:tblPr>
      <w:tblGrid>
        <w:gridCol w:w="1173"/>
        <w:gridCol w:w="1491"/>
        <w:gridCol w:w="1273"/>
        <w:gridCol w:w="1556"/>
        <w:gridCol w:w="1318"/>
        <w:gridCol w:w="1445"/>
        <w:gridCol w:w="1320"/>
      </w:tblGrid>
      <w:tr w:rsidR="00962DB6" w14:paraId="1B63B368" w14:textId="77777777" w:rsidTr="00962DB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30C03121" w14:textId="77777777" w:rsidR="00962DB6" w:rsidRDefault="00000000">
            <w:pPr>
              <w:pStyle w:val="Compact"/>
            </w:pPr>
            <w:r>
              <w:t>Ref.</w:t>
            </w:r>
          </w:p>
        </w:tc>
        <w:tc>
          <w:tcPr>
            <w:tcW w:w="0" w:type="auto"/>
          </w:tcPr>
          <w:p w14:paraId="58299814" w14:textId="77777777" w:rsidR="00962DB6" w:rsidRDefault="00000000">
            <w:pPr>
              <w:pStyle w:val="Compact"/>
              <w:jc w:val="center"/>
            </w:pPr>
            <w:r>
              <w:t>Live response</w:t>
            </w:r>
          </w:p>
        </w:tc>
        <w:tc>
          <w:tcPr>
            <w:tcW w:w="0" w:type="auto"/>
          </w:tcPr>
          <w:p w14:paraId="4EBC0FFB" w14:textId="77777777" w:rsidR="00962DB6" w:rsidRDefault="00000000">
            <w:pPr>
              <w:pStyle w:val="Compact"/>
              <w:jc w:val="center"/>
            </w:pPr>
            <w:r>
              <w:t>Per-session</w:t>
            </w:r>
          </w:p>
        </w:tc>
        <w:tc>
          <w:tcPr>
            <w:tcW w:w="0" w:type="auto"/>
          </w:tcPr>
          <w:p w14:paraId="1FBDEC6C" w14:textId="77777777" w:rsidR="00962DB6" w:rsidRDefault="00000000">
            <w:pPr>
              <w:pStyle w:val="Compact"/>
              <w:jc w:val="center"/>
            </w:pPr>
            <w:r>
              <w:t>Derived trigger</w:t>
            </w:r>
          </w:p>
        </w:tc>
        <w:tc>
          <w:tcPr>
            <w:tcW w:w="0" w:type="auto"/>
          </w:tcPr>
          <w:p w14:paraId="5423B5B6" w14:textId="77777777" w:rsidR="00962DB6" w:rsidRDefault="00000000">
            <w:pPr>
              <w:pStyle w:val="Compact"/>
              <w:jc w:val="center"/>
            </w:pPr>
            <w:r>
              <w:t>Invisibility</w:t>
            </w:r>
          </w:p>
        </w:tc>
        <w:tc>
          <w:tcPr>
            <w:tcW w:w="0" w:type="auto"/>
          </w:tcPr>
          <w:p w14:paraId="78FEF615" w14:textId="77777777" w:rsidR="00962DB6" w:rsidRDefault="00000000">
            <w:pPr>
              <w:pStyle w:val="Compact"/>
              <w:jc w:val="center"/>
            </w:pPr>
            <w:r>
              <w:t>Consistency</w:t>
            </w:r>
          </w:p>
        </w:tc>
        <w:tc>
          <w:tcPr>
            <w:tcW w:w="0" w:type="auto"/>
          </w:tcPr>
          <w:p w14:paraId="68338434" w14:textId="77777777" w:rsidR="00962DB6" w:rsidRDefault="00000000">
            <w:pPr>
              <w:pStyle w:val="Compact"/>
              <w:jc w:val="center"/>
            </w:pPr>
            <w:r>
              <w:t>Causal effect</w:t>
            </w:r>
          </w:p>
        </w:tc>
      </w:tr>
      <w:tr w:rsidR="00962DB6" w14:paraId="4FBE2A0E" w14:textId="77777777" w:rsidTr="00962DB6">
        <w:trPr>
          <w:cantSplit/>
        </w:trPr>
        <w:tc>
          <w:tcPr>
            <w:tcW w:w="0" w:type="auto"/>
          </w:tcPr>
          <w:p w14:paraId="5AE66190" w14:textId="77777777" w:rsidR="00962DB6" w:rsidRDefault="00000000">
            <w:pPr>
              <w:pStyle w:val="Compact"/>
            </w:pPr>
            <w:r>
              <w:t>R6</w:t>
            </w:r>
          </w:p>
        </w:tc>
        <w:tc>
          <w:tcPr>
            <w:tcW w:w="0" w:type="auto"/>
          </w:tcPr>
          <w:p w14:paraId="5339C7C6" w14:textId="77777777" w:rsidR="00962DB6" w:rsidRDefault="00000000">
            <w:pPr>
              <w:pStyle w:val="Compact"/>
              <w:jc w:val="center"/>
            </w:pPr>
            <w:r>
              <w:t>—</w:t>
            </w:r>
          </w:p>
        </w:tc>
        <w:tc>
          <w:tcPr>
            <w:tcW w:w="0" w:type="auto"/>
          </w:tcPr>
          <w:p w14:paraId="6AB1D76F" w14:textId="77777777" w:rsidR="00962DB6" w:rsidRDefault="00000000">
            <w:pPr>
              <w:pStyle w:val="Compact"/>
              <w:jc w:val="center"/>
            </w:pPr>
            <w:r>
              <w:t>—</w:t>
            </w:r>
          </w:p>
        </w:tc>
        <w:tc>
          <w:tcPr>
            <w:tcW w:w="0" w:type="auto"/>
          </w:tcPr>
          <w:p w14:paraId="43A2BBBA" w14:textId="77777777" w:rsidR="00962DB6" w:rsidRDefault="00000000">
            <w:pPr>
              <w:pStyle w:val="Compact"/>
              <w:jc w:val="center"/>
            </w:pPr>
            <w:r>
              <w:t>—</w:t>
            </w:r>
          </w:p>
        </w:tc>
        <w:tc>
          <w:tcPr>
            <w:tcW w:w="0" w:type="auto"/>
          </w:tcPr>
          <w:p w14:paraId="5508B8D1" w14:textId="77777777" w:rsidR="00962DB6" w:rsidRDefault="00000000">
            <w:pPr>
              <w:pStyle w:val="Compact"/>
              <w:jc w:val="center"/>
            </w:pPr>
            <w:r>
              <w:t>—</w:t>
            </w:r>
          </w:p>
        </w:tc>
        <w:tc>
          <w:tcPr>
            <w:tcW w:w="0" w:type="auto"/>
          </w:tcPr>
          <w:p w14:paraId="4AA7197E" w14:textId="77777777" w:rsidR="00962DB6" w:rsidRDefault="00000000">
            <w:pPr>
              <w:pStyle w:val="Compact"/>
              <w:jc w:val="center"/>
            </w:pPr>
            <w:r>
              <w:t>—</w:t>
            </w:r>
          </w:p>
        </w:tc>
        <w:tc>
          <w:tcPr>
            <w:tcW w:w="0" w:type="auto"/>
          </w:tcPr>
          <w:p w14:paraId="0789E260" w14:textId="77777777" w:rsidR="00962DB6" w:rsidRDefault="00000000">
            <w:pPr>
              <w:pStyle w:val="Compact"/>
              <w:jc w:val="center"/>
            </w:pPr>
            <w:r>
              <w:t>—</w:t>
            </w:r>
          </w:p>
        </w:tc>
      </w:tr>
      <w:tr w:rsidR="00962DB6" w14:paraId="38C5E455" w14:textId="77777777" w:rsidTr="00962DB6">
        <w:trPr>
          <w:cantSplit/>
        </w:trPr>
        <w:tc>
          <w:tcPr>
            <w:tcW w:w="0" w:type="auto"/>
          </w:tcPr>
          <w:p w14:paraId="4D60493B" w14:textId="77777777" w:rsidR="00962DB6" w:rsidRDefault="00000000">
            <w:pPr>
              <w:pStyle w:val="Compact"/>
            </w:pPr>
            <w:r>
              <w:t>R9</w:t>
            </w:r>
          </w:p>
        </w:tc>
        <w:tc>
          <w:tcPr>
            <w:tcW w:w="0" w:type="auto"/>
          </w:tcPr>
          <w:p w14:paraId="01E636BA" w14:textId="77777777" w:rsidR="00962DB6" w:rsidRDefault="00000000">
            <w:pPr>
              <w:pStyle w:val="Compact"/>
              <w:jc w:val="center"/>
            </w:pPr>
            <w:r>
              <w:t>—</w:t>
            </w:r>
          </w:p>
        </w:tc>
        <w:tc>
          <w:tcPr>
            <w:tcW w:w="0" w:type="auto"/>
          </w:tcPr>
          <w:p w14:paraId="77CE2C53" w14:textId="77777777" w:rsidR="00962DB6" w:rsidRDefault="00000000">
            <w:pPr>
              <w:pStyle w:val="Compact"/>
              <w:jc w:val="center"/>
            </w:pPr>
            <w:r>
              <w:t>—</w:t>
            </w:r>
          </w:p>
        </w:tc>
        <w:tc>
          <w:tcPr>
            <w:tcW w:w="0" w:type="auto"/>
          </w:tcPr>
          <w:p w14:paraId="3B87532F" w14:textId="77777777" w:rsidR="00962DB6" w:rsidRDefault="00000000">
            <w:pPr>
              <w:pStyle w:val="Compact"/>
              <w:jc w:val="center"/>
            </w:pPr>
            <w:r>
              <w:t>—</w:t>
            </w:r>
          </w:p>
        </w:tc>
        <w:tc>
          <w:tcPr>
            <w:tcW w:w="0" w:type="auto"/>
          </w:tcPr>
          <w:p w14:paraId="518EF330" w14:textId="77777777" w:rsidR="00962DB6" w:rsidRDefault="00000000">
            <w:pPr>
              <w:pStyle w:val="Compact"/>
              <w:jc w:val="center"/>
            </w:pPr>
            <w:r>
              <w:t>—</w:t>
            </w:r>
          </w:p>
        </w:tc>
        <w:tc>
          <w:tcPr>
            <w:tcW w:w="0" w:type="auto"/>
          </w:tcPr>
          <w:p w14:paraId="74144C5B" w14:textId="77777777" w:rsidR="00962DB6" w:rsidRDefault="00000000">
            <w:pPr>
              <w:pStyle w:val="Compact"/>
              <w:jc w:val="center"/>
            </w:pPr>
            <w:r>
              <w:t>—</w:t>
            </w:r>
          </w:p>
        </w:tc>
        <w:tc>
          <w:tcPr>
            <w:tcW w:w="0" w:type="auto"/>
          </w:tcPr>
          <w:p w14:paraId="49C229AE" w14:textId="77777777" w:rsidR="00962DB6" w:rsidRDefault="00000000">
            <w:pPr>
              <w:pStyle w:val="Compact"/>
              <w:jc w:val="center"/>
            </w:pPr>
            <w:r>
              <w:t>P</w:t>
            </w:r>
          </w:p>
        </w:tc>
      </w:tr>
      <w:tr w:rsidR="00962DB6" w14:paraId="5DBEDD45" w14:textId="77777777" w:rsidTr="00962DB6">
        <w:trPr>
          <w:cantSplit/>
        </w:trPr>
        <w:tc>
          <w:tcPr>
            <w:tcW w:w="0" w:type="auto"/>
          </w:tcPr>
          <w:p w14:paraId="1AD56ED7" w14:textId="77777777" w:rsidR="00962DB6" w:rsidRDefault="00000000">
            <w:pPr>
              <w:pStyle w:val="Compact"/>
            </w:pPr>
            <w:r>
              <w:t>R10</w:t>
            </w:r>
          </w:p>
        </w:tc>
        <w:tc>
          <w:tcPr>
            <w:tcW w:w="0" w:type="auto"/>
          </w:tcPr>
          <w:p w14:paraId="0909FF68" w14:textId="77777777" w:rsidR="00962DB6" w:rsidRDefault="00000000">
            <w:pPr>
              <w:pStyle w:val="Compact"/>
              <w:jc w:val="center"/>
            </w:pPr>
            <w:r>
              <w:t>—</w:t>
            </w:r>
          </w:p>
        </w:tc>
        <w:tc>
          <w:tcPr>
            <w:tcW w:w="0" w:type="auto"/>
          </w:tcPr>
          <w:p w14:paraId="5F97EF54" w14:textId="77777777" w:rsidR="00962DB6" w:rsidRDefault="00000000">
            <w:pPr>
              <w:pStyle w:val="Compact"/>
              <w:jc w:val="center"/>
            </w:pPr>
            <w:r>
              <w:t>—</w:t>
            </w:r>
          </w:p>
        </w:tc>
        <w:tc>
          <w:tcPr>
            <w:tcW w:w="0" w:type="auto"/>
          </w:tcPr>
          <w:p w14:paraId="62C54C58" w14:textId="77777777" w:rsidR="00962DB6" w:rsidRDefault="00000000">
            <w:pPr>
              <w:pStyle w:val="Compact"/>
              <w:jc w:val="center"/>
            </w:pPr>
            <w:r>
              <w:t>—</w:t>
            </w:r>
          </w:p>
        </w:tc>
        <w:tc>
          <w:tcPr>
            <w:tcW w:w="0" w:type="auto"/>
          </w:tcPr>
          <w:p w14:paraId="460EBC36" w14:textId="77777777" w:rsidR="00962DB6" w:rsidRDefault="00000000">
            <w:pPr>
              <w:pStyle w:val="Compact"/>
              <w:jc w:val="center"/>
            </w:pPr>
            <w:r>
              <w:t>—</w:t>
            </w:r>
          </w:p>
        </w:tc>
        <w:tc>
          <w:tcPr>
            <w:tcW w:w="0" w:type="auto"/>
          </w:tcPr>
          <w:p w14:paraId="3E574134" w14:textId="77777777" w:rsidR="00962DB6" w:rsidRDefault="00000000">
            <w:pPr>
              <w:pStyle w:val="Compact"/>
              <w:jc w:val="center"/>
            </w:pPr>
            <w:r>
              <w:t>P</w:t>
            </w:r>
          </w:p>
        </w:tc>
        <w:tc>
          <w:tcPr>
            <w:tcW w:w="0" w:type="auto"/>
          </w:tcPr>
          <w:p w14:paraId="346D3CB6" w14:textId="77777777" w:rsidR="00962DB6" w:rsidRDefault="00000000">
            <w:pPr>
              <w:pStyle w:val="Compact"/>
              <w:jc w:val="center"/>
            </w:pPr>
            <w:r>
              <w:t>—</w:t>
            </w:r>
          </w:p>
        </w:tc>
      </w:tr>
      <w:tr w:rsidR="00962DB6" w14:paraId="4EACF3C7" w14:textId="77777777" w:rsidTr="00962DB6">
        <w:trPr>
          <w:cantSplit/>
        </w:trPr>
        <w:tc>
          <w:tcPr>
            <w:tcW w:w="0" w:type="auto"/>
          </w:tcPr>
          <w:p w14:paraId="7E3B8105" w14:textId="77777777" w:rsidR="00962DB6" w:rsidRDefault="00000000">
            <w:pPr>
              <w:pStyle w:val="Compact"/>
            </w:pPr>
            <w:r>
              <w:t>R12</w:t>
            </w:r>
          </w:p>
        </w:tc>
        <w:tc>
          <w:tcPr>
            <w:tcW w:w="0" w:type="auto"/>
          </w:tcPr>
          <w:p w14:paraId="4BD19EAB" w14:textId="77777777" w:rsidR="00962DB6" w:rsidRDefault="00000000">
            <w:pPr>
              <w:pStyle w:val="Compact"/>
              <w:jc w:val="center"/>
            </w:pPr>
            <w:r>
              <w:t>P</w:t>
            </w:r>
          </w:p>
        </w:tc>
        <w:tc>
          <w:tcPr>
            <w:tcW w:w="0" w:type="auto"/>
          </w:tcPr>
          <w:p w14:paraId="43C0D7B8" w14:textId="77777777" w:rsidR="00962DB6" w:rsidRDefault="00000000">
            <w:pPr>
              <w:pStyle w:val="Compact"/>
              <w:jc w:val="center"/>
            </w:pPr>
            <w:r>
              <w:t>—</w:t>
            </w:r>
          </w:p>
        </w:tc>
        <w:tc>
          <w:tcPr>
            <w:tcW w:w="0" w:type="auto"/>
          </w:tcPr>
          <w:p w14:paraId="58208044" w14:textId="77777777" w:rsidR="00962DB6" w:rsidRDefault="00000000">
            <w:pPr>
              <w:pStyle w:val="Compact"/>
              <w:jc w:val="center"/>
            </w:pPr>
            <w:r>
              <w:t>—</w:t>
            </w:r>
          </w:p>
        </w:tc>
        <w:tc>
          <w:tcPr>
            <w:tcW w:w="0" w:type="auto"/>
          </w:tcPr>
          <w:p w14:paraId="71E5830C" w14:textId="77777777" w:rsidR="00962DB6" w:rsidRDefault="00000000">
            <w:pPr>
              <w:pStyle w:val="Compact"/>
              <w:jc w:val="center"/>
            </w:pPr>
            <w:r>
              <w:t>—</w:t>
            </w:r>
          </w:p>
        </w:tc>
        <w:tc>
          <w:tcPr>
            <w:tcW w:w="0" w:type="auto"/>
          </w:tcPr>
          <w:p w14:paraId="0CE1551B" w14:textId="77777777" w:rsidR="00962DB6" w:rsidRDefault="00000000">
            <w:pPr>
              <w:pStyle w:val="Compact"/>
              <w:jc w:val="center"/>
            </w:pPr>
            <w:r>
              <w:t>—</w:t>
            </w:r>
          </w:p>
        </w:tc>
        <w:tc>
          <w:tcPr>
            <w:tcW w:w="0" w:type="auto"/>
          </w:tcPr>
          <w:p w14:paraId="3B8A9618" w14:textId="77777777" w:rsidR="00962DB6" w:rsidRDefault="00000000">
            <w:pPr>
              <w:pStyle w:val="Compact"/>
              <w:jc w:val="center"/>
            </w:pPr>
            <w:r>
              <w:t>—</w:t>
            </w:r>
          </w:p>
        </w:tc>
      </w:tr>
      <w:tr w:rsidR="00962DB6" w14:paraId="1C894C40" w14:textId="77777777" w:rsidTr="00962DB6">
        <w:trPr>
          <w:cantSplit/>
        </w:trPr>
        <w:tc>
          <w:tcPr>
            <w:tcW w:w="0" w:type="auto"/>
          </w:tcPr>
          <w:p w14:paraId="5C110A0F" w14:textId="77777777" w:rsidR="00962DB6" w:rsidRDefault="00000000">
            <w:pPr>
              <w:pStyle w:val="Compact"/>
            </w:pPr>
            <w:r>
              <w:t>R15</w:t>
            </w:r>
          </w:p>
        </w:tc>
        <w:tc>
          <w:tcPr>
            <w:tcW w:w="0" w:type="auto"/>
          </w:tcPr>
          <w:p w14:paraId="14BBC974" w14:textId="77777777" w:rsidR="00962DB6" w:rsidRDefault="00000000">
            <w:pPr>
              <w:pStyle w:val="Compact"/>
              <w:jc w:val="center"/>
            </w:pPr>
            <w:r>
              <w:t>—</w:t>
            </w:r>
          </w:p>
        </w:tc>
        <w:tc>
          <w:tcPr>
            <w:tcW w:w="0" w:type="auto"/>
          </w:tcPr>
          <w:p w14:paraId="032C1F1E" w14:textId="77777777" w:rsidR="00962DB6" w:rsidRDefault="00000000">
            <w:pPr>
              <w:pStyle w:val="Compact"/>
              <w:jc w:val="center"/>
            </w:pPr>
            <w:r>
              <w:t>—</w:t>
            </w:r>
          </w:p>
        </w:tc>
        <w:tc>
          <w:tcPr>
            <w:tcW w:w="0" w:type="auto"/>
          </w:tcPr>
          <w:p w14:paraId="4EB2694F" w14:textId="77777777" w:rsidR="00962DB6" w:rsidRDefault="00000000">
            <w:pPr>
              <w:pStyle w:val="Compact"/>
              <w:jc w:val="center"/>
            </w:pPr>
            <w:r>
              <w:t>—</w:t>
            </w:r>
          </w:p>
        </w:tc>
        <w:tc>
          <w:tcPr>
            <w:tcW w:w="0" w:type="auto"/>
          </w:tcPr>
          <w:p w14:paraId="2D7EEA5F" w14:textId="77777777" w:rsidR="00962DB6" w:rsidRDefault="00000000">
            <w:pPr>
              <w:pStyle w:val="Compact"/>
              <w:jc w:val="center"/>
            </w:pPr>
            <w:r>
              <w:t>P</w:t>
            </w:r>
          </w:p>
        </w:tc>
        <w:tc>
          <w:tcPr>
            <w:tcW w:w="0" w:type="auto"/>
          </w:tcPr>
          <w:p w14:paraId="78F213DA" w14:textId="77777777" w:rsidR="00962DB6" w:rsidRDefault="00000000">
            <w:pPr>
              <w:pStyle w:val="Compact"/>
              <w:jc w:val="center"/>
            </w:pPr>
            <w:r>
              <w:t>—</w:t>
            </w:r>
          </w:p>
        </w:tc>
        <w:tc>
          <w:tcPr>
            <w:tcW w:w="0" w:type="auto"/>
          </w:tcPr>
          <w:p w14:paraId="79F08E20" w14:textId="77777777" w:rsidR="00962DB6" w:rsidRDefault="00000000">
            <w:pPr>
              <w:pStyle w:val="Compact"/>
              <w:jc w:val="center"/>
            </w:pPr>
            <w:r>
              <w:t>—</w:t>
            </w:r>
          </w:p>
        </w:tc>
      </w:tr>
      <w:tr w:rsidR="00962DB6" w14:paraId="5C3D51E6" w14:textId="77777777" w:rsidTr="00962DB6">
        <w:trPr>
          <w:cantSplit/>
        </w:trPr>
        <w:tc>
          <w:tcPr>
            <w:tcW w:w="0" w:type="auto"/>
          </w:tcPr>
          <w:p w14:paraId="5A3EF902" w14:textId="77777777" w:rsidR="00962DB6" w:rsidRDefault="00000000">
            <w:pPr>
              <w:pStyle w:val="Compact"/>
            </w:pPr>
            <w:r>
              <w:t>R17</w:t>
            </w:r>
          </w:p>
        </w:tc>
        <w:tc>
          <w:tcPr>
            <w:tcW w:w="0" w:type="auto"/>
          </w:tcPr>
          <w:p w14:paraId="3CE39FB0" w14:textId="77777777" w:rsidR="00962DB6" w:rsidRDefault="00000000">
            <w:pPr>
              <w:pStyle w:val="Compact"/>
              <w:jc w:val="center"/>
            </w:pPr>
            <w:r>
              <w:t>—</w:t>
            </w:r>
          </w:p>
        </w:tc>
        <w:tc>
          <w:tcPr>
            <w:tcW w:w="0" w:type="auto"/>
          </w:tcPr>
          <w:p w14:paraId="0371F43D" w14:textId="77777777" w:rsidR="00962DB6" w:rsidRDefault="00000000">
            <w:pPr>
              <w:pStyle w:val="Compact"/>
              <w:jc w:val="center"/>
            </w:pPr>
            <w:r>
              <w:t>—</w:t>
            </w:r>
          </w:p>
        </w:tc>
        <w:tc>
          <w:tcPr>
            <w:tcW w:w="0" w:type="auto"/>
          </w:tcPr>
          <w:p w14:paraId="45B37EB5" w14:textId="77777777" w:rsidR="00962DB6" w:rsidRDefault="00000000">
            <w:pPr>
              <w:pStyle w:val="Compact"/>
              <w:jc w:val="center"/>
            </w:pPr>
            <w:r>
              <w:t>—</w:t>
            </w:r>
          </w:p>
        </w:tc>
        <w:tc>
          <w:tcPr>
            <w:tcW w:w="0" w:type="auto"/>
          </w:tcPr>
          <w:p w14:paraId="1210C896" w14:textId="77777777" w:rsidR="00962DB6" w:rsidRDefault="00000000">
            <w:pPr>
              <w:pStyle w:val="Compact"/>
              <w:jc w:val="center"/>
            </w:pPr>
            <w:r>
              <w:t>P</w:t>
            </w:r>
          </w:p>
        </w:tc>
        <w:tc>
          <w:tcPr>
            <w:tcW w:w="0" w:type="auto"/>
          </w:tcPr>
          <w:p w14:paraId="28EBEC60" w14:textId="77777777" w:rsidR="00962DB6" w:rsidRDefault="00000000">
            <w:pPr>
              <w:pStyle w:val="Compact"/>
              <w:jc w:val="center"/>
            </w:pPr>
            <w:r>
              <w:t>—</w:t>
            </w:r>
          </w:p>
        </w:tc>
        <w:tc>
          <w:tcPr>
            <w:tcW w:w="0" w:type="auto"/>
          </w:tcPr>
          <w:p w14:paraId="7DD7D618" w14:textId="77777777" w:rsidR="00962DB6" w:rsidRDefault="00000000">
            <w:pPr>
              <w:pStyle w:val="Compact"/>
              <w:jc w:val="center"/>
            </w:pPr>
            <w:r>
              <w:t>—</w:t>
            </w:r>
          </w:p>
        </w:tc>
      </w:tr>
      <w:tr w:rsidR="00962DB6" w14:paraId="1DB16A65" w14:textId="77777777" w:rsidTr="00962DB6">
        <w:trPr>
          <w:cantSplit/>
        </w:trPr>
        <w:tc>
          <w:tcPr>
            <w:tcW w:w="0" w:type="auto"/>
          </w:tcPr>
          <w:p w14:paraId="377BD612" w14:textId="77777777" w:rsidR="00962DB6" w:rsidRDefault="00000000">
            <w:pPr>
              <w:pStyle w:val="Compact"/>
            </w:pPr>
            <w:r>
              <w:t>R18</w:t>
            </w:r>
          </w:p>
        </w:tc>
        <w:tc>
          <w:tcPr>
            <w:tcW w:w="0" w:type="auto"/>
          </w:tcPr>
          <w:p w14:paraId="24D05180" w14:textId="77777777" w:rsidR="00962DB6" w:rsidRDefault="00000000">
            <w:pPr>
              <w:pStyle w:val="Compact"/>
              <w:jc w:val="center"/>
            </w:pPr>
            <w:r>
              <w:t>—</w:t>
            </w:r>
          </w:p>
        </w:tc>
        <w:tc>
          <w:tcPr>
            <w:tcW w:w="0" w:type="auto"/>
          </w:tcPr>
          <w:p w14:paraId="66D3509F" w14:textId="77777777" w:rsidR="00962DB6" w:rsidRDefault="00000000">
            <w:pPr>
              <w:pStyle w:val="Compact"/>
              <w:jc w:val="center"/>
            </w:pPr>
            <w:r>
              <w:t>—</w:t>
            </w:r>
          </w:p>
        </w:tc>
        <w:tc>
          <w:tcPr>
            <w:tcW w:w="0" w:type="auto"/>
          </w:tcPr>
          <w:p w14:paraId="53C8DBA5" w14:textId="77777777" w:rsidR="00962DB6" w:rsidRDefault="00000000">
            <w:pPr>
              <w:pStyle w:val="Compact"/>
              <w:jc w:val="center"/>
            </w:pPr>
            <w:r>
              <w:t>—</w:t>
            </w:r>
          </w:p>
        </w:tc>
        <w:tc>
          <w:tcPr>
            <w:tcW w:w="0" w:type="auto"/>
          </w:tcPr>
          <w:p w14:paraId="5B9F3AC2" w14:textId="77777777" w:rsidR="00962DB6" w:rsidRDefault="00000000">
            <w:pPr>
              <w:pStyle w:val="Compact"/>
              <w:jc w:val="center"/>
            </w:pPr>
            <w:r>
              <w:t>—</w:t>
            </w:r>
          </w:p>
        </w:tc>
        <w:tc>
          <w:tcPr>
            <w:tcW w:w="0" w:type="auto"/>
          </w:tcPr>
          <w:p w14:paraId="069DFAF3" w14:textId="77777777" w:rsidR="00962DB6" w:rsidRDefault="00000000">
            <w:pPr>
              <w:pStyle w:val="Compact"/>
              <w:jc w:val="center"/>
            </w:pPr>
            <w:r>
              <w:t>P</w:t>
            </w:r>
          </w:p>
        </w:tc>
        <w:tc>
          <w:tcPr>
            <w:tcW w:w="0" w:type="auto"/>
          </w:tcPr>
          <w:p w14:paraId="75B0E0EA" w14:textId="77777777" w:rsidR="00962DB6" w:rsidRDefault="00000000">
            <w:pPr>
              <w:pStyle w:val="Compact"/>
              <w:jc w:val="center"/>
            </w:pPr>
            <w:r>
              <w:t>—</w:t>
            </w:r>
          </w:p>
        </w:tc>
      </w:tr>
      <w:tr w:rsidR="00962DB6" w14:paraId="1589AF28" w14:textId="77777777" w:rsidTr="00962DB6">
        <w:trPr>
          <w:cantSplit/>
        </w:trPr>
        <w:tc>
          <w:tcPr>
            <w:tcW w:w="0" w:type="auto"/>
          </w:tcPr>
          <w:p w14:paraId="3A4B620F" w14:textId="77777777" w:rsidR="00962DB6" w:rsidRDefault="00000000">
            <w:pPr>
              <w:pStyle w:val="Compact"/>
            </w:pPr>
            <w:r>
              <w:t>R19</w:t>
            </w:r>
          </w:p>
        </w:tc>
        <w:tc>
          <w:tcPr>
            <w:tcW w:w="0" w:type="auto"/>
          </w:tcPr>
          <w:p w14:paraId="78FDAA38" w14:textId="77777777" w:rsidR="00962DB6" w:rsidRDefault="00000000">
            <w:pPr>
              <w:pStyle w:val="Compact"/>
              <w:jc w:val="center"/>
            </w:pPr>
            <w:r>
              <w:t>Y</w:t>
            </w:r>
          </w:p>
        </w:tc>
        <w:tc>
          <w:tcPr>
            <w:tcW w:w="0" w:type="auto"/>
          </w:tcPr>
          <w:p w14:paraId="36781F34" w14:textId="77777777" w:rsidR="00962DB6" w:rsidRDefault="00000000">
            <w:pPr>
              <w:pStyle w:val="Compact"/>
              <w:jc w:val="center"/>
            </w:pPr>
            <w:r>
              <w:t>—</w:t>
            </w:r>
          </w:p>
        </w:tc>
        <w:tc>
          <w:tcPr>
            <w:tcW w:w="0" w:type="auto"/>
          </w:tcPr>
          <w:p w14:paraId="3951E748" w14:textId="77777777" w:rsidR="00962DB6" w:rsidRDefault="00000000">
            <w:pPr>
              <w:pStyle w:val="Compact"/>
              <w:jc w:val="center"/>
            </w:pPr>
            <w:r>
              <w:t>—</w:t>
            </w:r>
          </w:p>
        </w:tc>
        <w:tc>
          <w:tcPr>
            <w:tcW w:w="0" w:type="auto"/>
          </w:tcPr>
          <w:p w14:paraId="16228362" w14:textId="77777777" w:rsidR="00962DB6" w:rsidRDefault="00000000">
            <w:pPr>
              <w:pStyle w:val="Compact"/>
              <w:jc w:val="center"/>
            </w:pPr>
            <w:r>
              <w:t>P</w:t>
            </w:r>
          </w:p>
        </w:tc>
        <w:tc>
          <w:tcPr>
            <w:tcW w:w="0" w:type="auto"/>
          </w:tcPr>
          <w:p w14:paraId="4517125B" w14:textId="77777777" w:rsidR="00962DB6" w:rsidRDefault="00000000">
            <w:pPr>
              <w:pStyle w:val="Compact"/>
              <w:jc w:val="center"/>
            </w:pPr>
            <w:r>
              <w:t>—</w:t>
            </w:r>
          </w:p>
        </w:tc>
        <w:tc>
          <w:tcPr>
            <w:tcW w:w="0" w:type="auto"/>
          </w:tcPr>
          <w:p w14:paraId="2127F90A" w14:textId="77777777" w:rsidR="00962DB6" w:rsidRDefault="00000000">
            <w:pPr>
              <w:pStyle w:val="Compact"/>
              <w:jc w:val="center"/>
            </w:pPr>
            <w:r>
              <w:t>—</w:t>
            </w:r>
          </w:p>
        </w:tc>
      </w:tr>
      <w:tr w:rsidR="00962DB6" w14:paraId="674D7F2D" w14:textId="77777777" w:rsidTr="00962DB6">
        <w:trPr>
          <w:cantSplit/>
        </w:trPr>
        <w:tc>
          <w:tcPr>
            <w:tcW w:w="0" w:type="auto"/>
          </w:tcPr>
          <w:p w14:paraId="5E113FB0" w14:textId="77777777" w:rsidR="00962DB6" w:rsidRDefault="00000000">
            <w:pPr>
              <w:pStyle w:val="Compact"/>
            </w:pPr>
            <w:r>
              <w:t>R20</w:t>
            </w:r>
          </w:p>
        </w:tc>
        <w:tc>
          <w:tcPr>
            <w:tcW w:w="0" w:type="auto"/>
          </w:tcPr>
          <w:p w14:paraId="56C51894" w14:textId="77777777" w:rsidR="00962DB6" w:rsidRDefault="00000000">
            <w:pPr>
              <w:pStyle w:val="Compact"/>
              <w:jc w:val="center"/>
            </w:pPr>
            <w:r>
              <w:t>Y</w:t>
            </w:r>
          </w:p>
        </w:tc>
        <w:tc>
          <w:tcPr>
            <w:tcW w:w="0" w:type="auto"/>
          </w:tcPr>
          <w:p w14:paraId="624CD735" w14:textId="77777777" w:rsidR="00962DB6" w:rsidRDefault="00000000">
            <w:pPr>
              <w:pStyle w:val="Compact"/>
              <w:jc w:val="center"/>
            </w:pPr>
            <w:r>
              <w:t>—</w:t>
            </w:r>
          </w:p>
        </w:tc>
        <w:tc>
          <w:tcPr>
            <w:tcW w:w="0" w:type="auto"/>
          </w:tcPr>
          <w:p w14:paraId="38E8E63E" w14:textId="77777777" w:rsidR="00962DB6" w:rsidRDefault="00000000">
            <w:pPr>
              <w:pStyle w:val="Compact"/>
              <w:jc w:val="center"/>
            </w:pPr>
            <w:r>
              <w:t>—</w:t>
            </w:r>
          </w:p>
        </w:tc>
        <w:tc>
          <w:tcPr>
            <w:tcW w:w="0" w:type="auto"/>
          </w:tcPr>
          <w:p w14:paraId="59D5B821" w14:textId="77777777" w:rsidR="00962DB6" w:rsidRDefault="00000000">
            <w:pPr>
              <w:pStyle w:val="Compact"/>
              <w:jc w:val="center"/>
            </w:pPr>
            <w:r>
              <w:t>—</w:t>
            </w:r>
          </w:p>
        </w:tc>
        <w:tc>
          <w:tcPr>
            <w:tcW w:w="0" w:type="auto"/>
          </w:tcPr>
          <w:p w14:paraId="7705C17F" w14:textId="77777777" w:rsidR="00962DB6" w:rsidRDefault="00000000">
            <w:pPr>
              <w:pStyle w:val="Compact"/>
              <w:jc w:val="center"/>
            </w:pPr>
            <w:r>
              <w:t>—</w:t>
            </w:r>
          </w:p>
        </w:tc>
        <w:tc>
          <w:tcPr>
            <w:tcW w:w="0" w:type="auto"/>
          </w:tcPr>
          <w:p w14:paraId="32DD1A7A" w14:textId="77777777" w:rsidR="00962DB6" w:rsidRDefault="00000000">
            <w:pPr>
              <w:pStyle w:val="Compact"/>
              <w:jc w:val="center"/>
            </w:pPr>
            <w:r>
              <w:t>—</w:t>
            </w:r>
          </w:p>
        </w:tc>
      </w:tr>
      <w:tr w:rsidR="00962DB6" w14:paraId="2E7D32D2" w14:textId="77777777" w:rsidTr="00962DB6">
        <w:trPr>
          <w:cantSplit/>
        </w:trPr>
        <w:tc>
          <w:tcPr>
            <w:tcW w:w="0" w:type="auto"/>
          </w:tcPr>
          <w:p w14:paraId="2314DEC8" w14:textId="77777777" w:rsidR="00962DB6" w:rsidRDefault="00000000">
            <w:pPr>
              <w:pStyle w:val="Compact"/>
            </w:pPr>
            <w:r>
              <w:t>R21</w:t>
            </w:r>
          </w:p>
        </w:tc>
        <w:tc>
          <w:tcPr>
            <w:tcW w:w="0" w:type="auto"/>
          </w:tcPr>
          <w:p w14:paraId="72B354AD" w14:textId="77777777" w:rsidR="00962DB6" w:rsidRDefault="00000000">
            <w:pPr>
              <w:pStyle w:val="Compact"/>
              <w:jc w:val="center"/>
            </w:pPr>
            <w:r>
              <w:t>Y</w:t>
            </w:r>
          </w:p>
        </w:tc>
        <w:tc>
          <w:tcPr>
            <w:tcW w:w="0" w:type="auto"/>
          </w:tcPr>
          <w:p w14:paraId="64C46FA0" w14:textId="77777777" w:rsidR="00962DB6" w:rsidRDefault="00000000">
            <w:pPr>
              <w:pStyle w:val="Compact"/>
              <w:jc w:val="center"/>
            </w:pPr>
            <w:r>
              <w:t>—</w:t>
            </w:r>
          </w:p>
        </w:tc>
        <w:tc>
          <w:tcPr>
            <w:tcW w:w="0" w:type="auto"/>
          </w:tcPr>
          <w:p w14:paraId="5EFB33DA" w14:textId="77777777" w:rsidR="00962DB6" w:rsidRDefault="00000000">
            <w:pPr>
              <w:pStyle w:val="Compact"/>
              <w:jc w:val="center"/>
            </w:pPr>
            <w:r>
              <w:t>—</w:t>
            </w:r>
          </w:p>
        </w:tc>
        <w:tc>
          <w:tcPr>
            <w:tcW w:w="0" w:type="auto"/>
          </w:tcPr>
          <w:p w14:paraId="66010D28" w14:textId="77777777" w:rsidR="00962DB6" w:rsidRDefault="00000000">
            <w:pPr>
              <w:pStyle w:val="Compact"/>
              <w:jc w:val="center"/>
            </w:pPr>
            <w:r>
              <w:t>—</w:t>
            </w:r>
          </w:p>
        </w:tc>
        <w:tc>
          <w:tcPr>
            <w:tcW w:w="0" w:type="auto"/>
          </w:tcPr>
          <w:p w14:paraId="5162A500" w14:textId="77777777" w:rsidR="00962DB6" w:rsidRDefault="00000000">
            <w:pPr>
              <w:pStyle w:val="Compact"/>
              <w:jc w:val="center"/>
            </w:pPr>
            <w:r>
              <w:t>—</w:t>
            </w:r>
          </w:p>
        </w:tc>
        <w:tc>
          <w:tcPr>
            <w:tcW w:w="0" w:type="auto"/>
          </w:tcPr>
          <w:p w14:paraId="5060D94D" w14:textId="77777777" w:rsidR="00962DB6" w:rsidRDefault="00000000">
            <w:pPr>
              <w:pStyle w:val="Compact"/>
              <w:jc w:val="center"/>
            </w:pPr>
            <w:r>
              <w:t>—</w:t>
            </w:r>
          </w:p>
        </w:tc>
      </w:tr>
      <w:tr w:rsidR="00962DB6" w14:paraId="26032F6A" w14:textId="77777777" w:rsidTr="00962DB6">
        <w:trPr>
          <w:cantSplit/>
        </w:trPr>
        <w:tc>
          <w:tcPr>
            <w:tcW w:w="0" w:type="auto"/>
          </w:tcPr>
          <w:p w14:paraId="14135F95" w14:textId="77777777" w:rsidR="00962DB6" w:rsidRDefault="00000000">
            <w:pPr>
              <w:pStyle w:val="Compact"/>
            </w:pPr>
            <w:r>
              <w:t>R31</w:t>
            </w:r>
          </w:p>
        </w:tc>
        <w:tc>
          <w:tcPr>
            <w:tcW w:w="0" w:type="auto"/>
          </w:tcPr>
          <w:p w14:paraId="4646A0EF" w14:textId="77777777" w:rsidR="00962DB6" w:rsidRDefault="00000000">
            <w:pPr>
              <w:pStyle w:val="Compact"/>
              <w:jc w:val="center"/>
            </w:pPr>
            <w:r>
              <w:t>—</w:t>
            </w:r>
          </w:p>
        </w:tc>
        <w:tc>
          <w:tcPr>
            <w:tcW w:w="0" w:type="auto"/>
          </w:tcPr>
          <w:p w14:paraId="1E98C772" w14:textId="77777777" w:rsidR="00962DB6" w:rsidRDefault="00000000">
            <w:pPr>
              <w:pStyle w:val="Compact"/>
              <w:jc w:val="center"/>
            </w:pPr>
            <w:r>
              <w:t>P</w:t>
            </w:r>
          </w:p>
        </w:tc>
        <w:tc>
          <w:tcPr>
            <w:tcW w:w="0" w:type="auto"/>
          </w:tcPr>
          <w:p w14:paraId="662812FD" w14:textId="77777777" w:rsidR="00962DB6" w:rsidRDefault="00000000">
            <w:pPr>
              <w:pStyle w:val="Compact"/>
              <w:jc w:val="center"/>
            </w:pPr>
            <w:r>
              <w:t>P</w:t>
            </w:r>
          </w:p>
        </w:tc>
        <w:tc>
          <w:tcPr>
            <w:tcW w:w="0" w:type="auto"/>
          </w:tcPr>
          <w:p w14:paraId="2A6D650E" w14:textId="77777777" w:rsidR="00962DB6" w:rsidRDefault="00000000">
            <w:pPr>
              <w:pStyle w:val="Compact"/>
              <w:jc w:val="center"/>
            </w:pPr>
            <w:r>
              <w:t>P (theory)</w:t>
            </w:r>
          </w:p>
        </w:tc>
        <w:tc>
          <w:tcPr>
            <w:tcW w:w="0" w:type="auto"/>
          </w:tcPr>
          <w:p w14:paraId="41CA8834" w14:textId="77777777" w:rsidR="00962DB6" w:rsidRDefault="00000000">
            <w:pPr>
              <w:pStyle w:val="Compact"/>
              <w:jc w:val="center"/>
            </w:pPr>
            <w:r>
              <w:t>—</w:t>
            </w:r>
          </w:p>
        </w:tc>
        <w:tc>
          <w:tcPr>
            <w:tcW w:w="0" w:type="auto"/>
          </w:tcPr>
          <w:p w14:paraId="11D7FCA0" w14:textId="77777777" w:rsidR="00962DB6" w:rsidRDefault="00000000">
            <w:pPr>
              <w:pStyle w:val="Compact"/>
              <w:jc w:val="center"/>
            </w:pPr>
            <w:r>
              <w:t>—</w:t>
            </w:r>
          </w:p>
        </w:tc>
      </w:tr>
      <w:tr w:rsidR="00962DB6" w14:paraId="49DBD9C5" w14:textId="77777777" w:rsidTr="00962DB6">
        <w:trPr>
          <w:cantSplit/>
        </w:trPr>
        <w:tc>
          <w:tcPr>
            <w:tcW w:w="0" w:type="auto"/>
          </w:tcPr>
          <w:p w14:paraId="633EAC34" w14:textId="77777777" w:rsidR="00962DB6" w:rsidRDefault="00000000">
            <w:pPr>
              <w:pStyle w:val="Compact"/>
            </w:pPr>
            <w:r>
              <w:t>R35</w:t>
            </w:r>
          </w:p>
        </w:tc>
        <w:tc>
          <w:tcPr>
            <w:tcW w:w="0" w:type="auto"/>
          </w:tcPr>
          <w:p w14:paraId="766137A8" w14:textId="77777777" w:rsidR="00962DB6" w:rsidRDefault="00000000">
            <w:pPr>
              <w:pStyle w:val="Compact"/>
              <w:jc w:val="center"/>
            </w:pPr>
            <w:r>
              <w:t>—</w:t>
            </w:r>
          </w:p>
        </w:tc>
        <w:tc>
          <w:tcPr>
            <w:tcW w:w="0" w:type="auto"/>
          </w:tcPr>
          <w:p w14:paraId="0AA11009" w14:textId="77777777" w:rsidR="00962DB6" w:rsidRDefault="00000000">
            <w:pPr>
              <w:pStyle w:val="Compact"/>
              <w:jc w:val="center"/>
            </w:pPr>
            <w:r>
              <w:t>—</w:t>
            </w:r>
          </w:p>
        </w:tc>
        <w:tc>
          <w:tcPr>
            <w:tcW w:w="0" w:type="auto"/>
          </w:tcPr>
          <w:p w14:paraId="5FF0E13D" w14:textId="77777777" w:rsidR="00962DB6" w:rsidRDefault="00000000">
            <w:pPr>
              <w:pStyle w:val="Compact"/>
              <w:jc w:val="center"/>
            </w:pPr>
            <w:r>
              <w:t>—</w:t>
            </w:r>
          </w:p>
        </w:tc>
        <w:tc>
          <w:tcPr>
            <w:tcW w:w="0" w:type="auto"/>
          </w:tcPr>
          <w:p w14:paraId="36FDD54D" w14:textId="77777777" w:rsidR="00962DB6" w:rsidRDefault="00000000">
            <w:pPr>
              <w:pStyle w:val="Compact"/>
              <w:jc w:val="center"/>
            </w:pPr>
            <w:r>
              <w:t>—</w:t>
            </w:r>
          </w:p>
        </w:tc>
        <w:tc>
          <w:tcPr>
            <w:tcW w:w="0" w:type="auto"/>
          </w:tcPr>
          <w:p w14:paraId="42ECB347" w14:textId="77777777" w:rsidR="00962DB6" w:rsidRDefault="00000000">
            <w:pPr>
              <w:pStyle w:val="Compact"/>
              <w:jc w:val="center"/>
            </w:pPr>
            <w:r>
              <w:t>—</w:t>
            </w:r>
          </w:p>
        </w:tc>
        <w:tc>
          <w:tcPr>
            <w:tcW w:w="0" w:type="auto"/>
          </w:tcPr>
          <w:p w14:paraId="0DA68F80" w14:textId="77777777" w:rsidR="00962DB6" w:rsidRDefault="00000000">
            <w:pPr>
              <w:pStyle w:val="Compact"/>
              <w:jc w:val="center"/>
            </w:pPr>
            <w:r>
              <w:rPr>
                <w:b/>
                <w:bCs/>
              </w:rPr>
              <w:t>Y</w:t>
            </w:r>
          </w:p>
        </w:tc>
      </w:tr>
      <w:tr w:rsidR="00962DB6" w14:paraId="452218B6" w14:textId="77777777" w:rsidTr="00962DB6">
        <w:trPr>
          <w:cantSplit/>
        </w:trPr>
        <w:tc>
          <w:tcPr>
            <w:tcW w:w="0" w:type="auto"/>
          </w:tcPr>
          <w:p w14:paraId="123E4438" w14:textId="77777777" w:rsidR="00962DB6" w:rsidRDefault="00000000">
            <w:pPr>
              <w:pStyle w:val="Compact"/>
            </w:pPr>
            <w:r>
              <w:rPr>
                <w:b/>
                <w:bCs/>
              </w:rPr>
              <w:t>This work</w:t>
            </w:r>
          </w:p>
        </w:tc>
        <w:tc>
          <w:tcPr>
            <w:tcW w:w="0" w:type="auto"/>
          </w:tcPr>
          <w:p w14:paraId="79CBD02A" w14:textId="77777777" w:rsidR="00962DB6" w:rsidRDefault="00000000">
            <w:pPr>
              <w:pStyle w:val="Compact"/>
              <w:jc w:val="center"/>
            </w:pPr>
            <w:r>
              <w:rPr>
                <w:b/>
                <w:bCs/>
              </w:rPr>
              <w:t>Y</w:t>
            </w:r>
          </w:p>
        </w:tc>
        <w:tc>
          <w:tcPr>
            <w:tcW w:w="0" w:type="auto"/>
          </w:tcPr>
          <w:p w14:paraId="1AFDC176" w14:textId="77777777" w:rsidR="00962DB6" w:rsidRDefault="00000000">
            <w:pPr>
              <w:pStyle w:val="Compact"/>
              <w:jc w:val="center"/>
            </w:pPr>
            <w:r>
              <w:rPr>
                <w:b/>
                <w:bCs/>
              </w:rPr>
              <w:t>Y</w:t>
            </w:r>
          </w:p>
        </w:tc>
        <w:tc>
          <w:tcPr>
            <w:tcW w:w="0" w:type="auto"/>
          </w:tcPr>
          <w:p w14:paraId="13F39C6B" w14:textId="77777777" w:rsidR="00962DB6" w:rsidRDefault="00000000">
            <w:pPr>
              <w:pStyle w:val="Compact"/>
              <w:jc w:val="center"/>
            </w:pPr>
            <w:r>
              <w:rPr>
                <w:b/>
                <w:bCs/>
              </w:rPr>
              <w:t>Y</w:t>
            </w:r>
          </w:p>
        </w:tc>
        <w:tc>
          <w:tcPr>
            <w:tcW w:w="0" w:type="auto"/>
          </w:tcPr>
          <w:p w14:paraId="03C47277" w14:textId="77777777" w:rsidR="00962DB6" w:rsidRDefault="00000000">
            <w:pPr>
              <w:pStyle w:val="Compact"/>
              <w:jc w:val="center"/>
            </w:pPr>
            <w:r>
              <w:rPr>
                <w:b/>
                <w:bCs/>
              </w:rPr>
              <w:t>Y</w:t>
            </w:r>
          </w:p>
        </w:tc>
        <w:tc>
          <w:tcPr>
            <w:tcW w:w="0" w:type="auto"/>
          </w:tcPr>
          <w:p w14:paraId="2267FE8C" w14:textId="77777777" w:rsidR="00962DB6" w:rsidRDefault="00000000">
            <w:pPr>
              <w:pStyle w:val="Compact"/>
              <w:jc w:val="center"/>
            </w:pPr>
            <w:r>
              <w:rPr>
                <w:b/>
                <w:bCs/>
              </w:rPr>
              <w:t>Y</w:t>
            </w:r>
          </w:p>
        </w:tc>
        <w:tc>
          <w:tcPr>
            <w:tcW w:w="0" w:type="auto"/>
          </w:tcPr>
          <w:p w14:paraId="0A9D06FF" w14:textId="77777777" w:rsidR="00962DB6" w:rsidRDefault="00000000">
            <w:pPr>
              <w:pStyle w:val="Compact"/>
              <w:jc w:val="center"/>
            </w:pPr>
            <w:r>
              <w:rPr>
                <w:b/>
                <w:bCs/>
              </w:rPr>
              <w:t>Y</w:t>
            </w:r>
          </w:p>
        </w:tc>
      </w:tr>
    </w:tbl>
    <w:p w14:paraId="481AE12C" w14:textId="77777777" w:rsidR="00962DB6" w:rsidRDefault="00000000">
      <w:pPr>
        <w:pStyle w:val="BodyText"/>
      </w:pPr>
      <w:r>
        <w:rPr>
          <w:i/>
          <w:iCs/>
        </w:rPr>
        <w:lastRenderedPageBreak/>
        <w:t>R6 = Provos; R9 = Barron &amp; Nikiforakis; R10 = Vetterl &amp; Clayton; R12 = LLM Agent Honeypot; R15 = Decoy documents; R17 = Honeytoken fingerprinting; R18 = Honeyfile metrics; R19 = Application-layer deception survey; R20 = Honeyquest; R21 = Koney; R31 = Signalling games with evidence; R35 = Ferguson-Walter et al. Columns, left to right: deception inside the live response; chosen per session from a belief; trigger derived rather than tuned; invisibility to honest users measured; decoy consistency measured; causal effect established.</w:t>
      </w:r>
    </w:p>
    <w:p w14:paraId="4A3D33C5" w14:textId="77777777" w:rsidR="00962DB6" w:rsidRDefault="00000000">
      <w:pPr>
        <w:pStyle w:val="BodyText"/>
      </w:pPr>
      <w:r>
        <w:t>No row other than the last carries more than two “Y” marks — the table on which this paper’s novelty claim rests.</w:t>
      </w:r>
    </w:p>
    <w:p w14:paraId="28F7DDCA" w14:textId="77777777" w:rsidR="00962DB6" w:rsidRDefault="00000000">
      <w:pPr>
        <w:pStyle w:val="Heading2"/>
      </w:pPr>
      <w:bookmarkStart w:id="27" w:name="research-gaps"/>
      <w:bookmarkEnd w:id="26"/>
      <w:r>
        <w:t>3.15 Research Gaps</w:t>
      </w:r>
    </w:p>
    <w:p w14:paraId="48046453" w14:textId="77777777" w:rsidR="00962DB6" w:rsidRDefault="00000000">
      <w:pPr>
        <w:pStyle w:val="FirstParagraph"/>
      </w:pPr>
      <w:r>
        <w:t>Six gaps in the literature, mapped to the corresponding contribution of this paper, structure the design set out in Section 4.</w:t>
      </w:r>
    </w:p>
    <w:p w14:paraId="6B89AB1A" w14:textId="77777777" w:rsidR="00962DB6" w:rsidRDefault="00000000">
      <w:pPr>
        <w:pStyle w:val="BodyText"/>
      </w:pPr>
      <w:r>
        <w:rPr>
          <w:b/>
          <w:bCs/>
        </w:rPr>
        <w:t>Gap 1 — Deception is placed outside the real request path.</w:t>
      </w:r>
      <w:r>
        <w:t xml:space="preserve"> Honeypots are separate systems [R6, R7, R8]; decoys sit in files [R14, R15, R18] or credential stores [R16]. Attackers hitting the real application are never touched. Application-layer deception is the fix, and it is explicitly under-researched [R19]. → </w:t>
      </w:r>
      <w:r>
        <w:rPr>
          <w:i/>
          <w:iCs/>
        </w:rPr>
        <w:t>Response-side probes injected into live responses.</w:t>
      </w:r>
    </w:p>
    <w:p w14:paraId="1B75F451" w14:textId="77777777" w:rsidR="00962DB6" w:rsidRDefault="00000000">
      <w:pPr>
        <w:pStyle w:val="BodyText"/>
      </w:pPr>
      <w:r>
        <w:rPr>
          <w:b/>
          <w:bCs/>
        </w:rPr>
        <w:t>Gap 2 — The decision of when to deceive is not modelled.</w:t>
      </w:r>
      <w:r>
        <w:t xml:space="preserve"> Tokens are always on [R14, R15, R16, R21]. Where a decision exists at all, it is a tuned threshold [R22, R23, R25] or a game-theoretic equilibrium requiring strong assumptions [R3, R31]. → </w:t>
      </w:r>
      <w:r>
        <w:rPr>
          <w:i/>
          <w:iCs/>
        </w:rPr>
        <w:t>A decision rule where probing is the cost-optimal action over a band derived from the cost table and the probe’s measured effectiveness; remove the value-of-information term [R29] and the third action does not exist at all.</w:t>
      </w:r>
    </w:p>
    <w:p w14:paraId="172A823F" w14:textId="77777777" w:rsidR="00962DB6" w:rsidRDefault="00000000">
      <w:pPr>
        <w:pStyle w:val="BodyText"/>
      </w:pPr>
      <w:r>
        <w:rPr>
          <w:b/>
          <w:bCs/>
        </w:rPr>
        <w:t>Gap 3 — The evidence value of a trap is asserted, not measured.</w:t>
      </w:r>
      <w:r>
        <w:t xml:space="preserve"> A bite raises an alarm [R14, R16]; nobody reports how much a bite should move a belief, and nobody uses the information contained in </w:t>
      </w:r>
      <w:r>
        <w:rPr>
          <w:i/>
          <w:iCs/>
        </w:rPr>
        <w:t>not</w:t>
      </w:r>
      <w:r>
        <w:t xml:space="preserve"> biting. → </w:t>
      </w:r>
      <w:r>
        <w:rPr>
          <w:i/>
          <w:iCs/>
        </w:rPr>
        <w:t>A likelihood ratio for both bite and no-bite, estimated in a dedicated calibration round.</w:t>
      </w:r>
    </w:p>
    <w:p w14:paraId="54D374EA" w14:textId="77777777" w:rsidR="00962DB6" w:rsidRDefault="00000000">
      <w:pPr>
        <w:pStyle w:val="BodyText"/>
      </w:pPr>
      <w:r>
        <w:rPr>
          <w:b/>
          <w:bCs/>
        </w:rPr>
        <w:t>Gap 4 — The cost to honest users is not measured.</w:t>
      </w:r>
      <w:r>
        <w:t xml:space="preserve"> The field measures realism and enticement [R18, R20] and detectability by attackers [R10, R17], but not what deception does to people who were never the target. → </w:t>
      </w:r>
      <w:r>
        <w:rPr>
          <w:i/>
          <w:iCs/>
        </w:rPr>
        <w:t>An invisibility gate with a stated equivalence bound [R38], tested against a benign corpus deliberately built to be hard.</w:t>
      </w:r>
    </w:p>
    <w:p w14:paraId="4F392088" w14:textId="77777777" w:rsidR="00962DB6" w:rsidRDefault="00000000">
      <w:pPr>
        <w:pStyle w:val="BodyText"/>
      </w:pPr>
      <w:r>
        <w:rPr>
          <w:b/>
          <w:bCs/>
        </w:rPr>
        <w:t>Gap 5 — Almost no causal claims.</w:t>
      </w:r>
      <w:r>
        <w:t xml:space="preserve"> Only Ferguson-Walter et al. [R35] run a controlled experiment, and it requires expensive human subjects. Every other “our deception helped” claim compares two different systems, so the effect is confounded. → </w:t>
      </w:r>
      <w:r>
        <w:rPr>
          <w:i/>
          <w:iCs/>
        </w:rPr>
        <w:t>A randomised holdout inside one system, giving an unbiased estimate of the effect of baiting on time-to-decision.</w:t>
      </w:r>
    </w:p>
    <w:p w14:paraId="5DA1CDFB" w14:textId="77777777" w:rsidR="00962DB6" w:rsidRDefault="00000000">
      <w:pPr>
        <w:pStyle w:val="BodyText"/>
      </w:pPr>
      <w:r>
        <w:rPr>
          <w:b/>
          <w:bCs/>
        </w:rPr>
        <w:t>Gap 6 — Generated fake worlds contradict themselves, and nobody counts it.</w:t>
      </w:r>
      <w:r>
        <w:t xml:space="preserve"> LLM honeypots generate content live [R11, R12], and the field’s own systematisation names evaluation as an open problem [R13]; contradiction is exactly how an experienced attacker detects a trap [R10]. → </w:t>
      </w:r>
      <w:r>
        <w:rPr>
          <w:i/>
          <w:iCs/>
        </w:rPr>
        <w:t>A persistent Fact Notebook and a reported contradiction rate.</w:t>
      </w:r>
    </w:p>
    <w:p w14:paraId="23680874" w14:textId="77777777" w:rsidR="00962DB6" w:rsidRDefault="00000000">
      <w:pPr>
        <w:pStyle w:val="Heading1"/>
      </w:pPr>
      <w:bookmarkStart w:id="28" w:name="methodology"/>
      <w:bookmarkEnd w:id="6"/>
      <w:bookmarkEnd w:id="27"/>
      <w:r>
        <w:lastRenderedPageBreak/>
        <w:t>4. Methodology</w:t>
      </w:r>
    </w:p>
    <w:p w14:paraId="6918FDB0" w14:textId="77777777" w:rsidR="00962DB6" w:rsidRDefault="00000000">
      <w:pPr>
        <w:pStyle w:val="Heading2"/>
      </w:pPr>
      <w:bookmarkStart w:id="29" w:name="X94dfc50584235ca2c985bc4935ee103c6ba825d"/>
      <w:r>
        <w:t>4.1 Problem Formulation: Probing as a Priced Third Action</w:t>
      </w:r>
    </w:p>
    <w:p w14:paraId="7EC947F0" w14:textId="77777777" w:rsidR="00962DB6" w:rsidRDefault="00000000">
      <w:pPr>
        <w:pStyle w:val="FirstParagraph"/>
      </w:pPr>
      <w:r>
        <w:t xml:space="preserve">The present system extends a conventional two-action detector — allow or block — with a third action: an invisible, inert, response-side probe whose sole purpose is to manufacture additional evidence before a final decision is made. The probe is not a tuned heuristic. It is modelled as a purchase of information whose expected value is computed directly from (a) the detector’s belief about whether the current session is an attack, (b) a frozen table of the costs attached to each possible outcome (correctly allowing a benign session, wrongly blocking one, correctly blocking an attack, wrongly allowing one, and the cost of probing itself), and (c) the probe’s own measured effectiveness — the degree to which a bite, or the absence of a bite, shifts the belief. This is a direct application of Howard’s Expected Value of Sample Information [R29], combined with Elkan’s cost-sensitive decision framework [R30]. The belief interval over which probing is the cost-optimal action is </w:t>
      </w:r>
      <w:r>
        <w:rPr>
          <w:i/>
          <w:iCs/>
        </w:rPr>
        <w:t>derived</w:t>
      </w:r>
      <w:r>
        <w:t xml:space="preserve"> from these inputs rather than chosen by hand; under cost accounting alone, without the information term, that interval is empty, meaning the third action cannot exist as a tuned threshold — it exists only because, and precisely where, purchasing information is worth more than it costs.</w:t>
      </w:r>
    </w:p>
    <w:p w14:paraId="0AD9BDD3" w14:textId="77777777" w:rsidR="00962DB6" w:rsidRDefault="00000000">
      <w:pPr>
        <w:pStyle w:val="Heading2"/>
      </w:pPr>
      <w:bookmarkStart w:id="30" w:name="system-architecture"/>
      <w:bookmarkEnd w:id="29"/>
      <w:r>
        <w:t>4.2 System Architecture</w:t>
      </w:r>
    </w:p>
    <w:p w14:paraId="5E53F00A" w14:textId="77777777" w:rsidR="00962DB6" w:rsidRDefault="00000000">
      <w:pPr>
        <w:pStyle w:val="Heading3"/>
      </w:pPr>
      <w:bookmarkStart w:id="31" w:name="frozen-detection-model-and-cost-table"/>
      <w:r>
        <w:t>4.2.1 Frozen Detection Model and Cost Table</w:t>
      </w:r>
    </w:p>
    <w:p w14:paraId="552C85CD" w14:textId="77777777" w:rsidR="00962DB6" w:rsidRDefault="00000000">
      <w:pPr>
        <w:pStyle w:val="FirstParagraph"/>
      </w:pPr>
      <w:r>
        <w:t>The detection model and the error-cost table are frozen and hash-verified prior to any evaluation round, following the “dos and don’ts” discipline set out by Arp et al. [R34]: a fixed schema, a fixed cost table, a separate calibration round, and no mixing of attack rounds are each a direct, named answer to a documented pitfall in security machine learning (data snooping, spurious correlation, and inappropriate baselines in particular). The cost table itself follows Elkan’s coherence conditions [R30], ensuring the resulting decision rule is not economically self-contradictory.</w:t>
      </w:r>
    </w:p>
    <w:p w14:paraId="2815DEF8" w14:textId="77777777" w:rsidR="00962DB6" w:rsidRDefault="00000000">
      <w:pPr>
        <w:pStyle w:val="Heading3"/>
      </w:pPr>
      <w:bookmarkStart w:id="32" w:name="the-invisibility-gate"/>
      <w:bookmarkEnd w:id="31"/>
      <w:r>
        <w:t>4.2.2 The Invisibility Gate</w:t>
      </w:r>
    </w:p>
    <w:p w14:paraId="6A178D3C" w14:textId="77777777" w:rsidR="00962DB6" w:rsidRDefault="00000000">
      <w:pPr>
        <w:pStyle w:val="FirstParagraph"/>
      </w:pPr>
      <w:r>
        <w:t xml:space="preserve">Because the probe must never be detectable by an honest user — a detectable trap is worse than no trap at all, since it teaches an attacker they have been seen [R10] — every candidate probe is certified by an invisibility gate before it is permitted to fire. The gate applies the Two One-Sided Tests (TOST) equivalence procedure [R38]: rather than testing for a </w:t>
      </w:r>
      <w:r>
        <w:rPr>
          <w:i/>
          <w:iCs/>
        </w:rPr>
        <w:t>significant difference</w:t>
      </w:r>
      <w:r>
        <w:t xml:space="preserve"> between probed and unprobed responses, which a non-significant result cannot use as evidence of equivalence, the gate tests directly </w:t>
      </w:r>
      <w:r>
        <w:rPr>
          <w:i/>
          <w:iCs/>
        </w:rPr>
        <w:t>for</w:t>
      </w:r>
      <w:r>
        <w:t xml:space="preserve"> equivalence within a stated bound. This treats invisibility as a property to be measured and certified, in the spirit of Bowen et al.’s “non-interfering” decoy criterion [R15], rather than assumed, and directly answers the fingerprinting risk demonstrated at scale by Vetterl and Clayton [R10] and specifically for honeytokens by Srinivasa, Pedersen, and Vasilomanolakis [R17].</w:t>
      </w:r>
    </w:p>
    <w:p w14:paraId="24921908" w14:textId="77777777" w:rsidR="00962DB6" w:rsidRDefault="00000000">
      <w:pPr>
        <w:pStyle w:val="BodyText"/>
      </w:pPr>
      <w:r>
        <w:rPr>
          <w:b/>
          <w:bCs/>
        </w:rPr>
        <w:t>Table 6 — Keeping the fake world consistent</w:t>
      </w:r>
    </w:p>
    <w:tbl>
      <w:tblPr>
        <w:tblStyle w:val="Table"/>
        <w:tblW w:w="5000" w:type="pct"/>
        <w:tblLook w:val="0020" w:firstRow="1" w:lastRow="0" w:firstColumn="0" w:lastColumn="0" w:noHBand="0" w:noVBand="0"/>
      </w:tblPr>
      <w:tblGrid>
        <w:gridCol w:w="1968"/>
        <w:gridCol w:w="2926"/>
        <w:gridCol w:w="2403"/>
        <w:gridCol w:w="2279"/>
      </w:tblGrid>
      <w:tr w:rsidR="00962DB6" w14:paraId="5B545580" w14:textId="77777777" w:rsidTr="00962DB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3D70068" w14:textId="77777777" w:rsidR="00962DB6" w:rsidRDefault="00000000">
            <w:pPr>
              <w:pStyle w:val="Compact"/>
            </w:pPr>
            <w:r>
              <w:lastRenderedPageBreak/>
              <w:t>Work</w:t>
            </w:r>
          </w:p>
        </w:tc>
        <w:tc>
          <w:tcPr>
            <w:tcW w:w="0" w:type="auto"/>
          </w:tcPr>
          <w:p w14:paraId="3A37479C" w14:textId="77777777" w:rsidR="00962DB6" w:rsidRDefault="00000000">
            <w:pPr>
              <w:pStyle w:val="Compact"/>
            </w:pPr>
            <w:r>
              <w:t>Fake content generated</w:t>
            </w:r>
          </w:p>
        </w:tc>
        <w:tc>
          <w:tcPr>
            <w:tcW w:w="0" w:type="auto"/>
          </w:tcPr>
          <w:p w14:paraId="75C2FD7E" w14:textId="77777777" w:rsidR="00962DB6" w:rsidRDefault="00000000">
            <w:pPr>
              <w:pStyle w:val="Compact"/>
            </w:pPr>
            <w:r>
              <w:t>Remembers what it said</w:t>
            </w:r>
          </w:p>
        </w:tc>
        <w:tc>
          <w:tcPr>
            <w:tcW w:w="0" w:type="auto"/>
          </w:tcPr>
          <w:p w14:paraId="5483B219" w14:textId="77777777" w:rsidR="00962DB6" w:rsidRDefault="00000000">
            <w:pPr>
              <w:pStyle w:val="Compact"/>
            </w:pPr>
            <w:r>
              <w:t>Contradiction measured</w:t>
            </w:r>
          </w:p>
        </w:tc>
      </w:tr>
      <w:tr w:rsidR="00962DB6" w14:paraId="56FC0A49" w14:textId="77777777" w:rsidTr="00962DB6">
        <w:trPr>
          <w:cantSplit/>
        </w:trPr>
        <w:tc>
          <w:tcPr>
            <w:tcW w:w="0" w:type="auto"/>
          </w:tcPr>
          <w:p w14:paraId="4D610955" w14:textId="77777777" w:rsidR="00962DB6" w:rsidRDefault="00000000">
            <w:pPr>
              <w:pStyle w:val="Compact"/>
            </w:pPr>
            <w:r>
              <w:t>R6 Honeyd</w:t>
            </w:r>
          </w:p>
        </w:tc>
        <w:tc>
          <w:tcPr>
            <w:tcW w:w="0" w:type="auto"/>
          </w:tcPr>
          <w:p w14:paraId="1EAFE90F" w14:textId="77777777" w:rsidR="00962DB6" w:rsidRDefault="00000000">
            <w:pPr>
              <w:pStyle w:val="Compact"/>
            </w:pPr>
            <w:r>
              <w:t>Scripted</w:t>
            </w:r>
          </w:p>
        </w:tc>
        <w:tc>
          <w:tcPr>
            <w:tcW w:w="0" w:type="auto"/>
          </w:tcPr>
          <w:p w14:paraId="5D8C9C7E" w14:textId="77777777" w:rsidR="00962DB6" w:rsidRDefault="00000000">
            <w:pPr>
              <w:pStyle w:val="Compact"/>
            </w:pPr>
            <w:r>
              <w:t>n/a</w:t>
            </w:r>
          </w:p>
        </w:tc>
        <w:tc>
          <w:tcPr>
            <w:tcW w:w="0" w:type="auto"/>
          </w:tcPr>
          <w:p w14:paraId="765C88E1" w14:textId="77777777" w:rsidR="00962DB6" w:rsidRDefault="00000000">
            <w:pPr>
              <w:pStyle w:val="Compact"/>
            </w:pPr>
            <w:r>
              <w:t>No</w:t>
            </w:r>
          </w:p>
        </w:tc>
      </w:tr>
      <w:tr w:rsidR="00962DB6" w14:paraId="44D8A9E5" w14:textId="77777777" w:rsidTr="00962DB6">
        <w:trPr>
          <w:cantSplit/>
        </w:trPr>
        <w:tc>
          <w:tcPr>
            <w:tcW w:w="0" w:type="auto"/>
          </w:tcPr>
          <w:p w14:paraId="1E2377C0" w14:textId="77777777" w:rsidR="00962DB6" w:rsidRDefault="00000000">
            <w:pPr>
              <w:pStyle w:val="Compact"/>
            </w:pPr>
            <w:r>
              <w:t>R11 shelLM</w:t>
            </w:r>
          </w:p>
        </w:tc>
        <w:tc>
          <w:tcPr>
            <w:tcW w:w="0" w:type="auto"/>
          </w:tcPr>
          <w:p w14:paraId="51B5C36F" w14:textId="77777777" w:rsidR="00962DB6" w:rsidRDefault="00000000">
            <w:pPr>
              <w:pStyle w:val="Compact"/>
            </w:pPr>
            <w:r>
              <w:t>LLM, live</w:t>
            </w:r>
          </w:p>
        </w:tc>
        <w:tc>
          <w:tcPr>
            <w:tcW w:w="0" w:type="auto"/>
          </w:tcPr>
          <w:p w14:paraId="45176C7D" w14:textId="77777777" w:rsidR="00962DB6" w:rsidRDefault="00000000">
            <w:pPr>
              <w:pStyle w:val="Compact"/>
            </w:pPr>
            <w:r>
              <w:t>Limited to context window</w:t>
            </w:r>
          </w:p>
        </w:tc>
        <w:tc>
          <w:tcPr>
            <w:tcW w:w="0" w:type="auto"/>
          </w:tcPr>
          <w:p w14:paraId="2EA9D838" w14:textId="77777777" w:rsidR="00962DB6" w:rsidRDefault="00000000">
            <w:pPr>
              <w:pStyle w:val="Compact"/>
            </w:pPr>
            <w:r>
              <w:t>No</w:t>
            </w:r>
          </w:p>
        </w:tc>
      </w:tr>
      <w:tr w:rsidR="00962DB6" w14:paraId="213645DD" w14:textId="77777777" w:rsidTr="00962DB6">
        <w:trPr>
          <w:cantSplit/>
        </w:trPr>
        <w:tc>
          <w:tcPr>
            <w:tcW w:w="0" w:type="auto"/>
          </w:tcPr>
          <w:p w14:paraId="46FA8FF5" w14:textId="77777777" w:rsidR="00962DB6" w:rsidRDefault="00000000">
            <w:pPr>
              <w:pStyle w:val="Compact"/>
            </w:pPr>
            <w:r>
              <w:t>R12 LLM Agent Honeypot</w:t>
            </w:r>
          </w:p>
        </w:tc>
        <w:tc>
          <w:tcPr>
            <w:tcW w:w="0" w:type="auto"/>
          </w:tcPr>
          <w:p w14:paraId="157174B6" w14:textId="77777777" w:rsidR="00962DB6" w:rsidRDefault="00000000">
            <w:pPr>
              <w:pStyle w:val="Compact"/>
            </w:pPr>
            <w:r>
              <w:t>LLM, live</w:t>
            </w:r>
          </w:p>
        </w:tc>
        <w:tc>
          <w:tcPr>
            <w:tcW w:w="0" w:type="auto"/>
          </w:tcPr>
          <w:p w14:paraId="3C972144" w14:textId="77777777" w:rsidR="00962DB6" w:rsidRDefault="00000000">
            <w:pPr>
              <w:pStyle w:val="Compact"/>
            </w:pPr>
            <w:r>
              <w:t>Session only</w:t>
            </w:r>
          </w:p>
        </w:tc>
        <w:tc>
          <w:tcPr>
            <w:tcW w:w="0" w:type="auto"/>
          </w:tcPr>
          <w:p w14:paraId="0CE3FB8F" w14:textId="77777777" w:rsidR="00962DB6" w:rsidRDefault="00000000">
            <w:pPr>
              <w:pStyle w:val="Compact"/>
            </w:pPr>
            <w:r>
              <w:t>No</w:t>
            </w:r>
          </w:p>
        </w:tc>
      </w:tr>
      <w:tr w:rsidR="00962DB6" w14:paraId="76779C41" w14:textId="77777777" w:rsidTr="00962DB6">
        <w:trPr>
          <w:cantSplit/>
        </w:trPr>
        <w:tc>
          <w:tcPr>
            <w:tcW w:w="0" w:type="auto"/>
          </w:tcPr>
          <w:p w14:paraId="3A22E981" w14:textId="77777777" w:rsidR="00962DB6" w:rsidRDefault="00000000">
            <w:pPr>
              <w:pStyle w:val="Compact"/>
            </w:pPr>
            <w:r>
              <w:t>R13 SoK (survey)</w:t>
            </w:r>
          </w:p>
        </w:tc>
        <w:tc>
          <w:tcPr>
            <w:tcW w:w="0" w:type="auto"/>
          </w:tcPr>
          <w:p w14:paraId="6864D8DF" w14:textId="77777777" w:rsidR="00962DB6" w:rsidRDefault="00000000">
            <w:pPr>
              <w:pStyle w:val="Compact"/>
            </w:pPr>
            <w:r>
              <w:t>—</w:t>
            </w:r>
          </w:p>
        </w:tc>
        <w:tc>
          <w:tcPr>
            <w:tcW w:w="0" w:type="auto"/>
          </w:tcPr>
          <w:p w14:paraId="7FE0C923" w14:textId="77777777" w:rsidR="00962DB6" w:rsidRDefault="00000000">
            <w:pPr>
              <w:pStyle w:val="Compact"/>
            </w:pPr>
            <w:r>
              <w:t>Reports this as an open problem</w:t>
            </w:r>
          </w:p>
        </w:tc>
        <w:tc>
          <w:tcPr>
            <w:tcW w:w="0" w:type="auto"/>
          </w:tcPr>
          <w:p w14:paraId="6D9133A8" w14:textId="77777777" w:rsidR="00962DB6" w:rsidRDefault="00000000">
            <w:pPr>
              <w:pStyle w:val="Compact"/>
            </w:pPr>
            <w:r>
              <w:t>—</w:t>
            </w:r>
          </w:p>
        </w:tc>
      </w:tr>
      <w:tr w:rsidR="00962DB6" w14:paraId="396B6610" w14:textId="77777777" w:rsidTr="00962DB6">
        <w:trPr>
          <w:cantSplit/>
        </w:trPr>
        <w:tc>
          <w:tcPr>
            <w:tcW w:w="0" w:type="auto"/>
          </w:tcPr>
          <w:p w14:paraId="65B25CED" w14:textId="77777777" w:rsidR="00962DB6" w:rsidRDefault="00000000">
            <w:pPr>
              <w:pStyle w:val="Compact"/>
            </w:pPr>
            <w:r>
              <w:rPr>
                <w:b/>
                <w:bCs/>
              </w:rPr>
              <w:t>This work</w:t>
            </w:r>
          </w:p>
        </w:tc>
        <w:tc>
          <w:tcPr>
            <w:tcW w:w="0" w:type="auto"/>
          </w:tcPr>
          <w:p w14:paraId="06A3DEEC" w14:textId="77777777" w:rsidR="00962DB6" w:rsidRDefault="00000000">
            <w:pPr>
              <w:pStyle w:val="Compact"/>
            </w:pPr>
            <w:r>
              <w:t>Offline, before runtime (generator-agnostic)</w:t>
            </w:r>
          </w:p>
        </w:tc>
        <w:tc>
          <w:tcPr>
            <w:tcW w:w="0" w:type="auto"/>
          </w:tcPr>
          <w:p w14:paraId="57ABA9A6" w14:textId="77777777" w:rsidR="00962DB6" w:rsidRDefault="00000000">
            <w:pPr>
              <w:pStyle w:val="Compact"/>
            </w:pPr>
            <w:r>
              <w:t>Persistent Fact Notebook</w:t>
            </w:r>
          </w:p>
        </w:tc>
        <w:tc>
          <w:tcPr>
            <w:tcW w:w="0" w:type="auto"/>
          </w:tcPr>
          <w:p w14:paraId="6F981BB2" w14:textId="77777777" w:rsidR="00962DB6" w:rsidRDefault="00000000">
            <w:pPr>
              <w:pStyle w:val="Compact"/>
            </w:pPr>
            <w:r>
              <w:rPr>
                <w:b/>
                <w:bCs/>
              </w:rPr>
              <w:t>Yes — contradiction rate</w:t>
            </w:r>
          </w:p>
        </w:tc>
      </w:tr>
    </w:tbl>
    <w:p w14:paraId="68374AF4" w14:textId="77777777" w:rsidR="00962DB6" w:rsidRDefault="00000000">
      <w:pPr>
        <w:pStyle w:val="Heading3"/>
      </w:pPr>
      <w:bookmarkStart w:id="33" w:name="the-state-consistent-decoy"/>
      <w:bookmarkEnd w:id="32"/>
      <w:r>
        <w:t>4.2.3 The State-Consistent Decoy</w:t>
      </w:r>
    </w:p>
    <w:p w14:paraId="2C4355FF" w14:textId="77777777" w:rsidR="00962DB6" w:rsidRDefault="00000000">
      <w:pPr>
        <w:pStyle w:val="FirstParagraph"/>
      </w:pPr>
      <w:r>
        <w:t xml:space="preserve">When a session is diverted, it is handed to a decoy backend whose fake data is generated </w:t>
      </w:r>
      <w:r>
        <w:rPr>
          <w:i/>
          <w:iCs/>
        </w:rPr>
        <w:t>offline</w:t>
      </w:r>
      <w:r>
        <w:t>, before runtime, rather than live as in shelLM [R11] and the LLM Agent Honeypot [R12]. Content is drawn from a persistent Fact Notebook so that once a fact is stated to a given entity it remains fixed for the remainder of that entity’s existence, and a contradiction rate is measured directly rather than left, as Bridges et al.’s systematisation notes it typically is [R13], unmeasured. In the evaluated implementation this contradiction rate falls from 100% to 0% once the consistency layer is enabled. The generator behind the Fact Notebook is deliberately pluggable — a deterministic synthetic generator is used in the evaluated system, and a batched large language model is an intended future substitute — because the contribution being claimed is the offline-generation-plus-consistency-plus-measurement combination, which holds under either generator, and not the use of a language model to produce fake content, which is not new [R11, R12]. This design also responds directly to the evaluation finding, in the most architecturally mature recent LLM-honeypot work, that improved single-response realism does not by itself translate into stronger deception, and that sustained, cross-session consistency is the harder and more important problem.</w:t>
      </w:r>
    </w:p>
    <w:p w14:paraId="2E46EBEF" w14:textId="77777777" w:rsidR="00962DB6" w:rsidRDefault="00000000">
      <w:pPr>
        <w:pStyle w:val="Heading2"/>
      </w:pPr>
      <w:bookmarkStart w:id="34" w:name="parameter-sensitivity-analysis"/>
      <w:bookmarkEnd w:id="30"/>
      <w:bookmarkEnd w:id="33"/>
      <w:r>
        <w:t>4.3 Parameter Sensitivity Analysis</w:t>
      </w:r>
    </w:p>
    <w:p w14:paraId="71D5F08F" w14:textId="77777777" w:rsidR="00962DB6" w:rsidRDefault="00000000">
      <w:pPr>
        <w:pStyle w:val="FirstParagraph"/>
      </w:pPr>
      <w:r>
        <w:t xml:space="preserve">The decision policy depends on one parameter that must be estimated rather than measured directly: the attacker base-rate, β_attack. A parameter sweep across β_attack ∈ [0.05, 0.99] shows that the cost-optimal probing band remains non-empty, and the safety-relevant divert-threshold floor remains at or above the cost-only boundary, across the entire range — only the </w:t>
      </w:r>
      <w:r>
        <w:rPr>
          <w:i/>
          <w:iCs/>
        </w:rPr>
        <w:t>magnitude</w:t>
      </w:r>
      <w:r>
        <w:t xml:space="preserve"> of the band and the threshold move with β_attack, not their existence. This addresses the base-rate fallacy directly: because attacks are rare, a system whose safety guarantee depended sensitively on the exact estimated base-rate would be fragile in exactly the way Axelsson [R32] shows naive intrusion-detection accuracy claims to be.</w:t>
      </w:r>
    </w:p>
    <w:p w14:paraId="377A9BC1" w14:textId="77777777" w:rsidR="00962DB6" w:rsidRDefault="00000000">
      <w:pPr>
        <w:pStyle w:val="Heading2"/>
      </w:pPr>
      <w:bookmarkStart w:id="35" w:name="evaluation-design"/>
      <w:bookmarkEnd w:id="34"/>
      <w:r>
        <w:lastRenderedPageBreak/>
        <w:t>4.4 Evaluation Design</w:t>
      </w:r>
    </w:p>
    <w:p w14:paraId="75B6140D" w14:textId="77777777" w:rsidR="00962DB6" w:rsidRDefault="00000000">
      <w:pPr>
        <w:pStyle w:val="Heading3"/>
      </w:pPr>
      <w:bookmarkStart w:id="36" w:name="benign-corpus-construction"/>
      <w:r>
        <w:t>4.4.1 Benign Corpus Construction</w:t>
      </w:r>
    </w:p>
    <w:p w14:paraId="652C27DD" w14:textId="77777777" w:rsidR="00962DB6" w:rsidRDefault="00000000">
      <w:pPr>
        <w:pStyle w:val="FirstParagraph"/>
      </w:pPr>
      <w:r>
        <w:rPr>
          <w:b/>
          <w:bCs/>
        </w:rPr>
        <w:t>Table 9 — Datasets</w:t>
      </w:r>
    </w:p>
    <w:tbl>
      <w:tblPr>
        <w:tblStyle w:val="Table"/>
        <w:tblW w:w="5000" w:type="pct"/>
        <w:tblLook w:val="0020" w:firstRow="1" w:lastRow="0" w:firstColumn="0" w:lastColumn="0" w:noHBand="0" w:noVBand="0"/>
      </w:tblPr>
      <w:tblGrid>
        <w:gridCol w:w="2729"/>
        <w:gridCol w:w="1191"/>
        <w:gridCol w:w="1046"/>
        <w:gridCol w:w="2713"/>
        <w:gridCol w:w="1897"/>
      </w:tblGrid>
      <w:tr w:rsidR="00962DB6" w14:paraId="3AAE1D0D" w14:textId="77777777" w:rsidTr="00962DB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6A022DE9" w14:textId="77777777" w:rsidR="00962DB6" w:rsidRDefault="00000000">
            <w:pPr>
              <w:pStyle w:val="Compact"/>
            </w:pPr>
            <w:r>
              <w:t>Dataset</w:t>
            </w:r>
          </w:p>
        </w:tc>
        <w:tc>
          <w:tcPr>
            <w:tcW w:w="0" w:type="auto"/>
          </w:tcPr>
          <w:p w14:paraId="70A841AC" w14:textId="77777777" w:rsidR="00962DB6" w:rsidRDefault="00000000">
            <w:pPr>
              <w:pStyle w:val="Compact"/>
              <w:jc w:val="center"/>
            </w:pPr>
            <w:r>
              <w:t>Sessions?</w:t>
            </w:r>
          </w:p>
        </w:tc>
        <w:tc>
          <w:tcPr>
            <w:tcW w:w="0" w:type="auto"/>
          </w:tcPr>
          <w:p w14:paraId="01EC5142" w14:textId="77777777" w:rsidR="00962DB6" w:rsidRDefault="00000000">
            <w:pPr>
              <w:pStyle w:val="Compact"/>
              <w:jc w:val="center"/>
            </w:pPr>
            <w:r>
              <w:t>Timing?</w:t>
            </w:r>
          </w:p>
        </w:tc>
        <w:tc>
          <w:tcPr>
            <w:tcW w:w="0" w:type="auto"/>
          </w:tcPr>
          <w:p w14:paraId="61F6087F" w14:textId="77777777" w:rsidR="00962DB6" w:rsidRDefault="00000000">
            <w:pPr>
              <w:pStyle w:val="Compact"/>
              <w:jc w:val="center"/>
            </w:pPr>
            <w:r>
              <w:t>Benign-but-automated class?</w:t>
            </w:r>
          </w:p>
        </w:tc>
        <w:tc>
          <w:tcPr>
            <w:tcW w:w="0" w:type="auto"/>
          </w:tcPr>
          <w:p w14:paraId="36B0E0D5" w14:textId="77777777" w:rsidR="00962DB6" w:rsidRDefault="00000000">
            <w:pPr>
              <w:pStyle w:val="Compact"/>
              <w:jc w:val="center"/>
            </w:pPr>
            <w:r>
              <w:t>Bait interactions?</w:t>
            </w:r>
          </w:p>
        </w:tc>
      </w:tr>
      <w:tr w:rsidR="00962DB6" w14:paraId="735A199E" w14:textId="77777777" w:rsidTr="00962DB6">
        <w:trPr>
          <w:cantSplit/>
        </w:trPr>
        <w:tc>
          <w:tcPr>
            <w:tcW w:w="0" w:type="auto"/>
          </w:tcPr>
          <w:p w14:paraId="449D551D" w14:textId="77777777" w:rsidR="00962DB6" w:rsidRDefault="00000000">
            <w:pPr>
              <w:pStyle w:val="Compact"/>
            </w:pPr>
            <w:r>
              <w:t>CSIC 2010 [R24]</w:t>
            </w:r>
          </w:p>
        </w:tc>
        <w:tc>
          <w:tcPr>
            <w:tcW w:w="0" w:type="auto"/>
          </w:tcPr>
          <w:p w14:paraId="62D707C2" w14:textId="77777777" w:rsidR="00962DB6" w:rsidRDefault="00000000">
            <w:pPr>
              <w:pStyle w:val="Compact"/>
              <w:jc w:val="center"/>
            </w:pPr>
            <w:r>
              <w:t>No</w:t>
            </w:r>
          </w:p>
        </w:tc>
        <w:tc>
          <w:tcPr>
            <w:tcW w:w="0" w:type="auto"/>
          </w:tcPr>
          <w:p w14:paraId="6E518F97" w14:textId="77777777" w:rsidR="00962DB6" w:rsidRDefault="00000000">
            <w:pPr>
              <w:pStyle w:val="Compact"/>
              <w:jc w:val="center"/>
            </w:pPr>
            <w:r>
              <w:t>No</w:t>
            </w:r>
          </w:p>
        </w:tc>
        <w:tc>
          <w:tcPr>
            <w:tcW w:w="0" w:type="auto"/>
          </w:tcPr>
          <w:p w14:paraId="49FE8632" w14:textId="77777777" w:rsidR="00962DB6" w:rsidRDefault="00000000">
            <w:pPr>
              <w:pStyle w:val="Compact"/>
              <w:jc w:val="center"/>
            </w:pPr>
            <w:r>
              <w:t>No</w:t>
            </w:r>
          </w:p>
        </w:tc>
        <w:tc>
          <w:tcPr>
            <w:tcW w:w="0" w:type="auto"/>
          </w:tcPr>
          <w:p w14:paraId="446F0D32" w14:textId="77777777" w:rsidR="00962DB6" w:rsidRDefault="00000000">
            <w:pPr>
              <w:pStyle w:val="Compact"/>
              <w:jc w:val="center"/>
            </w:pPr>
            <w:r>
              <w:t>No</w:t>
            </w:r>
          </w:p>
        </w:tc>
      </w:tr>
      <w:tr w:rsidR="00962DB6" w14:paraId="0FEA8A59" w14:textId="77777777" w:rsidTr="00962DB6">
        <w:trPr>
          <w:cantSplit/>
        </w:trPr>
        <w:tc>
          <w:tcPr>
            <w:tcW w:w="0" w:type="auto"/>
          </w:tcPr>
          <w:p w14:paraId="6295B629" w14:textId="77777777" w:rsidR="00962DB6" w:rsidRDefault="00000000">
            <w:pPr>
              <w:pStyle w:val="Compact"/>
            </w:pPr>
            <w:r>
              <w:t>Honeypot captures [R7, R9]</w:t>
            </w:r>
          </w:p>
        </w:tc>
        <w:tc>
          <w:tcPr>
            <w:tcW w:w="0" w:type="auto"/>
          </w:tcPr>
          <w:p w14:paraId="247A352A" w14:textId="77777777" w:rsidR="00962DB6" w:rsidRDefault="00000000">
            <w:pPr>
              <w:pStyle w:val="Compact"/>
              <w:jc w:val="center"/>
            </w:pPr>
            <w:r>
              <w:t>Yes</w:t>
            </w:r>
          </w:p>
        </w:tc>
        <w:tc>
          <w:tcPr>
            <w:tcW w:w="0" w:type="auto"/>
          </w:tcPr>
          <w:p w14:paraId="7F563FCE" w14:textId="77777777" w:rsidR="00962DB6" w:rsidRDefault="00000000">
            <w:pPr>
              <w:pStyle w:val="Compact"/>
              <w:jc w:val="center"/>
            </w:pPr>
            <w:r>
              <w:t>Yes</w:t>
            </w:r>
          </w:p>
        </w:tc>
        <w:tc>
          <w:tcPr>
            <w:tcW w:w="0" w:type="auto"/>
          </w:tcPr>
          <w:p w14:paraId="2ADAC0D7" w14:textId="77777777" w:rsidR="00962DB6" w:rsidRDefault="00000000">
            <w:pPr>
              <w:pStyle w:val="Compact"/>
              <w:jc w:val="center"/>
            </w:pPr>
            <w:r>
              <w:t>No (all traffic hostile)</w:t>
            </w:r>
          </w:p>
        </w:tc>
        <w:tc>
          <w:tcPr>
            <w:tcW w:w="0" w:type="auto"/>
          </w:tcPr>
          <w:p w14:paraId="2524CD73" w14:textId="77777777" w:rsidR="00962DB6" w:rsidRDefault="00000000">
            <w:pPr>
              <w:pStyle w:val="Compact"/>
              <w:jc w:val="center"/>
            </w:pPr>
            <w:r>
              <w:t>No</w:t>
            </w:r>
          </w:p>
        </w:tc>
      </w:tr>
      <w:tr w:rsidR="00962DB6" w14:paraId="5458F6E9" w14:textId="77777777" w:rsidTr="00962DB6">
        <w:trPr>
          <w:cantSplit/>
        </w:trPr>
        <w:tc>
          <w:tcPr>
            <w:tcW w:w="0" w:type="auto"/>
          </w:tcPr>
          <w:p w14:paraId="33CA3C71" w14:textId="77777777" w:rsidR="00962DB6" w:rsidRDefault="00000000">
            <w:pPr>
              <w:pStyle w:val="Compact"/>
            </w:pPr>
            <w:r>
              <w:t>Honeyquest responses [R20]</w:t>
            </w:r>
          </w:p>
        </w:tc>
        <w:tc>
          <w:tcPr>
            <w:tcW w:w="0" w:type="auto"/>
          </w:tcPr>
          <w:p w14:paraId="707D9928" w14:textId="77777777" w:rsidR="00962DB6" w:rsidRDefault="00000000">
            <w:pPr>
              <w:pStyle w:val="Compact"/>
              <w:jc w:val="center"/>
            </w:pPr>
            <w:r>
              <w:t>n/a</w:t>
            </w:r>
          </w:p>
        </w:tc>
        <w:tc>
          <w:tcPr>
            <w:tcW w:w="0" w:type="auto"/>
          </w:tcPr>
          <w:p w14:paraId="1D699921" w14:textId="77777777" w:rsidR="00962DB6" w:rsidRDefault="00000000">
            <w:pPr>
              <w:pStyle w:val="Compact"/>
              <w:jc w:val="center"/>
            </w:pPr>
            <w:r>
              <w:t>n/a</w:t>
            </w:r>
          </w:p>
        </w:tc>
        <w:tc>
          <w:tcPr>
            <w:tcW w:w="0" w:type="auto"/>
          </w:tcPr>
          <w:p w14:paraId="77245BBB" w14:textId="77777777" w:rsidR="00962DB6" w:rsidRDefault="00000000">
            <w:pPr>
              <w:pStyle w:val="Compact"/>
              <w:jc w:val="center"/>
            </w:pPr>
            <w:r>
              <w:t>n/a</w:t>
            </w:r>
          </w:p>
        </w:tc>
        <w:tc>
          <w:tcPr>
            <w:tcW w:w="0" w:type="auto"/>
          </w:tcPr>
          <w:p w14:paraId="48DFFF7B" w14:textId="77777777" w:rsidR="00962DB6" w:rsidRDefault="00000000">
            <w:pPr>
              <w:pStyle w:val="Compact"/>
              <w:jc w:val="center"/>
            </w:pPr>
            <w:r>
              <w:t>Simulated</w:t>
            </w:r>
          </w:p>
        </w:tc>
      </w:tr>
      <w:tr w:rsidR="00962DB6" w14:paraId="641B5016" w14:textId="77777777" w:rsidTr="00962DB6">
        <w:trPr>
          <w:cantSplit/>
        </w:trPr>
        <w:tc>
          <w:tcPr>
            <w:tcW w:w="0" w:type="auto"/>
          </w:tcPr>
          <w:p w14:paraId="740531B1" w14:textId="77777777" w:rsidR="00962DB6" w:rsidRDefault="00000000">
            <w:pPr>
              <w:pStyle w:val="Compact"/>
            </w:pPr>
            <w:r>
              <w:rPr>
                <w:b/>
                <w:bCs/>
              </w:rPr>
              <w:t>This project’s corpus</w:t>
            </w:r>
          </w:p>
        </w:tc>
        <w:tc>
          <w:tcPr>
            <w:tcW w:w="0" w:type="auto"/>
          </w:tcPr>
          <w:p w14:paraId="06504678" w14:textId="77777777" w:rsidR="00962DB6" w:rsidRDefault="00000000">
            <w:pPr>
              <w:pStyle w:val="Compact"/>
              <w:jc w:val="center"/>
            </w:pPr>
            <w:r>
              <w:rPr>
                <w:b/>
                <w:bCs/>
              </w:rPr>
              <w:t>Yes</w:t>
            </w:r>
          </w:p>
        </w:tc>
        <w:tc>
          <w:tcPr>
            <w:tcW w:w="0" w:type="auto"/>
          </w:tcPr>
          <w:p w14:paraId="50AC241D" w14:textId="77777777" w:rsidR="00962DB6" w:rsidRDefault="00000000">
            <w:pPr>
              <w:pStyle w:val="Compact"/>
              <w:jc w:val="center"/>
            </w:pPr>
            <w:r>
              <w:rPr>
                <w:b/>
                <w:bCs/>
              </w:rPr>
              <w:t>Yes</w:t>
            </w:r>
          </w:p>
        </w:tc>
        <w:tc>
          <w:tcPr>
            <w:tcW w:w="0" w:type="auto"/>
          </w:tcPr>
          <w:p w14:paraId="76F2410D" w14:textId="77777777" w:rsidR="00962DB6" w:rsidRDefault="00000000">
            <w:pPr>
              <w:pStyle w:val="Compact"/>
              <w:jc w:val="center"/>
            </w:pPr>
            <w:r>
              <w:rPr>
                <w:b/>
                <w:bCs/>
              </w:rPr>
              <w:t>Yes</w:t>
            </w:r>
          </w:p>
        </w:tc>
        <w:tc>
          <w:tcPr>
            <w:tcW w:w="0" w:type="auto"/>
          </w:tcPr>
          <w:p w14:paraId="46B68BBB" w14:textId="77777777" w:rsidR="00962DB6" w:rsidRDefault="00000000">
            <w:pPr>
              <w:pStyle w:val="Compact"/>
              <w:jc w:val="center"/>
            </w:pPr>
            <w:r>
              <w:rPr>
                <w:b/>
                <w:bCs/>
              </w:rPr>
              <w:t>Yes</w:t>
            </w:r>
          </w:p>
        </w:tc>
      </w:tr>
    </w:tbl>
    <w:p w14:paraId="06DC3CF4" w14:textId="77777777" w:rsidR="00962DB6" w:rsidRDefault="00000000">
      <w:pPr>
        <w:pStyle w:val="BodyText"/>
      </w:pPr>
      <w:r>
        <w:t>The CSIC 2010 benchmark [R24], the field’s default, has no sessions, no timing, no benign-but-automated traffic class, and no bait interactions, and so cannot support any of the metrics this work reports; this is the direct justification for constructing a purpose-built corpus. Critically, the benign corpus was deliberately built to include automated-but-harmless clients alongside human traffic. A human-only benign set concealed a 100% false-positive rate on benign JSON-API integration clients; only once automated-but-harmless agents were added to the corpus did this failure become visible, illustrating that a safety metric only ever tests what its inputs contain.</w:t>
      </w:r>
    </w:p>
    <w:p w14:paraId="4A1B11C4" w14:textId="77777777" w:rsidR="00962DB6" w:rsidRDefault="00000000">
      <w:pPr>
        <w:pStyle w:val="Heading3"/>
      </w:pPr>
      <w:bookmarkStart w:id="37" w:name="randomized-holdout-and-causal-estimation"/>
      <w:bookmarkEnd w:id="36"/>
      <w:r>
        <w:t>4.4.2 Randomized Holdout and Causal Estimation</w:t>
      </w:r>
    </w:p>
    <w:p w14:paraId="0B855DBB" w14:textId="77777777" w:rsidR="00962DB6" w:rsidRDefault="00000000">
      <w:pPr>
        <w:pStyle w:val="FirstParagraph"/>
      </w:pPr>
      <w:r>
        <w:t>Following the controlled-experiment model set by Ferguson-Walter et al. [R35] — the one prior work in this literature to establish a causal effect of deception, at the cost of expensive and hard-to-repeat human-subjects testing — the present evaluation uses a randomised holdout inside a single running system. Sessions are randomly assigned to receive or not receive the probe, giving an unbiased, repeatable estimate of the probe’s causal effect without the cost of a human-subjects study.</w:t>
      </w:r>
    </w:p>
    <w:p w14:paraId="16697407" w14:textId="77777777" w:rsidR="00962DB6" w:rsidRDefault="00000000">
      <w:pPr>
        <w:pStyle w:val="BodyText"/>
      </w:pPr>
      <w:r>
        <w:rPr>
          <w:b/>
          <w:bCs/>
        </w:rPr>
        <w:t>Table 7 — Evaluation rigour across the field</w:t>
      </w:r>
    </w:p>
    <w:tbl>
      <w:tblPr>
        <w:tblStyle w:val="Table"/>
        <w:tblW w:w="5000" w:type="pct"/>
        <w:tblLook w:val="0020" w:firstRow="1" w:lastRow="0" w:firstColumn="0" w:lastColumn="0" w:noHBand="0" w:noVBand="0"/>
      </w:tblPr>
      <w:tblGrid>
        <w:gridCol w:w="1799"/>
        <w:gridCol w:w="1793"/>
        <w:gridCol w:w="1934"/>
        <w:gridCol w:w="1324"/>
        <w:gridCol w:w="1532"/>
        <w:gridCol w:w="1194"/>
      </w:tblGrid>
      <w:tr w:rsidR="00962DB6" w14:paraId="799495C8" w14:textId="77777777" w:rsidTr="00962DB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6694E0A5" w14:textId="77777777" w:rsidR="00962DB6" w:rsidRDefault="00000000">
            <w:pPr>
              <w:pStyle w:val="Compact"/>
            </w:pPr>
            <w:r>
              <w:t>Work</w:t>
            </w:r>
          </w:p>
        </w:tc>
        <w:tc>
          <w:tcPr>
            <w:tcW w:w="0" w:type="auto"/>
          </w:tcPr>
          <w:p w14:paraId="787B0B4E" w14:textId="77777777" w:rsidR="00962DB6" w:rsidRDefault="00000000">
            <w:pPr>
              <w:pStyle w:val="Compact"/>
            </w:pPr>
            <w:r>
              <w:t>Real measurement</w:t>
            </w:r>
          </w:p>
        </w:tc>
        <w:tc>
          <w:tcPr>
            <w:tcW w:w="0" w:type="auto"/>
          </w:tcPr>
          <w:p w14:paraId="236DA8B9" w14:textId="77777777" w:rsidR="00962DB6" w:rsidRDefault="00000000">
            <w:pPr>
              <w:pStyle w:val="Compact"/>
            </w:pPr>
            <w:r>
              <w:t>Causal claim</w:t>
            </w:r>
          </w:p>
        </w:tc>
        <w:tc>
          <w:tcPr>
            <w:tcW w:w="0" w:type="auto"/>
          </w:tcPr>
          <w:p w14:paraId="40EE7E93" w14:textId="77777777" w:rsidR="00962DB6" w:rsidRDefault="00000000">
            <w:pPr>
              <w:pStyle w:val="Compact"/>
            </w:pPr>
            <w:r>
              <w:t>Hard negatives</w:t>
            </w:r>
          </w:p>
        </w:tc>
        <w:tc>
          <w:tcPr>
            <w:tcW w:w="0" w:type="auto"/>
          </w:tcPr>
          <w:p w14:paraId="187A9E2E" w14:textId="77777777" w:rsidR="00962DB6" w:rsidRDefault="00000000">
            <w:pPr>
              <w:pStyle w:val="Compact"/>
            </w:pPr>
            <w:r>
              <w:t>Cost to honest users</w:t>
            </w:r>
          </w:p>
        </w:tc>
        <w:tc>
          <w:tcPr>
            <w:tcW w:w="0" w:type="auto"/>
          </w:tcPr>
          <w:p w14:paraId="3312F6D8" w14:textId="77777777" w:rsidR="00962DB6" w:rsidRDefault="00000000">
            <w:pPr>
              <w:pStyle w:val="Compact"/>
            </w:pPr>
            <w:r>
              <w:t>Public dataset</w:t>
            </w:r>
          </w:p>
        </w:tc>
      </w:tr>
      <w:tr w:rsidR="00962DB6" w14:paraId="36FB6B55" w14:textId="77777777" w:rsidTr="00962DB6">
        <w:trPr>
          <w:cantSplit/>
        </w:trPr>
        <w:tc>
          <w:tcPr>
            <w:tcW w:w="0" w:type="auto"/>
          </w:tcPr>
          <w:p w14:paraId="54430747" w14:textId="77777777" w:rsidR="00962DB6" w:rsidRDefault="00000000">
            <w:pPr>
              <w:pStyle w:val="Compact"/>
            </w:pPr>
            <w:r>
              <w:t>R9 Barron &amp; Nikiforakis</w:t>
            </w:r>
          </w:p>
        </w:tc>
        <w:tc>
          <w:tcPr>
            <w:tcW w:w="0" w:type="auto"/>
          </w:tcPr>
          <w:p w14:paraId="2A7AFEBE" w14:textId="77777777" w:rsidR="00962DB6" w:rsidRDefault="00000000">
            <w:pPr>
              <w:pStyle w:val="Compact"/>
            </w:pPr>
            <w:r>
              <w:t>Yes, 4 months</w:t>
            </w:r>
          </w:p>
        </w:tc>
        <w:tc>
          <w:tcPr>
            <w:tcW w:w="0" w:type="auto"/>
          </w:tcPr>
          <w:p w14:paraId="4B8B9198" w14:textId="77777777" w:rsidR="00962DB6" w:rsidRDefault="00000000">
            <w:pPr>
              <w:pStyle w:val="Compact"/>
            </w:pPr>
            <w:r>
              <w:t>Partly (varied conditions)</w:t>
            </w:r>
          </w:p>
        </w:tc>
        <w:tc>
          <w:tcPr>
            <w:tcW w:w="0" w:type="auto"/>
          </w:tcPr>
          <w:p w14:paraId="445D5480" w14:textId="77777777" w:rsidR="00962DB6" w:rsidRDefault="00000000">
            <w:pPr>
              <w:pStyle w:val="Compact"/>
            </w:pPr>
            <w:r>
              <w:t>n/a</w:t>
            </w:r>
          </w:p>
        </w:tc>
        <w:tc>
          <w:tcPr>
            <w:tcW w:w="0" w:type="auto"/>
          </w:tcPr>
          <w:p w14:paraId="4B7F9C00" w14:textId="77777777" w:rsidR="00962DB6" w:rsidRDefault="00000000">
            <w:pPr>
              <w:pStyle w:val="Compact"/>
            </w:pPr>
            <w:r>
              <w:t>n/a</w:t>
            </w:r>
          </w:p>
        </w:tc>
        <w:tc>
          <w:tcPr>
            <w:tcW w:w="0" w:type="auto"/>
          </w:tcPr>
          <w:p w14:paraId="79907C3F" w14:textId="77777777" w:rsidR="00962DB6" w:rsidRDefault="00000000">
            <w:pPr>
              <w:pStyle w:val="Compact"/>
            </w:pPr>
            <w:r>
              <w:t>Partly</w:t>
            </w:r>
          </w:p>
        </w:tc>
      </w:tr>
      <w:tr w:rsidR="00962DB6" w14:paraId="2B54D2B3" w14:textId="77777777" w:rsidTr="00962DB6">
        <w:trPr>
          <w:cantSplit/>
        </w:trPr>
        <w:tc>
          <w:tcPr>
            <w:tcW w:w="0" w:type="auto"/>
          </w:tcPr>
          <w:p w14:paraId="66516BD3" w14:textId="77777777" w:rsidR="00962DB6" w:rsidRDefault="00000000">
            <w:pPr>
              <w:pStyle w:val="Compact"/>
            </w:pPr>
            <w:r>
              <w:t>R10 Vetterl &amp; Clayton</w:t>
            </w:r>
          </w:p>
        </w:tc>
        <w:tc>
          <w:tcPr>
            <w:tcW w:w="0" w:type="auto"/>
          </w:tcPr>
          <w:p w14:paraId="5CA27696" w14:textId="77777777" w:rsidR="00962DB6" w:rsidRDefault="00000000">
            <w:pPr>
              <w:pStyle w:val="Compact"/>
            </w:pPr>
            <w:r>
              <w:t>Yes, internet-wide</w:t>
            </w:r>
          </w:p>
        </w:tc>
        <w:tc>
          <w:tcPr>
            <w:tcW w:w="0" w:type="auto"/>
          </w:tcPr>
          <w:p w14:paraId="5FAC38C6" w14:textId="77777777" w:rsidR="00962DB6" w:rsidRDefault="00000000">
            <w:pPr>
              <w:pStyle w:val="Compact"/>
            </w:pPr>
            <w:r>
              <w:t>No</w:t>
            </w:r>
          </w:p>
        </w:tc>
        <w:tc>
          <w:tcPr>
            <w:tcW w:w="0" w:type="auto"/>
          </w:tcPr>
          <w:p w14:paraId="6D0AED6D" w14:textId="77777777" w:rsidR="00962DB6" w:rsidRDefault="00000000">
            <w:pPr>
              <w:pStyle w:val="Compact"/>
            </w:pPr>
            <w:r>
              <w:t>n/a</w:t>
            </w:r>
          </w:p>
        </w:tc>
        <w:tc>
          <w:tcPr>
            <w:tcW w:w="0" w:type="auto"/>
          </w:tcPr>
          <w:p w14:paraId="57436535" w14:textId="77777777" w:rsidR="00962DB6" w:rsidRDefault="00000000">
            <w:pPr>
              <w:pStyle w:val="Compact"/>
            </w:pPr>
            <w:r>
              <w:t>n/a</w:t>
            </w:r>
          </w:p>
        </w:tc>
        <w:tc>
          <w:tcPr>
            <w:tcW w:w="0" w:type="auto"/>
          </w:tcPr>
          <w:p w14:paraId="4F8E90C6" w14:textId="77777777" w:rsidR="00962DB6" w:rsidRDefault="00000000">
            <w:pPr>
              <w:pStyle w:val="Compact"/>
            </w:pPr>
            <w:r>
              <w:t>No</w:t>
            </w:r>
          </w:p>
        </w:tc>
      </w:tr>
      <w:tr w:rsidR="00962DB6" w14:paraId="7FDACFB7" w14:textId="77777777" w:rsidTr="00962DB6">
        <w:trPr>
          <w:cantSplit/>
        </w:trPr>
        <w:tc>
          <w:tcPr>
            <w:tcW w:w="0" w:type="auto"/>
          </w:tcPr>
          <w:p w14:paraId="7023DD8A" w14:textId="77777777" w:rsidR="00962DB6" w:rsidRDefault="00000000">
            <w:pPr>
              <w:pStyle w:val="Compact"/>
            </w:pPr>
            <w:r>
              <w:t>R20 Honeyquest</w:t>
            </w:r>
          </w:p>
        </w:tc>
        <w:tc>
          <w:tcPr>
            <w:tcW w:w="0" w:type="auto"/>
          </w:tcPr>
          <w:p w14:paraId="2AF6E009" w14:textId="77777777" w:rsidR="00962DB6" w:rsidRDefault="00000000">
            <w:pPr>
              <w:pStyle w:val="Compact"/>
            </w:pPr>
            <w:r>
              <w:t>Yes, questionnaire</w:t>
            </w:r>
          </w:p>
        </w:tc>
        <w:tc>
          <w:tcPr>
            <w:tcW w:w="0" w:type="auto"/>
          </w:tcPr>
          <w:p w14:paraId="5BFD7822" w14:textId="77777777" w:rsidR="00962DB6" w:rsidRDefault="00000000">
            <w:pPr>
              <w:pStyle w:val="Compact"/>
            </w:pPr>
            <w:r>
              <w:t>No</w:t>
            </w:r>
          </w:p>
        </w:tc>
        <w:tc>
          <w:tcPr>
            <w:tcW w:w="0" w:type="auto"/>
          </w:tcPr>
          <w:p w14:paraId="25F69967" w14:textId="77777777" w:rsidR="00962DB6" w:rsidRDefault="00000000">
            <w:pPr>
              <w:pStyle w:val="Compact"/>
            </w:pPr>
            <w:r>
              <w:t>n/a</w:t>
            </w:r>
          </w:p>
        </w:tc>
        <w:tc>
          <w:tcPr>
            <w:tcW w:w="0" w:type="auto"/>
          </w:tcPr>
          <w:p w14:paraId="0067D139" w14:textId="77777777" w:rsidR="00962DB6" w:rsidRDefault="00000000">
            <w:pPr>
              <w:pStyle w:val="Compact"/>
            </w:pPr>
            <w:r>
              <w:t>No</w:t>
            </w:r>
          </w:p>
        </w:tc>
        <w:tc>
          <w:tcPr>
            <w:tcW w:w="0" w:type="auto"/>
          </w:tcPr>
          <w:p w14:paraId="29D23227" w14:textId="77777777" w:rsidR="00962DB6" w:rsidRDefault="00000000">
            <w:pPr>
              <w:pStyle w:val="Compact"/>
            </w:pPr>
            <w:r>
              <w:t>Yes (tool)</w:t>
            </w:r>
          </w:p>
        </w:tc>
      </w:tr>
      <w:tr w:rsidR="00962DB6" w14:paraId="7E1AB3A5" w14:textId="77777777" w:rsidTr="00962DB6">
        <w:trPr>
          <w:cantSplit/>
        </w:trPr>
        <w:tc>
          <w:tcPr>
            <w:tcW w:w="0" w:type="auto"/>
          </w:tcPr>
          <w:p w14:paraId="085FADFF" w14:textId="77777777" w:rsidR="00962DB6" w:rsidRDefault="00000000">
            <w:pPr>
              <w:pStyle w:val="Compact"/>
            </w:pPr>
            <w:r>
              <w:t>R35 Ferguson-Walter et al.</w:t>
            </w:r>
          </w:p>
        </w:tc>
        <w:tc>
          <w:tcPr>
            <w:tcW w:w="0" w:type="auto"/>
          </w:tcPr>
          <w:p w14:paraId="59A2D5B2" w14:textId="77777777" w:rsidR="00962DB6" w:rsidRDefault="00000000">
            <w:pPr>
              <w:pStyle w:val="Compact"/>
            </w:pPr>
            <w:r>
              <w:t>Yes, human subjects</w:t>
            </w:r>
          </w:p>
        </w:tc>
        <w:tc>
          <w:tcPr>
            <w:tcW w:w="0" w:type="auto"/>
          </w:tcPr>
          <w:p w14:paraId="56ECE122" w14:textId="77777777" w:rsidR="00962DB6" w:rsidRDefault="00000000">
            <w:pPr>
              <w:pStyle w:val="Compact"/>
            </w:pPr>
            <w:r>
              <w:rPr>
                <w:b/>
                <w:bCs/>
              </w:rPr>
              <w:t>Yes — controlled</w:t>
            </w:r>
          </w:p>
        </w:tc>
        <w:tc>
          <w:tcPr>
            <w:tcW w:w="0" w:type="auto"/>
          </w:tcPr>
          <w:p w14:paraId="5885BC87" w14:textId="77777777" w:rsidR="00962DB6" w:rsidRDefault="00000000">
            <w:pPr>
              <w:pStyle w:val="Compact"/>
            </w:pPr>
            <w:r>
              <w:t>n/a</w:t>
            </w:r>
          </w:p>
        </w:tc>
        <w:tc>
          <w:tcPr>
            <w:tcW w:w="0" w:type="auto"/>
          </w:tcPr>
          <w:p w14:paraId="1D9E6574" w14:textId="77777777" w:rsidR="00962DB6" w:rsidRDefault="00000000">
            <w:pPr>
              <w:pStyle w:val="Compact"/>
            </w:pPr>
            <w:r>
              <w:t>No</w:t>
            </w:r>
          </w:p>
        </w:tc>
        <w:tc>
          <w:tcPr>
            <w:tcW w:w="0" w:type="auto"/>
          </w:tcPr>
          <w:p w14:paraId="60A6E7E2" w14:textId="77777777" w:rsidR="00962DB6" w:rsidRDefault="00000000">
            <w:pPr>
              <w:pStyle w:val="Compact"/>
            </w:pPr>
            <w:r>
              <w:t>No</w:t>
            </w:r>
          </w:p>
        </w:tc>
      </w:tr>
      <w:tr w:rsidR="00962DB6" w14:paraId="26FB8EAD" w14:textId="77777777" w:rsidTr="00962DB6">
        <w:trPr>
          <w:cantSplit/>
        </w:trPr>
        <w:tc>
          <w:tcPr>
            <w:tcW w:w="0" w:type="auto"/>
          </w:tcPr>
          <w:p w14:paraId="616ACC62" w14:textId="77777777" w:rsidR="00962DB6" w:rsidRDefault="00000000">
            <w:pPr>
              <w:pStyle w:val="Compact"/>
            </w:pPr>
            <w:r>
              <w:lastRenderedPageBreak/>
              <w:t>R25 Tekerek</w:t>
            </w:r>
          </w:p>
        </w:tc>
        <w:tc>
          <w:tcPr>
            <w:tcW w:w="0" w:type="auto"/>
          </w:tcPr>
          <w:p w14:paraId="592FA6CA" w14:textId="77777777" w:rsidR="00962DB6" w:rsidRDefault="00000000">
            <w:pPr>
              <w:pStyle w:val="Compact"/>
            </w:pPr>
            <w:r>
              <w:t>Yes, CSIC 2010</w:t>
            </w:r>
          </w:p>
        </w:tc>
        <w:tc>
          <w:tcPr>
            <w:tcW w:w="0" w:type="auto"/>
          </w:tcPr>
          <w:p w14:paraId="141E6F66" w14:textId="77777777" w:rsidR="00962DB6" w:rsidRDefault="00000000">
            <w:pPr>
              <w:pStyle w:val="Compact"/>
            </w:pPr>
            <w:r>
              <w:t>No</w:t>
            </w:r>
          </w:p>
        </w:tc>
        <w:tc>
          <w:tcPr>
            <w:tcW w:w="0" w:type="auto"/>
          </w:tcPr>
          <w:p w14:paraId="6EA451A0" w14:textId="77777777" w:rsidR="00962DB6" w:rsidRDefault="00000000">
            <w:pPr>
              <w:pStyle w:val="Compact"/>
            </w:pPr>
            <w:r>
              <w:t>No</w:t>
            </w:r>
          </w:p>
        </w:tc>
        <w:tc>
          <w:tcPr>
            <w:tcW w:w="0" w:type="auto"/>
          </w:tcPr>
          <w:p w14:paraId="30DC6275" w14:textId="77777777" w:rsidR="00962DB6" w:rsidRDefault="00000000">
            <w:pPr>
              <w:pStyle w:val="Compact"/>
            </w:pPr>
            <w:r>
              <w:t>No</w:t>
            </w:r>
          </w:p>
        </w:tc>
        <w:tc>
          <w:tcPr>
            <w:tcW w:w="0" w:type="auto"/>
          </w:tcPr>
          <w:p w14:paraId="11B9FBBF" w14:textId="77777777" w:rsidR="00962DB6" w:rsidRDefault="00000000">
            <w:pPr>
              <w:pStyle w:val="Compact"/>
            </w:pPr>
            <w:r>
              <w:t>Uses R24</w:t>
            </w:r>
          </w:p>
        </w:tc>
      </w:tr>
      <w:tr w:rsidR="00962DB6" w14:paraId="23EF9955" w14:textId="77777777" w:rsidTr="00962DB6">
        <w:trPr>
          <w:cantSplit/>
        </w:trPr>
        <w:tc>
          <w:tcPr>
            <w:tcW w:w="0" w:type="auto"/>
          </w:tcPr>
          <w:p w14:paraId="1B9D56D8" w14:textId="77777777" w:rsidR="00962DB6" w:rsidRDefault="00000000">
            <w:pPr>
              <w:pStyle w:val="Compact"/>
            </w:pPr>
            <w:r>
              <w:rPr>
                <w:b/>
                <w:bCs/>
              </w:rPr>
              <w:t>This work</w:t>
            </w:r>
          </w:p>
        </w:tc>
        <w:tc>
          <w:tcPr>
            <w:tcW w:w="0" w:type="auto"/>
          </w:tcPr>
          <w:p w14:paraId="7E1967B1" w14:textId="77777777" w:rsidR="00962DB6" w:rsidRDefault="00000000">
            <w:pPr>
              <w:pStyle w:val="Compact"/>
            </w:pPr>
            <w:r>
              <w:t>Yes</w:t>
            </w:r>
          </w:p>
        </w:tc>
        <w:tc>
          <w:tcPr>
            <w:tcW w:w="0" w:type="auto"/>
          </w:tcPr>
          <w:p w14:paraId="2FABFF97" w14:textId="77777777" w:rsidR="00962DB6" w:rsidRDefault="00000000">
            <w:pPr>
              <w:pStyle w:val="Compact"/>
            </w:pPr>
            <w:r>
              <w:rPr>
                <w:b/>
                <w:bCs/>
              </w:rPr>
              <w:t>Yes — randomised holdout</w:t>
            </w:r>
          </w:p>
        </w:tc>
        <w:tc>
          <w:tcPr>
            <w:tcW w:w="0" w:type="auto"/>
          </w:tcPr>
          <w:p w14:paraId="74791B4B" w14:textId="77777777" w:rsidR="00962DB6" w:rsidRDefault="00000000">
            <w:pPr>
              <w:pStyle w:val="Compact"/>
            </w:pPr>
            <w:r>
              <w:rPr>
                <w:b/>
                <w:bCs/>
              </w:rPr>
              <w:t>Yes, by design</w:t>
            </w:r>
          </w:p>
        </w:tc>
        <w:tc>
          <w:tcPr>
            <w:tcW w:w="0" w:type="auto"/>
          </w:tcPr>
          <w:p w14:paraId="65190B79" w14:textId="77777777" w:rsidR="00962DB6" w:rsidRDefault="00000000">
            <w:pPr>
              <w:pStyle w:val="Compact"/>
            </w:pPr>
            <w:r>
              <w:rPr>
                <w:b/>
                <w:bCs/>
              </w:rPr>
              <w:t>Yes — headline metric</w:t>
            </w:r>
          </w:p>
        </w:tc>
        <w:tc>
          <w:tcPr>
            <w:tcW w:w="0" w:type="auto"/>
          </w:tcPr>
          <w:p w14:paraId="0CDA0B49" w14:textId="77777777" w:rsidR="00962DB6" w:rsidRDefault="00000000">
            <w:pPr>
              <w:pStyle w:val="Compact"/>
            </w:pPr>
            <w:r>
              <w:t>Planned</w:t>
            </w:r>
          </w:p>
        </w:tc>
      </w:tr>
    </w:tbl>
    <w:p w14:paraId="39DA12FE" w14:textId="77777777" w:rsidR="00962DB6" w:rsidRDefault="00000000">
      <w:pPr>
        <w:pStyle w:val="Heading3"/>
      </w:pPr>
      <w:bookmarkStart w:id="38" w:name="metrics"/>
      <w:bookmarkEnd w:id="37"/>
      <w:r>
        <w:t>4.4.3 Metrics</w:t>
      </w:r>
    </w:p>
    <w:p w14:paraId="7E176E31" w14:textId="77777777" w:rsidR="00962DB6" w:rsidRDefault="00000000">
      <w:pPr>
        <w:pStyle w:val="FirstParagraph"/>
      </w:pPr>
      <w:r>
        <w:t xml:space="preserve">Consistent with Axelsson’s base-rate argument [R32] and Sommer and Paxson’s caution against reporting classifier accuracy divorced from operational cost [R33], the system is evaluated on expected cost per session and requests-to-decision rather than raw accuracy, alongside benign bait exposure, benign diversion rate, and the decoy’s contradiction rate, each reported with confidence intervals over twenty seeded traffic draws. The headline safety result — a benign diversion rate of 0.027 (95% CI [0.020, 0.036]), identical with and without the probe — and the headline effectiveness result — attack recall rising from 0.915 to 0.947 (paired McNemar </w:t>
      </w:r>
      <w:r>
        <w:rPr>
          <w:i/>
          <w:iCs/>
        </w:rPr>
        <w:t>p</w:t>
      </w:r>
      <w:r>
        <w:t xml:space="preserve"> &lt; 10⁻⁴), concentrated in object-reference attacks no signature can see — are evaluated against this same corpus and holdout design.</w:t>
      </w:r>
    </w:p>
    <w:p w14:paraId="63EB386C" w14:textId="77777777" w:rsidR="00962DB6" w:rsidRDefault="00000000">
      <w:pPr>
        <w:pStyle w:val="Heading2"/>
      </w:pPr>
      <w:bookmarkStart w:id="39" w:name="scope-and-limitations"/>
      <w:bookmarkEnd w:id="35"/>
      <w:bookmarkEnd w:id="38"/>
      <w:r>
        <w:t>4.5 Scope and Limitations</w:t>
      </w:r>
    </w:p>
    <w:p w14:paraId="51E0735B" w14:textId="77777777" w:rsidR="00962DB6" w:rsidRDefault="00000000">
      <w:pPr>
        <w:pStyle w:val="FirstParagraph"/>
      </w:pPr>
      <w:r>
        <w:t xml:space="preserve">The reported recall gain is significant in aggregate over the evaluated seeds (paired McNemar </w:t>
      </w:r>
      <w:r>
        <w:rPr>
          <w:i/>
          <w:iCs/>
        </w:rPr>
        <w:t>p</w:t>
      </w:r>
      <w:r>
        <w:t xml:space="preserve"> &lt; 10⁻⁴; confidence intervals for the probed and unprobed conditions separate), but it is not a claim of </w:t>
      </w:r>
      <w:r>
        <w:rPr>
          <w:i/>
          <w:iCs/>
        </w:rPr>
        <w:t>per-session</w:t>
      </w:r>
      <w:r>
        <w:t xml:space="preserve"> dominance: a minority of matched attack sessions go the other way, with bait deferring a divert that the passive rule would have made within a narrow belief band, and these discordant cases are reported alongside the net effect rather than absorbed into it. No new decision theory is claimed — the Expected Value of Sample Information is textbook, and the contribution claimed here is its application to this decision problem. The evaluation is a controlled laboratory study using synthetic traffic against a single target on a single machine, not an internet-scale deployment, and the robustness result against a bait-aware adversary is a limiting, asymptotic guarantee rather than a per-session one.</w:t>
      </w:r>
    </w:p>
    <w:p w14:paraId="2AB64805" w14:textId="77777777" w:rsidR="00962DB6" w:rsidRDefault="00000000">
      <w:pPr>
        <w:pStyle w:val="Heading1"/>
      </w:pPr>
      <w:bookmarkStart w:id="40" w:name="references"/>
      <w:bookmarkEnd w:id="28"/>
      <w:bookmarkEnd w:id="39"/>
      <w:r>
        <w:t>5. References</w:t>
      </w:r>
    </w:p>
    <w:p w14:paraId="2DF5B91D" w14:textId="77777777" w:rsidR="00962DB6" w:rsidRDefault="00000000">
      <w:pPr>
        <w:pStyle w:val="FirstParagraph"/>
      </w:pPr>
      <w:r>
        <w:rPr>
          <w:b/>
          <w:bCs/>
        </w:rPr>
        <w:t>[R1]</w:t>
      </w:r>
      <w:r>
        <w:t xml:space="preserve"> M. H. Almeshekah and E. H. Spafford, “Planning and Integrating Deception into Computer Security Defenses,” in </w:t>
      </w:r>
      <w:r>
        <w:rPr>
          <w:i/>
          <w:iCs/>
        </w:rPr>
        <w:t>Proc. 2014 New Security Paradigms Workshop (NSPW ’14)</w:t>
      </w:r>
      <w:r>
        <w:t>, 2014, pp. 127–138. DOI: 10.1145/2683467.2683482</w:t>
      </w:r>
    </w:p>
    <w:p w14:paraId="46CB6A72" w14:textId="77777777" w:rsidR="00962DB6" w:rsidRDefault="00000000">
      <w:pPr>
        <w:pStyle w:val="BodyText"/>
      </w:pPr>
      <w:r>
        <w:rPr>
          <w:b/>
          <w:bCs/>
        </w:rPr>
        <w:t>[R2]</w:t>
      </w:r>
      <w:r>
        <w:t xml:space="preserve"> X. Han, N. Kheir, and D. Balzarotti, “Deception Techniques in Computer Security: A Research Perspective,” </w:t>
      </w:r>
      <w:r>
        <w:rPr>
          <w:i/>
          <w:iCs/>
        </w:rPr>
        <w:t>ACM Computing Surveys</w:t>
      </w:r>
      <w:r>
        <w:t>, vol. 51, no. 4, art. 80, pp. 1–36, 2018. DOI: 10.1145/3214305</w:t>
      </w:r>
    </w:p>
    <w:p w14:paraId="04BF7A40" w14:textId="77777777" w:rsidR="00962DB6" w:rsidRDefault="00000000">
      <w:pPr>
        <w:pStyle w:val="BodyText"/>
      </w:pPr>
      <w:r>
        <w:rPr>
          <w:b/>
          <w:bCs/>
        </w:rPr>
        <w:t>[R3]</w:t>
      </w:r>
      <w:r>
        <w:t xml:space="preserve"> J. Pawlick, E. Colbert, and Q. Zhu, “A Game-theoretic Taxonomy and Survey of Defensive Deception for Cybersecurity and Privacy,” </w:t>
      </w:r>
      <w:r>
        <w:rPr>
          <w:i/>
          <w:iCs/>
        </w:rPr>
        <w:t>ACM Computing Surveys</w:t>
      </w:r>
      <w:r>
        <w:t>, vol. 52, no. 4, art. 82, pp. 1–28, 2019. DOI: 10.1145/3337772</w:t>
      </w:r>
    </w:p>
    <w:p w14:paraId="40C18CC4" w14:textId="77777777" w:rsidR="00962DB6" w:rsidRDefault="00000000">
      <w:pPr>
        <w:pStyle w:val="BodyText"/>
      </w:pPr>
      <w:r>
        <w:rPr>
          <w:b/>
          <w:bCs/>
        </w:rPr>
        <w:lastRenderedPageBreak/>
        <w:t>[R4]</w:t>
      </w:r>
      <w:r>
        <w:t xml:space="preserve"> M. Zhu, A. H. Anwar, Z. Wan, J.-H. Cho, C. A. Kamhoua, and M. P. Singh, “A Survey of Defensive Deception: Approaches Using Game Theory and Machine Learning,” </w:t>
      </w:r>
      <w:r>
        <w:rPr>
          <w:i/>
          <w:iCs/>
        </w:rPr>
        <w:t>IEEE Communications Surveys &amp; Tutorials</w:t>
      </w:r>
      <w:r>
        <w:t>, vol. 23, no. 4, pp. 2460–2493, 2021.</w:t>
      </w:r>
    </w:p>
    <w:p w14:paraId="5C4218CA" w14:textId="77777777" w:rsidR="00962DB6" w:rsidRDefault="00000000">
      <w:pPr>
        <w:pStyle w:val="BodyText"/>
      </w:pPr>
      <w:r>
        <w:rPr>
          <w:b/>
          <w:bCs/>
        </w:rPr>
        <w:t>[R5]</w:t>
      </w:r>
      <w:r>
        <w:t xml:space="preserve"> P. Beltrán López, M. Gil Pérez, and P. Nespoli, “Cyber Deception: Taxonomy, State of the Art, Frameworks, Trends, and Open Challenges,” </w:t>
      </w:r>
      <w:r>
        <w:rPr>
          <w:i/>
          <w:iCs/>
        </w:rPr>
        <w:t>IEEE Communications Surveys &amp; Tutorials</w:t>
      </w:r>
      <w:r>
        <w:t>, 2025. DOI: 10.1109/COMST.2025.3594788</w:t>
      </w:r>
    </w:p>
    <w:p w14:paraId="6EBDD233" w14:textId="77777777" w:rsidR="00962DB6" w:rsidRDefault="00000000">
      <w:pPr>
        <w:pStyle w:val="BodyText"/>
      </w:pPr>
      <w:r>
        <w:rPr>
          <w:b/>
          <w:bCs/>
        </w:rPr>
        <w:t>[R6]</w:t>
      </w:r>
      <w:r>
        <w:t xml:space="preserve"> N. Provos, “A Virtual Honeypot Framework,” in </w:t>
      </w:r>
      <w:r>
        <w:rPr>
          <w:i/>
          <w:iCs/>
        </w:rPr>
        <w:t>Proc. 13th USENIX Security Symposium</w:t>
      </w:r>
      <w:r>
        <w:t>, 2004.</w:t>
      </w:r>
    </w:p>
    <w:p w14:paraId="0335E00C" w14:textId="77777777" w:rsidR="00962DB6" w:rsidRDefault="00000000">
      <w:pPr>
        <w:pStyle w:val="BodyText"/>
      </w:pPr>
      <w:r>
        <w:rPr>
          <w:b/>
          <w:bCs/>
        </w:rPr>
        <w:t>[R7]</w:t>
      </w:r>
      <w:r>
        <w:t xml:space="preserve"> M. Nawrocki, M. Wählisch, T. C. Schmidt, C. Keil, and J. Schönfelder, “A Survey on Honeypot Software and Data Analysis,” arXiv:1608.06249, 2016.</w:t>
      </w:r>
    </w:p>
    <w:p w14:paraId="44E0E707" w14:textId="77777777" w:rsidR="00962DB6" w:rsidRDefault="00000000">
      <w:pPr>
        <w:pStyle w:val="BodyText"/>
      </w:pPr>
      <w:r>
        <w:rPr>
          <w:b/>
          <w:bCs/>
        </w:rPr>
        <w:t>[R8]</w:t>
      </w:r>
      <w:r>
        <w:t xml:space="preserve"> A. Javadpour, F. Ja’fari, T. Taleb, M. Shojafar, and C. Benzaïd, “A Comprehensive Survey on Cyber Deception Techniques to Improve Honeypot Performance,” </w:t>
      </w:r>
      <w:r>
        <w:rPr>
          <w:i/>
          <w:iCs/>
        </w:rPr>
        <w:t>Computers &amp; Security</w:t>
      </w:r>
      <w:r>
        <w:t>, vol. 140, art. 103792, 2024. DOI: 10.1016/j.cose.2024.103792</w:t>
      </w:r>
    </w:p>
    <w:p w14:paraId="030BDA01" w14:textId="77777777" w:rsidR="00962DB6" w:rsidRDefault="00000000">
      <w:pPr>
        <w:pStyle w:val="BodyText"/>
      </w:pPr>
      <w:r>
        <w:rPr>
          <w:b/>
          <w:bCs/>
        </w:rPr>
        <w:t>[R9]</w:t>
      </w:r>
      <w:r>
        <w:t xml:space="preserve"> T. Barron and N. Nikiforakis, “Picky Attackers: Quantifying the Role of System Properties on Intruder Behavior,” in </w:t>
      </w:r>
      <w:r>
        <w:rPr>
          <w:i/>
          <w:iCs/>
        </w:rPr>
        <w:t>Proc. 33rd Annual Computer Security Applications Conference (ACSAC ’17)</w:t>
      </w:r>
      <w:r>
        <w:t>, 2017. DOI: 10.1145/3134600.3134614</w:t>
      </w:r>
    </w:p>
    <w:p w14:paraId="78B71667" w14:textId="77777777" w:rsidR="00962DB6" w:rsidRDefault="00000000">
      <w:pPr>
        <w:pStyle w:val="BodyText"/>
      </w:pPr>
      <w:r>
        <w:rPr>
          <w:b/>
          <w:bCs/>
        </w:rPr>
        <w:t>[R10]</w:t>
      </w:r>
      <w:r>
        <w:t xml:space="preserve"> A. Vetterl and R. Clayton, “Bitter Harvest: Systematically Fingerprinting Low- and Medium-interaction Honeypots at Internet Scale,” in </w:t>
      </w:r>
      <w:r>
        <w:rPr>
          <w:i/>
          <w:iCs/>
        </w:rPr>
        <w:t>Proc. 12th USENIX Workshop on Offensive Technologies (WOOT ’18)</w:t>
      </w:r>
      <w:r>
        <w:t>, 2018.</w:t>
      </w:r>
    </w:p>
    <w:p w14:paraId="22E3568C" w14:textId="77777777" w:rsidR="00962DB6" w:rsidRDefault="00000000">
      <w:pPr>
        <w:pStyle w:val="BodyText"/>
      </w:pPr>
      <w:r>
        <w:rPr>
          <w:b/>
          <w:bCs/>
        </w:rPr>
        <w:t>[R11]</w:t>
      </w:r>
      <w:r>
        <w:t xml:space="preserve"> M. Sladić, V. Valeros, C. Catania, and S. Garcia, “LLM in the Shell: Generative Honeypots,” in </w:t>
      </w:r>
      <w:r>
        <w:rPr>
          <w:i/>
          <w:iCs/>
        </w:rPr>
        <w:t>2024 IEEE European Symposium on Security and Privacy Workshops (EuroS&amp;PW)</w:t>
      </w:r>
      <w:r>
        <w:t>, 2024.</w:t>
      </w:r>
    </w:p>
    <w:p w14:paraId="067BFD46" w14:textId="77777777" w:rsidR="00962DB6" w:rsidRDefault="00000000">
      <w:pPr>
        <w:pStyle w:val="BodyText"/>
      </w:pPr>
      <w:r>
        <w:rPr>
          <w:b/>
          <w:bCs/>
        </w:rPr>
        <w:t>[R12]</w:t>
      </w:r>
      <w:r>
        <w:t xml:space="preserve"> Reworr and D. Volkov, “LLM Agent Honeypot: Monitoring AI Hacking Agents in the Wild,” arXiv:2410.13919, 2024.</w:t>
      </w:r>
    </w:p>
    <w:p w14:paraId="5DB013AF" w14:textId="77777777" w:rsidR="00962DB6" w:rsidRDefault="00000000">
      <w:pPr>
        <w:pStyle w:val="BodyText"/>
      </w:pPr>
      <w:r>
        <w:rPr>
          <w:b/>
          <w:bCs/>
        </w:rPr>
        <w:t>[R13]</w:t>
      </w:r>
      <w:r>
        <w:t xml:space="preserve"> R. A. Bridges, T. R. Mitchell, M. Muñoz, and T. Henriksson, “SoK: Honeypots &amp; LLMs, More Than the Sum of Their Parts?,” arXiv:2510.25939, 2025.</w:t>
      </w:r>
    </w:p>
    <w:p w14:paraId="46F015B0" w14:textId="77777777" w:rsidR="00962DB6" w:rsidRDefault="00000000">
      <w:pPr>
        <w:pStyle w:val="BodyText"/>
      </w:pPr>
      <w:r>
        <w:rPr>
          <w:b/>
          <w:bCs/>
        </w:rPr>
        <w:t>[R14]</w:t>
      </w:r>
      <w:r>
        <w:t xml:space="preserve"> J. Yuill, M. Zappe, D. Denning, and F. Feer, “Honeyfiles: Deceptive Files for Intrusion Detection,” in </w:t>
      </w:r>
      <w:r>
        <w:rPr>
          <w:i/>
          <w:iCs/>
        </w:rPr>
        <w:t>Proc. 5th Annual IEEE SMC Information Assurance Workshop</w:t>
      </w:r>
      <w:r>
        <w:t>, 2004, pp. 116–122.</w:t>
      </w:r>
    </w:p>
    <w:p w14:paraId="037CD71C" w14:textId="77777777" w:rsidR="00962DB6" w:rsidRDefault="00000000">
      <w:pPr>
        <w:pStyle w:val="BodyText"/>
      </w:pPr>
      <w:r>
        <w:rPr>
          <w:b/>
          <w:bCs/>
        </w:rPr>
        <w:t>[R15]</w:t>
      </w:r>
      <w:r>
        <w:t xml:space="preserve"> B. M. Bowen, S. Hershkop, A. D. Keromytis, and S. J. Stolfo, “Baiting Inside Attackers Using Decoy Documents,” in </w:t>
      </w:r>
      <w:r>
        <w:rPr>
          <w:i/>
          <w:iCs/>
        </w:rPr>
        <w:t>Proc. 5th Int. ICST Conf. on Security and Privacy in Communication Networks (SecureComm 2009)</w:t>
      </w:r>
      <w:r>
        <w:t>, 2009, pp. 51–70. DOI: 10.1007/978-3-642-05284-2_4</w:t>
      </w:r>
    </w:p>
    <w:p w14:paraId="6754FC4D" w14:textId="77777777" w:rsidR="00962DB6" w:rsidRDefault="00000000">
      <w:pPr>
        <w:pStyle w:val="BodyText"/>
      </w:pPr>
      <w:r>
        <w:rPr>
          <w:b/>
          <w:bCs/>
        </w:rPr>
        <w:t>[R16]</w:t>
      </w:r>
      <w:r>
        <w:t xml:space="preserve"> A. Juels and R. L. Rivest, “Honeywords: Making Password-Cracking Detectable,” in </w:t>
      </w:r>
      <w:r>
        <w:rPr>
          <w:i/>
          <w:iCs/>
        </w:rPr>
        <w:t>Proc. 2013 ACM SIGSAC Conf. on Computer and Communications Security (CCS ’13)</w:t>
      </w:r>
      <w:r>
        <w:t>, 2013, pp. 145–160.</w:t>
      </w:r>
    </w:p>
    <w:p w14:paraId="425FF97A" w14:textId="77777777" w:rsidR="00962DB6" w:rsidRDefault="00000000">
      <w:pPr>
        <w:pStyle w:val="BodyText"/>
      </w:pPr>
      <w:r>
        <w:rPr>
          <w:b/>
          <w:bCs/>
        </w:rPr>
        <w:lastRenderedPageBreak/>
        <w:t>[R17]</w:t>
      </w:r>
      <w:r>
        <w:t xml:space="preserve"> S. Srinivasa, J. M. Pedersen, and E. Vasilomanolakis, “Towards Systematic Honeytoken Fingerprinting,” in </w:t>
      </w:r>
      <w:r>
        <w:rPr>
          <w:i/>
          <w:iCs/>
        </w:rPr>
        <w:t>Proc. 13th Int. Conf. on Security of Information and Networks (SIN 2020)</w:t>
      </w:r>
      <w:r>
        <w:t>, 2020. DOI: 10.1145/3433174.3433599</w:t>
      </w:r>
    </w:p>
    <w:p w14:paraId="76F29F8C" w14:textId="77777777" w:rsidR="00962DB6" w:rsidRDefault="00000000">
      <w:pPr>
        <w:pStyle w:val="BodyText"/>
      </w:pPr>
      <w:r>
        <w:rPr>
          <w:b/>
          <w:bCs/>
        </w:rPr>
        <w:t>[R18]</w:t>
      </w:r>
      <w:r>
        <w:t xml:space="preserve"> R. Timmer, D. Liebowitz, S. Nepal, and S. Kanhere, “Evaluating Honeyfile Realism and Enticement Metrics,” </w:t>
      </w:r>
      <w:r>
        <w:rPr>
          <w:i/>
          <w:iCs/>
        </w:rPr>
        <w:t>ACM Transactions on Privacy and Security</w:t>
      </w:r>
      <w:r>
        <w:t>, vol. 28, no. 4, 2025. DOI: 10.1145/3763792</w:t>
      </w:r>
    </w:p>
    <w:p w14:paraId="54DFC315" w14:textId="77777777" w:rsidR="00962DB6" w:rsidRDefault="00000000">
      <w:pPr>
        <w:pStyle w:val="BodyText"/>
      </w:pPr>
      <w:r>
        <w:rPr>
          <w:b/>
          <w:bCs/>
        </w:rPr>
        <w:t>[R19]</w:t>
      </w:r>
      <w:r>
        <w:t xml:space="preserve"> M. Kahlhofer and S. Rass, “Application Layer Cyber Deception Without Developer Interaction,” in </w:t>
      </w:r>
      <w:r>
        <w:rPr>
          <w:i/>
          <w:iCs/>
        </w:rPr>
        <w:t>2024 IEEE European Symposium on Security and Privacy Workshops (EuroS&amp;PW)</w:t>
      </w:r>
      <w:r>
        <w:t xml:space="preserve"> — 3rd Workshop on Active Defense and Deception (ADnD 2024), 2024.</w:t>
      </w:r>
    </w:p>
    <w:p w14:paraId="274BD4F9" w14:textId="77777777" w:rsidR="00962DB6" w:rsidRDefault="00000000">
      <w:pPr>
        <w:pStyle w:val="BodyText"/>
      </w:pPr>
      <w:r>
        <w:rPr>
          <w:b/>
          <w:bCs/>
        </w:rPr>
        <w:t>[R20]</w:t>
      </w:r>
      <w:r>
        <w:t xml:space="preserve"> M. Kahlhofer, S. Achleitner, S. Rass, and R. Mayrhofer, “Honeyquest: Rapidly Measuring the Enticingness of Cyber Deception Techniques with Code-based Questionnaires,” in </w:t>
      </w:r>
      <w:r>
        <w:rPr>
          <w:i/>
          <w:iCs/>
        </w:rPr>
        <w:t>Proc. 27th Int. Symp. on Research in Attacks, Intrusions and Defenses (RAID 2024)</w:t>
      </w:r>
      <w:r>
        <w:t>, 2024. DOI: 10.1145/3678890.3678897</w:t>
      </w:r>
    </w:p>
    <w:p w14:paraId="23360DDB" w14:textId="77777777" w:rsidR="00962DB6" w:rsidRDefault="00000000">
      <w:pPr>
        <w:pStyle w:val="BodyText"/>
      </w:pPr>
      <w:r>
        <w:rPr>
          <w:b/>
          <w:bCs/>
        </w:rPr>
        <w:t>[R21]</w:t>
      </w:r>
      <w:r>
        <w:t xml:space="preserve"> M. Kahlhofer, M. Golinelli, and S. Rass, “Koney: A Cyber Deception Orchestration Framework for Kubernetes,” in </w:t>
      </w:r>
      <w:r>
        <w:rPr>
          <w:i/>
          <w:iCs/>
        </w:rPr>
        <w:t>2025 IEEE European Symposium on Security and Privacy Workshops (EuroS&amp;PW)</w:t>
      </w:r>
      <w:r>
        <w:t>, 2025, pp. 690–702.</w:t>
      </w:r>
    </w:p>
    <w:p w14:paraId="6BBE4347" w14:textId="77777777" w:rsidR="00962DB6" w:rsidRDefault="00000000">
      <w:pPr>
        <w:pStyle w:val="BodyText"/>
      </w:pPr>
      <w:r>
        <w:rPr>
          <w:b/>
          <w:bCs/>
        </w:rPr>
        <w:t>[R22]</w:t>
      </w:r>
      <w:r>
        <w:t xml:space="preserve"> C. Kruegel and G. Vigna, “Anomaly Detection of Web-based Attacks,” in </w:t>
      </w:r>
      <w:r>
        <w:rPr>
          <w:i/>
          <w:iCs/>
        </w:rPr>
        <w:t>Proc. 10th ACM Conf. on Computer and Communications Security (CCS ’03)</w:t>
      </w:r>
      <w:r>
        <w:t>, 2003, pp. 251–261. DOI: 10.1145/948109.948144</w:t>
      </w:r>
    </w:p>
    <w:p w14:paraId="7D27E7E3" w14:textId="77777777" w:rsidR="00962DB6" w:rsidRDefault="00000000">
      <w:pPr>
        <w:pStyle w:val="BodyText"/>
      </w:pPr>
      <w:r>
        <w:rPr>
          <w:b/>
          <w:bCs/>
        </w:rPr>
        <w:t>[R23]</w:t>
      </w:r>
      <w:r>
        <w:t xml:space="preserve"> W. Robertson, G. Vigna, C. Kruegel, and R. A. Kemmerer, “Using Generalization and Characterization Techniques in the Anomaly-based Detection of Web Attacks,” in </w:t>
      </w:r>
      <w:r>
        <w:rPr>
          <w:i/>
          <w:iCs/>
        </w:rPr>
        <w:t>Proc. Network and Distributed System Security Symposium (NDSS 2006)</w:t>
      </w:r>
      <w:r>
        <w:t>, 2006.</w:t>
      </w:r>
    </w:p>
    <w:p w14:paraId="7EF7DB48" w14:textId="77777777" w:rsidR="00962DB6" w:rsidRDefault="00000000">
      <w:pPr>
        <w:pStyle w:val="BodyText"/>
      </w:pPr>
      <w:r>
        <w:rPr>
          <w:b/>
          <w:bCs/>
        </w:rPr>
        <w:t>[R24]</w:t>
      </w:r>
      <w:r>
        <w:t xml:space="preserve"> C. Torrano-Giménez, A. Pérez-Villegas, and G. Álvarez-Marañón, “HTTP DATASET CSIC 2010,” Information Security Institute, Spanish Research National Council (CSIC), 2010.</w:t>
      </w:r>
    </w:p>
    <w:p w14:paraId="05A4680C" w14:textId="77777777" w:rsidR="00962DB6" w:rsidRDefault="00000000">
      <w:pPr>
        <w:pStyle w:val="BodyText"/>
      </w:pPr>
      <w:r>
        <w:rPr>
          <w:b/>
          <w:bCs/>
        </w:rPr>
        <w:t>[R25]</w:t>
      </w:r>
      <w:r>
        <w:t xml:space="preserve"> A. Tekerek, “A Novel Architecture for Web-based Attack Detection Using Convolutional Neural Network,” </w:t>
      </w:r>
      <w:r>
        <w:rPr>
          <w:i/>
          <w:iCs/>
        </w:rPr>
        <w:t>Computers &amp; Security</w:t>
      </w:r>
      <w:r>
        <w:t>, vol. 100, art. 102096, 2021. DOI: 10.1016/j.cose.2020.102096</w:t>
      </w:r>
    </w:p>
    <w:p w14:paraId="0F3856D3" w14:textId="77777777" w:rsidR="00962DB6" w:rsidRDefault="00000000">
      <w:pPr>
        <w:pStyle w:val="BodyText"/>
      </w:pPr>
      <w:r>
        <w:rPr>
          <w:b/>
          <w:bCs/>
        </w:rPr>
        <w:t>[R26]</w:t>
      </w:r>
      <w:r>
        <w:t xml:space="preserve"> M. Amouei, M. Rezvani, and M. Fateh, “RAT: Reinforcement-Learning-Driven and Adaptive Testing for Vulnerability Discovery in Web Application Firewalls,” </w:t>
      </w:r>
      <w:r>
        <w:rPr>
          <w:i/>
          <w:iCs/>
        </w:rPr>
        <w:t>IEEE Transactions on Dependable and Secure Computing</w:t>
      </w:r>
      <w:r>
        <w:t>, vol. 19, pp. 3371–3386, 2022.</w:t>
      </w:r>
    </w:p>
    <w:p w14:paraId="7F67948C" w14:textId="77777777" w:rsidR="00962DB6" w:rsidRDefault="00000000">
      <w:pPr>
        <w:pStyle w:val="BodyText"/>
      </w:pPr>
      <w:r>
        <w:rPr>
          <w:b/>
          <w:bCs/>
        </w:rPr>
        <w:t>[R27]</w:t>
      </w:r>
      <w:r>
        <w:t xml:space="preserve"> C. Iliou, T. Kostoulas, T. Tsikrika, V. Katos, S. Vrochidis, and I. Kompatsiaris, “Towards a Framework for Detecting Advanced Web Bots,” in </w:t>
      </w:r>
      <w:r>
        <w:rPr>
          <w:i/>
          <w:iCs/>
        </w:rPr>
        <w:t>Proc. 14th Int. Conf. on Availability, Reliability and Security (ARES 2019)</w:t>
      </w:r>
      <w:r>
        <w:t>, 2019. DOI: 10.1145/3339252.3339267</w:t>
      </w:r>
    </w:p>
    <w:p w14:paraId="43BAAC08" w14:textId="77777777" w:rsidR="00962DB6" w:rsidRDefault="00000000">
      <w:pPr>
        <w:pStyle w:val="BodyText"/>
      </w:pPr>
      <w:r>
        <w:rPr>
          <w:b/>
          <w:bCs/>
        </w:rPr>
        <w:t>[R28]</w:t>
      </w:r>
      <w:r>
        <w:t xml:space="preserve"> C. Iliou, T. Kostoulas, T. Tsikrika, V. Katos, S. Vrochidis, and I. Kompatsiaris, “Detection of Advanced Web Bots by Combining Web Logs with Mouse Behavioural Biometrics,” </w:t>
      </w:r>
      <w:r>
        <w:rPr>
          <w:i/>
          <w:iCs/>
        </w:rPr>
        <w:t>Digital Threats: Research and Practice</w:t>
      </w:r>
      <w:r>
        <w:t>, vol. 2, no. 3, 2021. DOI: 10.1145/3447815</w:t>
      </w:r>
    </w:p>
    <w:p w14:paraId="6B667B68" w14:textId="77777777" w:rsidR="00962DB6" w:rsidRDefault="00000000">
      <w:pPr>
        <w:pStyle w:val="BodyText"/>
      </w:pPr>
      <w:r>
        <w:rPr>
          <w:b/>
          <w:bCs/>
        </w:rPr>
        <w:lastRenderedPageBreak/>
        <w:t>[R29]</w:t>
      </w:r>
      <w:r>
        <w:t xml:space="preserve"> R. A. Howard, “Information Value Theory,” </w:t>
      </w:r>
      <w:r>
        <w:rPr>
          <w:i/>
          <w:iCs/>
        </w:rPr>
        <w:t>IEEE Transactions on Systems Science and Cybernetics</w:t>
      </w:r>
      <w:r>
        <w:t>, vol. 2, no. 1, pp. 22–26, 1966. DOI: 10.1109/TSSC.1966.300074</w:t>
      </w:r>
    </w:p>
    <w:p w14:paraId="55993014" w14:textId="77777777" w:rsidR="00962DB6" w:rsidRDefault="00000000">
      <w:pPr>
        <w:pStyle w:val="BodyText"/>
      </w:pPr>
      <w:r>
        <w:rPr>
          <w:b/>
          <w:bCs/>
        </w:rPr>
        <w:t>[R30]</w:t>
      </w:r>
      <w:r>
        <w:t xml:space="preserve"> C. Elkan, “The Foundations of Cost-Sensitive Learning,” in </w:t>
      </w:r>
      <w:r>
        <w:rPr>
          <w:i/>
          <w:iCs/>
        </w:rPr>
        <w:t>Proc. 17th Int. Joint Conf. on Artificial Intelligence (IJCAI 2001)</w:t>
      </w:r>
      <w:r>
        <w:t>, 2001, pp. 973–978.</w:t>
      </w:r>
    </w:p>
    <w:p w14:paraId="70D64D4C" w14:textId="77777777" w:rsidR="00962DB6" w:rsidRDefault="00000000">
      <w:pPr>
        <w:pStyle w:val="BodyText"/>
      </w:pPr>
      <w:r>
        <w:rPr>
          <w:b/>
          <w:bCs/>
        </w:rPr>
        <w:t>[R31]</w:t>
      </w:r>
      <w:r>
        <w:t xml:space="preserve"> J. Pawlick, E. Colbert, and Q. Zhu, “Modeling and Analysis of Leaky Deception Using Signaling Games with Evidence,” </w:t>
      </w:r>
      <w:r>
        <w:rPr>
          <w:i/>
          <w:iCs/>
        </w:rPr>
        <w:t>IEEE Transactions on Information Forensics and Security</w:t>
      </w:r>
      <w:r>
        <w:t>, vol. 14, no. 7, pp. 1871–1886, 2019.</w:t>
      </w:r>
    </w:p>
    <w:p w14:paraId="68605B3C" w14:textId="77777777" w:rsidR="00962DB6" w:rsidRDefault="00000000">
      <w:pPr>
        <w:pStyle w:val="BodyText"/>
      </w:pPr>
      <w:r>
        <w:rPr>
          <w:b/>
          <w:bCs/>
        </w:rPr>
        <w:t>[R32]</w:t>
      </w:r>
      <w:r>
        <w:t xml:space="preserve"> S. Axelsson, “The Base-Rate Fallacy and the Difficulty of Intrusion Detection,” </w:t>
      </w:r>
      <w:r>
        <w:rPr>
          <w:i/>
          <w:iCs/>
        </w:rPr>
        <w:t>ACM Transactions on Information and System Security</w:t>
      </w:r>
      <w:r>
        <w:t>, vol. 3, no. 3, pp. 186–205, 2000. DOI: 10.1145/357830.357849</w:t>
      </w:r>
    </w:p>
    <w:p w14:paraId="53990C19" w14:textId="77777777" w:rsidR="00962DB6" w:rsidRDefault="00000000">
      <w:pPr>
        <w:pStyle w:val="BodyText"/>
      </w:pPr>
      <w:r>
        <w:rPr>
          <w:b/>
          <w:bCs/>
        </w:rPr>
        <w:t>[R33]</w:t>
      </w:r>
      <w:r>
        <w:t xml:space="preserve"> R. Sommer and V. Paxson, “Outside the Closed World: On Using Machine Learning for Network Intrusion Detection,” in </w:t>
      </w:r>
      <w:r>
        <w:rPr>
          <w:i/>
          <w:iCs/>
        </w:rPr>
        <w:t>Proc. 2010 IEEE Symposium on Security and Privacy</w:t>
      </w:r>
      <w:r>
        <w:t>, 2010, pp. 305–316. DOI: 10.1109/SP.2010.25</w:t>
      </w:r>
    </w:p>
    <w:p w14:paraId="31720C3A" w14:textId="77777777" w:rsidR="00962DB6" w:rsidRDefault="00000000">
      <w:pPr>
        <w:pStyle w:val="BodyText"/>
      </w:pPr>
      <w:r>
        <w:rPr>
          <w:b/>
          <w:bCs/>
        </w:rPr>
        <w:t>[R34]</w:t>
      </w:r>
      <w:r>
        <w:t xml:space="preserve"> D. Arp, E. Quiring, F. Pendlebury, A. Warnecke, F. Pierazzi, C. Wressnegger, L. Cavallaro, and K. Rieck, “Dos and Don’ts of Machine Learning in Computer Security,” in </w:t>
      </w:r>
      <w:r>
        <w:rPr>
          <w:i/>
          <w:iCs/>
        </w:rPr>
        <w:t>Proc. 31st USENIX Security Symposium</w:t>
      </w:r>
      <w:r>
        <w:t>, 2022.</w:t>
      </w:r>
    </w:p>
    <w:p w14:paraId="7F4BCB2F" w14:textId="77777777" w:rsidR="00962DB6" w:rsidRDefault="00000000">
      <w:pPr>
        <w:pStyle w:val="BodyText"/>
      </w:pPr>
      <w:r>
        <w:rPr>
          <w:b/>
          <w:bCs/>
        </w:rPr>
        <w:t>[R35]</w:t>
      </w:r>
      <w:r>
        <w:t xml:space="preserve"> K. J. Ferguson-Walter, M. M. Major, C. K. Johnson, and D. H. Muhleman, “Examining the Efficacy of Decoy-based and Psychological Cyber Deception,” in </w:t>
      </w:r>
      <w:r>
        <w:rPr>
          <w:i/>
          <w:iCs/>
        </w:rPr>
        <w:t>Proc. 30th USENIX Security Symposium</w:t>
      </w:r>
      <w:r>
        <w:t>, 2021.</w:t>
      </w:r>
    </w:p>
    <w:p w14:paraId="19BEBA2B" w14:textId="77777777" w:rsidR="00962DB6" w:rsidRDefault="00000000">
      <w:pPr>
        <w:pStyle w:val="BodyText"/>
      </w:pPr>
      <w:r>
        <w:rPr>
          <w:b/>
          <w:bCs/>
        </w:rPr>
        <w:t>[R36]</w:t>
      </w:r>
      <w:r>
        <w:t xml:space="preserve"> B. Schneier and J. Kelsey, “Secure Audit Logs to Support Computer Forensics,” </w:t>
      </w:r>
      <w:r>
        <w:rPr>
          <w:i/>
          <w:iCs/>
        </w:rPr>
        <w:t>ACM Transactions on Information and System Security</w:t>
      </w:r>
      <w:r>
        <w:t>, vol. 2, no. 2, pp. 159–176, 1999. DOI: 10.1145/317087.317089</w:t>
      </w:r>
    </w:p>
    <w:p w14:paraId="44F8D345" w14:textId="77777777" w:rsidR="00962DB6" w:rsidRDefault="00000000">
      <w:pPr>
        <w:pStyle w:val="BodyText"/>
      </w:pPr>
      <w:r>
        <w:rPr>
          <w:b/>
          <w:bCs/>
        </w:rPr>
        <w:t>[R37]</w:t>
      </w:r>
      <w:r>
        <w:t xml:space="preserve"> J.-H. Cho, D. P. Sharma, H. Alavizadeh, S. Yoon, N. Ben-Asher, T. J. Moore, D. S. Kim, H. Lim, and F. F. Nelson, “Toward Proactive, Adaptive Defense: A Survey on Moving Target Defense,” </w:t>
      </w:r>
      <w:r>
        <w:rPr>
          <w:i/>
          <w:iCs/>
        </w:rPr>
        <w:t>IEEE Communications Surveys &amp; Tutorials</w:t>
      </w:r>
      <w:r>
        <w:t>, vol. 22, no. 1, pp. 709–745, 2020. DOI: 10.1109/COMST.2019.2963791</w:t>
      </w:r>
    </w:p>
    <w:p w14:paraId="18CDDB21" w14:textId="77777777" w:rsidR="00962DB6" w:rsidRDefault="00000000">
      <w:pPr>
        <w:pStyle w:val="BodyText"/>
      </w:pPr>
      <w:r>
        <w:rPr>
          <w:b/>
          <w:bCs/>
        </w:rPr>
        <w:t>[R38]</w:t>
      </w:r>
      <w:r>
        <w:t xml:space="preserve"> D. J. Schuirmann, “A Comparison of the Two One-Sided Tests Procedure and the Power Approach for Assessing the Equivalence of Average Bioavailability,” </w:t>
      </w:r>
      <w:r>
        <w:rPr>
          <w:i/>
          <w:iCs/>
        </w:rPr>
        <w:t>Journal of Pharmacokinetics and Biopharmaceutics</w:t>
      </w:r>
      <w:r>
        <w:t>, vol. 15, no. 6, pp. 657–680, 1987. DOI: 10.1007/BF01068419</w:t>
      </w:r>
    </w:p>
    <w:p w14:paraId="2C5C4B65" w14:textId="77777777" w:rsidR="00962DB6" w:rsidRDefault="00000000">
      <w:pPr>
        <w:pStyle w:val="BodyText"/>
      </w:pPr>
      <w:r>
        <w:rPr>
          <w:i/>
          <w:iCs/>
        </w:rPr>
        <w:t>Additional references (web-attack vulnerability-class detection literature).</w:t>
      </w:r>
      <w:r>
        <w:t xml:space="preserve"> Al-talak, K., &amp; Abbass, O. (2021). Detecting server-side request forgery (SSRF) attack by using deep learning techniques. </w:t>
      </w:r>
      <w:r>
        <w:rPr>
          <w:i/>
          <w:iCs/>
        </w:rPr>
        <w:t>International Journal of Advanced Computer Science and Applications</w:t>
      </w:r>
      <w:r>
        <w:t xml:space="preserve">, 12(12). — An, T., Shui, X., &amp; Gao, H. (2022). Deep learning based webshell detection coping with long text and lexical ambiguity. In </w:t>
      </w:r>
      <w:r>
        <w:rPr>
          <w:i/>
          <w:iCs/>
        </w:rPr>
        <w:t>Information and Communications Security</w:t>
      </w:r>
      <w:r>
        <w:t xml:space="preserve">. — Cheng, B., Guo, Y., Ren, Y., Yang, G., &amp; Xu, G. (2022). MSDetector: A static PHP webshell detection system based on deep learning. In </w:t>
      </w:r>
      <w:r>
        <w:rPr>
          <w:i/>
          <w:iCs/>
        </w:rPr>
        <w:t>Theoretical Aspects of Software Engineering</w:t>
      </w:r>
      <w:r>
        <w:t xml:space="preserve">. — Hannousse, A., Nait-Hamoud, M., &amp; Yahiouche, S. (2023). A deep learner model for multi-language webshell detection. </w:t>
      </w:r>
      <w:r>
        <w:rPr>
          <w:i/>
          <w:iCs/>
        </w:rPr>
        <w:t>International Journal of Information Security</w:t>
      </w:r>
      <w:r>
        <w:t xml:space="preserve">, 22(1), 47–61. — </w:t>
      </w:r>
      <w:r>
        <w:lastRenderedPageBreak/>
        <w:t xml:space="preserve">Huang, L., &amp; Zhu, Q. (2019). Adaptive honeypot engagement through reinforcement learning of semi-Markov decision processes. arXiv:1906.12182. — Jabiyev, B., &amp; Kharraz, A. (2020/2021). Preventing server-side request forgery attacks. In </w:t>
      </w:r>
      <w:r>
        <w:rPr>
          <w:i/>
          <w:iCs/>
        </w:rPr>
        <w:t>36th ACM/SIGAPP Symposium on Applied Computing</w:t>
      </w:r>
      <w:r>
        <w:t xml:space="preserve">. — Kshetri, N., et al. (2024). algoXSSF: Detection and analysis of cross-site request forgery (XSRF) and cross-site scripting (XSS) attacks via machine learning algorithms. arXiv:2402.01012. — Lee, T., Wi, S., Lee, S., &amp; Son, S. (2020). FUSE: Finding file upload bugs via penetration testing. In </w:t>
      </w:r>
      <w:r>
        <w:rPr>
          <w:i/>
          <w:iCs/>
        </w:rPr>
        <w:t>NDSS</w:t>
      </w:r>
      <w:r>
        <w:t xml:space="preserve">. — Otal, S., &amp; Canbaz, M. A. (2024). LLM Honeypot: Leveraging large language models as advanced interactive honeypot systems. arXiv:2409.08234. — Malhotra, P. (2025). LLMHoney: A real-time SSH honeypot with large language model-driven dynamic response generation. arXiv:2509.01463. — Wang, E., Chen, J., Xie, W., Wang, C., Gao, Y., Wang, Z., Duan, H., Liu, Y., &amp; Wang, B. (2024). Where URLs become weapons: Automated discovery of SSRF vulnerabilities in web applications. </w:t>
      </w:r>
      <w:r>
        <w:rPr>
          <w:i/>
          <w:iCs/>
        </w:rPr>
        <w:t>IEEE Symposium on Security and Privacy</w:t>
      </w:r>
      <w:r>
        <w:t>. — Wu, Y. (2025). BACFuzz: Exposing the silence on broken access control vulnerabilities in web applications. arXiv:2507.15984. — (2026). AdvancedShelLM: A stateful multi-agent LLM honeypot for SSH deception. arXiv:2606.27990. — (2026). Honeyquest for LLMs: Rethinking cyber deception for AI attackers. arXiv:2606.21037. — (2022). Automatic detection of access control vulnerabilities via API specification processing. arXiv:2201.10833. — (2025). Artemis: Toward accurate detection of server-side request forgeries through LLM-assisted inter-procedural path-sensitive taint analysis. arXiv:2502.21026.</w:t>
      </w:r>
    </w:p>
    <w:p w14:paraId="6BC52354" w14:textId="77777777" w:rsidR="00962DB6" w:rsidRDefault="00000000">
      <w:pPr>
        <w:pStyle w:val="BodyText"/>
      </w:pPr>
      <w:r>
        <w:rPr>
          <w:i/>
          <w:iCs/>
        </w:rPr>
        <w:t>Note: bibliographic details for the additional references above should be verified against the original arXiv/publisher record before submission, as full author metadata was not consistently available across the aggregator sources consulted during the original review.</w:t>
      </w:r>
      <w:bookmarkEnd w:id="40"/>
    </w:p>
    <w:sectPr w:rsidR="00962DB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E0CFD" w14:textId="77777777" w:rsidR="00254392" w:rsidRDefault="00254392">
      <w:pPr>
        <w:spacing w:after="0"/>
      </w:pPr>
      <w:r>
        <w:separator/>
      </w:r>
    </w:p>
  </w:endnote>
  <w:endnote w:type="continuationSeparator" w:id="0">
    <w:p w14:paraId="5A6DA897" w14:textId="77777777" w:rsidR="00254392" w:rsidRDefault="0025439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9B8E3" w14:textId="77777777" w:rsidR="00254392" w:rsidRDefault="00254392">
      <w:r>
        <w:separator/>
      </w:r>
    </w:p>
  </w:footnote>
  <w:footnote w:type="continuationSeparator" w:id="0">
    <w:p w14:paraId="51ACAA69" w14:textId="77777777" w:rsidR="00254392" w:rsidRDefault="002543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5B0DFF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6BBA542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608201530">
    <w:abstractNumId w:val="0"/>
  </w:num>
  <w:num w:numId="2" w16cid:durableId="582152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415166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316078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805823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091199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62DB6"/>
    <w:rsid w:val="001B0626"/>
    <w:rsid w:val="00254392"/>
    <w:rsid w:val="00962DB6"/>
    <w:rsid w:val="00EF73D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BE879"/>
  <w15:docId w15:val="{CDBE6633-74B9-4EBE-95F9-13E3B330C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24</Pages>
  <Words>10070</Words>
  <Characters>57399</Characters>
  <Application>Microsoft Office Word</Application>
  <DocSecurity>0</DocSecurity>
  <Lines>478</Lines>
  <Paragraphs>134</Paragraphs>
  <ScaleCrop>false</ScaleCrop>
  <Company/>
  <LinksUpToDate>false</LinksUpToDate>
  <CharactersWithSpaces>67335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Pricing the Probe: When a Web-Attack Detector Should Deceive Rather Than Decide</dc:title>
  <dc:creator/>
  <cp:keywords/>
  <cp:lastModifiedBy>bhupinder singh nijjar</cp:lastModifiedBy>
  <cp:revision>2</cp:revision>
  <dcterms:created xsi:type="dcterms:W3CDTF">2026-08-16T07:10:00Z</dcterms:created>
  <dcterms:modified xsi:type="dcterms:W3CDTF">2026-08-16T07:22:00Z</dcterms:modified>
</cp:coreProperties>
</file>