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 Display" w:hAnsi="Aptos Display"/>
          <w:b/>
          <w:color w:val="17324D"/>
          <w:sz w:val="62"/>
        </w:rPr>
        <w:t>SECURENOVA</w:t>
      </w:r>
    </w:p>
    <w:p>
      <w:pPr>
        <w:jc w:val="center"/>
      </w:pPr>
      <w:r>
        <w:rPr>
          <w:rFonts w:ascii="Aptos Display" w:hAnsi="Aptos Display"/>
          <w:b/>
          <w:color w:val="245B7A"/>
          <w:sz w:val="44"/>
        </w:rPr>
        <w:t>AI Identity Security Policy</w:t>
      </w:r>
    </w:p>
    <w:p>
      <w:pPr>
        <w:jc w:val="center"/>
      </w:pPr>
      <w:r>
        <w:rPr>
          <w:color w:val="646E78"/>
          <w:sz w:val="19"/>
        </w:rPr>
        <w:t>Identity • Credentials • Agent Trust • Guardrails • Governance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Owner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Security Engineering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Version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Review cycle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Quarterly and after any material AI identity incident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Classification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Controlled — Internal Security Documentation</w:t>
            </w:r>
          </w:p>
        </w:tc>
      </w:tr>
    </w:tbl>
    <w:p>
      <w:pPr>
        <w:spacing w:after="0"/>
      </w:pPr>
    </w:p>
    <w:p/>
    <w:p>
      <w:pPr>
        <w:spacing w:after="80"/>
      </w:pPr>
      <w:r>
        <w:rPr>
          <w:rFonts w:ascii="Aptos Display" w:hAnsi="Aptos Display"/>
          <w:b/>
          <w:color w:val="17324D"/>
          <w:sz w:val="24"/>
        </w:rP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FFFFFF"/>
          <w:left w:val="single" w:sz="5" w:color="FFFFFF"/>
          <w:bottom w:val="single" w:sz="5" w:color="FFFFFF"/>
          <w:right w:val="single" w:sz="5" w:color="FFFFFF"/>
          <w:insideH w:val="single" w:sz="5" w:color="FFFFFF"/>
          <w:insideV w:val="single" w:sz="5" w:color="FFFFFF"/>
        </w:tblBorders>
      </w:tblPr>
      <w:tblGrid>
        <w:gridCol w:w="5040"/>
        <w:gridCol w:w="5040"/>
      </w:tblGrid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1. Identity Lifecycle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2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2. Credential Governance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3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3. Incident Response Playbook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4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4. Governance, Compliance &amp; Audit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6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5. Roles &amp; Responsibilities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7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6. Policy Enforcement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7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7. Exceptions &amp; Evidence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8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8. Current-State Gaps &amp; Recommendations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9</w:t>
            </w:r>
          </w:p>
        </w:tc>
      </w:tr>
      <w:tr>
        <w:tc>
          <w:tcPr>
            <w:tcW w:type="dxa" w:w="8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7"/>
              </w:rPr>
              <w:t>9. Policy Review &amp; Maintenance</w:t>
            </w:r>
          </w:p>
        </w:tc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646E78"/>
                <w:sz w:val="17"/>
              </w:rPr>
              <w:t>10</w:t>
            </w:r>
          </w:p>
        </w:tc>
      </w:tr>
    </w:tbl>
    <w:p>
      <w:pPr>
        <w:spacing w:before="160"/>
        <w:jc w:val="center"/>
      </w:pPr>
      <w:r>
        <w:rPr>
          <w:b/>
          <w:color w:val="008A8A"/>
          <w:sz w:val="16"/>
        </w:rPr>
        <w:t>PROJECT 5  |  AI IDENTITY SECURITY GOVERNANCE</w:t>
      </w:r>
    </w:p>
    <w:p>
      <w:r>
        <w:br w:type="page"/>
      </w:r>
    </w:p>
    <w:p>
      <w:pPr>
        <w:pStyle w:val="Heading1"/>
      </w:pPr>
      <w:r>
        <w:t>1. Identity Lifecycle</w:t>
      </w:r>
    </w:p>
    <w:p>
      <w:r>
        <w:t>Controls apply from identity provisioning through review, rotation and decommissioning.</w:t>
      </w:r>
    </w:p>
    <w:p>
      <w:pPr>
        <w:pStyle w:val="Heading2"/>
      </w:pPr>
      <w:r>
        <w:t>1.1 Provisioning</w:t>
      </w:r>
    </w:p>
    <w:p>
      <w:pPr>
        <w:pStyle w:val="ListBullet"/>
        <w:spacing w:after="40"/>
        <w:ind w:left="288"/>
      </w:pPr>
      <w:r>
        <w:t>Every human, agent, OAuth client, RAG service and MCP server receives a unique identity.</w:t>
      </w:r>
    </w:p>
    <w:p>
      <w:pPr>
        <w:pStyle w:val="ListBullet"/>
        <w:spacing w:after="40"/>
        <w:ind w:left="288"/>
      </w:pPr>
      <w:r>
        <w:t>Human identities use Auth0 OIDC. Machine identities use OAuth 2.0 M2M credentials or equivalent workload identity.</w:t>
      </w:r>
    </w:p>
    <w:p>
      <w:pPr>
        <w:pStyle w:val="ListBullet"/>
        <w:spacing w:after="40"/>
        <w:ind w:left="288"/>
      </w:pPr>
      <w:r>
        <w:t>Agent-to-agent authorization requires verified cryptographic identity binding.</w:t>
      </w:r>
    </w:p>
    <w:p>
      <w:pPr>
        <w:pStyle w:val="ListBullet"/>
        <w:spacing w:after="40"/>
        <w:ind w:left="288"/>
      </w:pPr>
      <w:r>
        <w:t>Every production identity has an accountable owner and documented purpose.</w:t>
      </w:r>
    </w:p>
    <w:p>
      <w:pPr>
        <w:pStyle w:val="ListBullet"/>
        <w:spacing w:after="40"/>
        <w:ind w:left="288"/>
      </w:pPr>
      <w:r>
        <w:t>Least privilege is mandatory; read:ai-data never implies write:admin.</w:t>
      </w:r>
    </w:p>
    <w:p>
      <w:pPr>
        <w:pStyle w:val="Heading2"/>
      </w:pPr>
      <w:r>
        <w:t>1.2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cadence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Agent/service identities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Every 90 days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Privileged scopes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Monthly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MCP tools and permissions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Before production changes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Inactive identities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Disable within 24 hours of confirmed inactivity</w:t>
            </w:r>
          </w:p>
        </w:tc>
      </w:tr>
    </w:tbl>
    <w:p>
      <w:pPr>
        <w:spacing w:after="0"/>
      </w:pPr>
    </w:p>
    <w:p>
      <w:pPr>
        <w:pStyle w:val="Heading2"/>
      </w:pPr>
      <w:r>
        <w:t>1.3 Rotation &amp; Decommissioning</w:t>
      </w:r>
    </w:p>
    <w:p>
      <w:pPr>
        <w:pStyle w:val="ListBullet"/>
        <w:spacing w:after="40"/>
        <w:ind w:left="288"/>
      </w:pPr>
      <w:r>
        <w:t>LLM/API keys: maximum 90-day rotation; rotate immediately when compromise is suspected.</w:t>
      </w:r>
    </w:p>
    <w:p>
      <w:pPr>
        <w:pStyle w:val="ListBullet"/>
        <w:spacing w:after="40"/>
        <w:ind w:left="288"/>
      </w:pPr>
      <w:r>
        <w:t>Agent/M2M tokens: short-lived; target 300 seconds or less for privileged workloads.</w:t>
      </w:r>
    </w:p>
    <w:p>
      <w:pPr>
        <w:pStyle w:val="ListBullet"/>
        <w:spacing w:after="40"/>
        <w:ind w:left="288"/>
      </w:pPr>
      <w:r>
        <w:t>Refresh-token rotation is enabled; reuse of an old refresh token is an incident signal.</w:t>
      </w:r>
    </w:p>
    <w:p>
      <w:pPr>
        <w:pStyle w:val="ListBullet"/>
        <w:spacing w:after="40"/>
        <w:ind w:left="288"/>
      </w:pPr>
      <w:r>
        <w:t>Decommissioning revokes credentials, removes scopes/tool grants, archives evidence and deletes residual secrets.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008A8A"/>
          <w:left w:val="single" w:sz="5" w:color="008A8A"/>
          <w:bottom w:val="single" w:sz="5" w:color="008A8A"/>
          <w:right w:val="single" w:sz="5" w:color="008A8A"/>
          <w:insideH w:val="single" w:sz="5" w:color="008A8A"/>
          <w:insideV w:val="single" w:sz="5" w:color="008A8A"/>
        </w:tblBorders>
      </w:tblPr>
      <w:tblGrid>
        <w:gridCol w:w="10080"/>
      </w:tblGrid>
      <w:tr>
        <w:tc>
          <w:tcPr>
            <w:tcW w:type="dxa" w:w="10080"/>
            <w:shd w:fill="EAF4F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08A8A"/>
                <w:sz w:val="16"/>
              </w:rPr>
              <w:t>CORE RULE</w:t>
            </w:r>
          </w:p>
          <w:p>
            <w:pPr>
              <w:spacing w:after="0"/>
            </w:pPr>
            <w:r>
              <w:rPr>
                <w:sz w:val="18"/>
              </w:rPr>
              <w:t>Authentication proves identity; authorization decides what that identity may do.</w:t>
            </w:r>
          </w:p>
        </w:tc>
      </w:tr>
    </w:tbl>
    <w:p>
      <w:r>
        <w:br w:type="page"/>
      </w:r>
    </w:p>
    <w:p>
      <w:pPr>
        <w:pStyle w:val="Heading1"/>
      </w:pPr>
      <w:r>
        <w:t>2. Credential Governance</w:t>
      </w:r>
    </w:p>
    <w:p>
      <w:pPr>
        <w:pStyle w:val="Heading2"/>
      </w:pPr>
      <w:r>
        <w:t>2.1 Secret Management</w:t>
      </w:r>
    </w:p>
    <w:p>
      <w:pPr>
        <w:pStyle w:val="ListBullet"/>
        <w:spacing w:after="40"/>
        <w:ind w:left="288"/>
      </w:pPr>
      <w:r>
        <w:t>No long-lived credential may be embedded in source code, prompts, RAG documents or agent configuration.</w:t>
      </w:r>
    </w:p>
    <w:p>
      <w:pPr>
        <w:pStyle w:val="ListBullet"/>
        <w:spacing w:after="40"/>
        <w:ind w:left="288"/>
      </w:pPr>
      <w:r>
        <w:t>Secrets must be stored in an approved secret-management system.</w:t>
      </w:r>
    </w:p>
    <w:p>
      <w:pPr>
        <w:pStyle w:val="ListBullet"/>
        <w:spacing w:after="40"/>
        <w:ind w:left="288"/>
      </w:pPr>
      <w:r>
        <w:t>Production, test and development credentials must be separated.</w:t>
      </w:r>
    </w:p>
    <w:p>
      <w:pPr>
        <w:pStyle w:val="ListBullet"/>
        <w:spacing w:after="40"/>
        <w:ind w:left="288"/>
      </w:pPr>
      <w:r>
        <w:t>Suspected exposed credentials must be revoked immediately.</w:t>
      </w:r>
    </w:p>
    <w:p>
      <w:pPr>
        <w:pStyle w:val="Heading2"/>
      </w:pPr>
      <w:r>
        <w:t>2.2 Token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Policy requirement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Access-token lifetime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Shortest practical lifetime; privileged target ≤300 seconds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Refresh-token rotation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Enabled where supported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Replay protection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Invalidated/old refresh tokens are rejected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Scope authorization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Valid authentication does not grant privileged scope</w:t>
            </w:r>
          </w:p>
        </w:tc>
      </w:tr>
    </w:tbl>
    <w:p>
      <w:pPr>
        <w:spacing w:after="0"/>
      </w:pPr>
    </w:p>
    <w:p>
      <w:pPr>
        <w:pStyle w:val="Heading2"/>
      </w:pPr>
      <w:r>
        <w:t>2.3 Logging &amp; Output Protection</w:t>
      </w:r>
    </w:p>
    <w:p>
      <w:pPr>
        <w:pStyle w:val="ListBullet"/>
        <w:spacing w:after="40"/>
        <w:ind w:left="288"/>
      </w:pPr>
      <w:r>
        <w:t>Logs must redact JWTs, API keys and other credential-shaped values.</w:t>
      </w:r>
    </w:p>
    <w:p>
      <w:pPr>
        <w:pStyle w:val="ListBullet"/>
        <w:spacing w:after="40"/>
        <w:ind w:left="288"/>
      </w:pPr>
      <w:r>
        <w:t>AI responses must pass through output-security controls before presentation.</w:t>
      </w:r>
    </w:p>
    <w:p>
      <w:pPr>
        <w:pStyle w:val="ListBullet"/>
        <w:spacing w:after="40"/>
        <w:ind w:left="288"/>
      </w:pPr>
      <w:r>
        <w:t>Security logs capture identity, timestamp, scope, event and control result without unnecessary secret values.</w:t>
      </w:r>
    </w:p>
    <w:p>
      <w:pPr>
        <w:pStyle w:val="Heading2"/>
      </w:pPr>
      <w:r>
        <w:t>2.4 Untrusted Data &amp; Tools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008A8A"/>
          <w:left w:val="single" w:sz="5" w:color="008A8A"/>
          <w:bottom w:val="single" w:sz="5" w:color="008A8A"/>
          <w:right w:val="single" w:sz="5" w:color="008A8A"/>
          <w:insideH w:val="single" w:sz="5" w:color="008A8A"/>
          <w:insideV w:val="single" w:sz="5" w:color="008A8A"/>
        </w:tblBorders>
      </w:tblPr>
      <w:tblGrid>
        <w:gridCol w:w="10080"/>
      </w:tblGrid>
      <w:tr>
        <w:tc>
          <w:tcPr>
            <w:tcW w:type="dxa" w:w="10080"/>
            <w:shd w:fill="EAF4F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08A8A"/>
                <w:sz w:val="16"/>
              </w:rPr>
              <w:t>NON-NEGOTIABLE</w:t>
            </w:r>
          </w:p>
          <w:p>
            <w:pPr>
              <w:spacing w:after="0"/>
            </w:pPr>
            <w:r>
              <w:rPr>
                <w:sz w:val="18"/>
              </w:rPr>
              <w:t>Retrieved RAG content is data, not authority. It cannot authorize an MCP tool call, change a scope or elevate an identity.</w:t>
            </w:r>
          </w:p>
        </w:tc>
      </w:tr>
    </w:tbl>
    <w:p>
      <w:pPr>
        <w:pStyle w:val="ListBullet"/>
        <w:spacing w:after="40"/>
        <w:ind w:left="288"/>
      </w:pPr>
      <w:r>
        <w:t>Agent-to-agent messages must be authenticated and integrity-protected.</w:t>
      </w:r>
    </w:p>
    <w:p>
      <w:pPr>
        <w:pStyle w:val="ListBullet"/>
        <w:spacing w:after="40"/>
        <w:ind w:left="288"/>
      </w:pPr>
      <w:r>
        <w:t>MCP tools require explicit identity, scope and purpose authorization.</w:t>
      </w:r>
    </w:p>
    <w:p>
      <w:pPr>
        <w:pStyle w:val="ListBullet"/>
        <w:spacing w:after="40"/>
        <w:ind w:left="288"/>
      </w:pPr>
      <w:r>
        <w:t>Sensitive external destinations should be allowlisted.</w:t>
      </w:r>
    </w:p>
    <w:p>
      <w:r>
        <w:br w:type="page"/>
      </w:r>
    </w:p>
    <w:p>
      <w:pPr>
        <w:pStyle w:val="Heading1"/>
      </w:pPr>
      <w:r>
        <w:t>3. Incident Response Playbook</w:t>
      </w:r>
    </w:p>
    <w:p>
      <w:r>
        <w:t>All AI identity incidents follow five phases: Detection Signals, Containment, Evidence Preservation, Notification and Recovery.</w:t>
      </w:r>
    </w:p>
    <w:p>
      <w:pPr>
        <w:pStyle w:val="Heading2"/>
      </w:pPr>
      <w:r>
        <w:t>3.1 Scenario 1 — Leaked LLM API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response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Detection Signals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Output guardrail alert; secret-scanner hit; unusual LLM API usage; call-volume spike.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Containment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Revoke exposed key; block suspicious access; stop affected workloads if compromise is suspected.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Evidence Preservation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Preserve request/response IDs, timestamps, identity, scope, guardrail result and audit logs. Record key identifier, never secret value.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Notification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Notify Security Engineering and service owner immediately; escalate if exposure or unauthorized spend is possible.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Recovery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Rotate key; revalidate permissions; review activity; rerun red-team regression tests; close after normal monitoring.</w:t>
            </w:r>
          </w:p>
        </w:tc>
      </w:tr>
    </w:tbl>
    <w:p>
      <w:pPr>
        <w:spacing w:after="0"/>
      </w:pPr>
    </w:p>
    <w:p>
      <w:pPr>
        <w:pStyle w:val="Heading2"/>
      </w:pPr>
      <w:r>
        <w:t>3.2 Scenario 2 — Compromised Agent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response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Detection Signals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Ed25519 signature failure; scope change; token replay; unusual tool invocation.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Containment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Revoke identity/tokens; disable privileged tools; block privileged agent-to-agent traffic; require re-registration.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Evidence Preservation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Preserve signed envelope, verification result, token ID, timestamp, scope-change event and API logs.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Notification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Notify Security Engineering and service owner; escalate when unauthorized admin, financial or data-access activity is possible.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Recovery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Generate new key pair; restore least-privilege scopes; revalidate tool permissions; rerun identity and replay tests; monitor.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Incident Response Playbook — Continued</w:t>
      </w:r>
    </w:p>
    <w:p>
      <w:pPr>
        <w:pStyle w:val="Heading2"/>
      </w:pPr>
      <w:r>
        <w:t>3.3 Scenario 3 — Prompt Injection Causing Data Exfiltration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response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Detection Signals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Input guardrail block; output redaction; RAG provenance anomaly; MCP/tool anomaly; external destination outside allowlist.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Containment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Block malicious request/tool call; quarantine poisoned content; disable affected tool route if necessary.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Evidence Preservation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Preserve payload, retrieved chunk, response, tool arguments, identity, scope, timestamp and correlation 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Notification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Notify Security Engineering and service owner; escalate if credentials, confidential data or external systems may be affected.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Recovery</w:t>
            </w:r>
          </w:p>
        </w:tc>
        <w:tc>
          <w:tcPr>
            <w:tcW w:type="dxa" w:w="81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Remove poisoned content; validate RAG corpus; patch guardrails/authorization; review credentials; rerun attack payload.</w:t>
            </w:r>
          </w:p>
        </w:tc>
      </w:tr>
    </w:tbl>
    <w:p>
      <w:pPr>
        <w:spacing w:after="0"/>
      </w:pPr>
    </w:p>
    <w:p>
      <w:pPr>
        <w:pStyle w:val="Heading2"/>
      </w:pPr>
      <w:r>
        <w:t>Incident Closure Criteria</w:t>
      </w:r>
    </w:p>
    <w:p>
      <w:pPr>
        <w:pStyle w:val="ListBullet"/>
        <w:spacing w:after="40"/>
        <w:ind w:left="288"/>
      </w:pPr>
      <w:r>
        <w:t>Containment is verified and affected credentials are revoked or rotated.</w:t>
      </w:r>
    </w:p>
    <w:p>
      <w:pPr>
        <w:pStyle w:val="ListBullet"/>
        <w:spacing w:after="40"/>
        <w:ind w:left="288"/>
      </w:pPr>
      <w:r>
        <w:t>Evidence is preserved without exposing secret values.</w:t>
      </w:r>
    </w:p>
    <w:p>
      <w:pPr>
        <w:pStyle w:val="ListBullet"/>
        <w:spacing w:after="40"/>
        <w:ind w:left="288"/>
      </w:pPr>
      <w:r>
        <w:t>Root cause and affected identities/scopes are documented.</w:t>
      </w:r>
    </w:p>
    <w:p>
      <w:pPr>
        <w:pStyle w:val="ListBullet"/>
        <w:spacing w:after="40"/>
        <w:ind w:left="288"/>
      </w:pPr>
      <w:r>
        <w:t>Regression tests demonstrate that the triggering attack path is blocked.</w:t>
      </w:r>
    </w:p>
    <w:p>
      <w:pPr>
        <w:pStyle w:val="ListBullet"/>
        <w:spacing w:after="40"/>
        <w:ind w:left="288"/>
      </w:pPr>
      <w:r>
        <w:t>Monitoring shows normal behavior before closure.</w:t>
      </w:r>
    </w:p>
    <w:p>
      <w:r>
        <w:br w:type="page"/>
      </w:r>
    </w:p>
    <w:p>
      <w:pPr>
        <w:pStyle w:val="Heading1"/>
      </w:pPr>
      <w:r>
        <w:t>4. Governance, Compliance &amp; Audit</w:t>
      </w:r>
    </w:p>
    <w:p>
      <w:pPr>
        <w:pStyle w:val="Heading2"/>
      </w:pPr>
      <w:r>
        <w:t>4.1 Control Lifecycle</w:t>
      </w:r>
    </w:p>
    <w:p>
      <w:pPr>
        <w:pStyle w:val="ListBullet"/>
        <w:spacing w:after="40"/>
        <w:ind w:left="288"/>
      </w:pPr>
      <w:r>
        <w:t>Use NIST AI RMF Govern, Map, Measure and Manage as the AI-security control lifecycle.</w:t>
      </w:r>
    </w:p>
    <w:p>
      <w:pPr>
        <w:pStyle w:val="ListBullet"/>
        <w:spacing w:after="40"/>
        <w:ind w:left="288"/>
      </w:pPr>
      <w:r>
        <w:t>Map security tests to OWASP LLM risks and MITRE ATLAS techniques.</w:t>
      </w:r>
    </w:p>
    <w:p>
      <w:pPr>
        <w:pStyle w:val="ListBullet"/>
        <w:spacing w:after="40"/>
        <w:ind w:left="288"/>
      </w:pPr>
      <w:r>
        <w:t>Maintain traceability from threats to controls and evidence artefacts.</w:t>
      </w:r>
    </w:p>
    <w:p>
      <w:pPr>
        <w:pStyle w:val="ListBullet"/>
        <w:spacing w:after="40"/>
        <w:ind w:left="288"/>
      </w:pPr>
      <w:r>
        <w:t>Retain evidence according to corporate audit requirements.</w:t>
      </w:r>
    </w:p>
    <w:p>
      <w:pPr>
        <w:pStyle w:val="Heading2"/>
      </w:pPr>
      <w:r>
        <w:t>4.2 Audit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domain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Identity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Identity, owner, purpose, role and scope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Authentication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Auth0/OIDC/OAuth configuration and token-lifetime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Authorization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Scope/tool permissions and privileged-access reviews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Guardrails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Input blocking, output redaction and benign-prompt validation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Cryptographic trust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Key registration, signature verification and tamper tests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Monitoring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Anomaly alerts and investigation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Incidents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Payload, identity, timestamps, control results and recovery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Compliance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NIST AI RMF and OWASP mappings with linked artefacts</w:t>
            </w:r>
          </w:p>
        </w:tc>
      </w:tr>
    </w:tbl>
    <w:p>
      <w:pPr>
        <w:spacing w:after="0"/>
      </w:pPr>
    </w:p>
    <w:p>
      <w:pPr>
        <w:pStyle w:val="Heading2"/>
      </w:pPr>
      <w:r>
        <w:t>4.3 Audit Integrity</w:t>
      </w:r>
    </w:p>
    <w:p>
      <w:pPr>
        <w:pStyle w:val="ListBullet"/>
        <w:spacing w:after="40"/>
        <w:ind w:left="288"/>
      </w:pPr>
      <w:r>
        <w:t>Evidence is attributable to a system, identity, timestamp and control/test.</w:t>
      </w:r>
    </w:p>
    <w:p>
      <w:pPr>
        <w:pStyle w:val="ListBullet"/>
        <w:spacing w:after="40"/>
        <w:ind w:left="288"/>
      </w:pPr>
      <w:r>
        <w:t>Evidence must not expose secret values unnecessarily.</w:t>
      </w:r>
    </w:p>
    <w:p>
      <w:pPr>
        <w:pStyle w:val="ListBullet"/>
        <w:spacing w:after="40"/>
        <w:ind w:left="288"/>
      </w:pPr>
      <w:r>
        <w:t>Material control failures remain visible until remediation is verified.</w:t>
      </w:r>
    </w:p>
    <w:p>
      <w:r>
        <w:br w:type="page"/>
      </w:r>
    </w:p>
    <w:p>
      <w:pPr>
        <w:pStyle w:val="Heading1"/>
      </w:pPr>
      <w:r>
        <w:t>5. Roles &amp;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Accountability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Security Engineering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Own policy; define controls; review incidents; maintain red/blue-team regression testing; maintain compliance evidence.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AI / Application Owners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Own AI identities; approve scopes/tools; maintain business purpose; revoke inactive identities; remediate findings.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Developers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Implement authentication/authorization; never hard-code secrets; preserve security logging; run security tests.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Identity / Platform Admins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Provision/revoke identities; maintain Auth0/OAuth settings; maintain token lifetime/rotation; support containment.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Users / Operators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Do not bypass controls; do not treat prompts as authorization; report suspected compromise.</w:t>
            </w:r>
          </w:p>
        </w:tc>
      </w:tr>
    </w:tbl>
    <w:p>
      <w:pPr>
        <w:spacing w:after="0"/>
      </w:pPr>
    </w:p>
    <w:p>
      <w:pPr>
        <w:pStyle w:val="Heading1"/>
      </w:pPr>
      <w:r>
        <w:t>6. Policy Enforcement</w:t>
      </w:r>
    </w:p>
    <w:p>
      <w:pPr>
        <w:pStyle w:val="ListBullet"/>
        <w:spacing w:after="40"/>
        <w:ind w:left="288"/>
      </w:pPr>
      <w:r>
        <w:t>Production AI identities must comply with this policy before receiving access.</w:t>
      </w:r>
    </w:p>
    <w:p>
      <w:pPr>
        <w:pStyle w:val="ListBullet"/>
        <w:spacing w:after="40"/>
        <w:ind w:left="288"/>
      </w:pPr>
      <w:r>
        <w:t>Authentication, authorization, signature verification, guardrails and credential controls may be enforced by the platform.</w:t>
      </w:r>
    </w:p>
    <w:p>
      <w:pPr>
        <w:pStyle w:val="ListBullet"/>
        <w:spacing w:after="40"/>
        <w:ind w:left="288"/>
      </w:pPr>
      <w:r>
        <w:t>Requests failing a required control must be rejected.</w:t>
      </w:r>
    </w:p>
    <w:p>
      <w:pPr>
        <w:pStyle w:val="ListBullet"/>
        <w:spacing w:after="40"/>
        <w:ind w:left="288"/>
      </w:pPr>
      <w:r>
        <w:t>Privileged actions must never be executed solely because an instruction appears in a prompt, retrieved document or unverified agent message.</w:t>
      </w:r>
    </w:p>
    <w:p>
      <w:pPr>
        <w:pStyle w:val="ListBullet"/>
        <w:spacing w:after="40"/>
        <w:ind w:left="288"/>
      </w:pPr>
      <w:r>
        <w:t>Security violations are investigated through this Incident Response Playbook.</w:t>
      </w:r>
    </w:p>
    <w:p>
      <w:r>
        <w:br w:type="page"/>
      </w:r>
    </w:p>
    <w:p>
      <w:pPr>
        <w:pStyle w:val="Heading1"/>
      </w:pPr>
      <w:r>
        <w:t>7. Exceptions &amp; Evidence</w:t>
      </w:r>
    </w:p>
    <w:p>
      <w:pPr>
        <w:pStyle w:val="Heading2"/>
      </w:pPr>
      <w:r>
        <w:t>7.1 Exception Management</w:t>
      </w:r>
    </w:p>
    <w:p>
      <w:pPr>
        <w:pStyle w:val="ListBullet"/>
        <w:spacing w:after="40"/>
        <w:ind w:left="288"/>
      </w:pPr>
      <w:r>
        <w:t>Every exception requires documented business justification and affected identity/system.</w:t>
      </w:r>
    </w:p>
    <w:p>
      <w:pPr>
        <w:pStyle w:val="ListBullet"/>
        <w:spacing w:after="40"/>
        <w:ind w:left="288"/>
      </w:pPr>
      <w:r>
        <w:t>Security Engineering and the system owner approve exceptions before implementation.</w:t>
      </w:r>
    </w:p>
    <w:p>
      <w:pPr>
        <w:pStyle w:val="ListBullet"/>
        <w:spacing w:after="40"/>
        <w:ind w:left="288"/>
      </w:pPr>
      <w:r>
        <w:t>Compensating controls are documented where appropriate.</w:t>
      </w:r>
    </w:p>
    <w:p>
      <w:pPr>
        <w:pStyle w:val="ListBullet"/>
        <w:spacing w:after="40"/>
        <w:ind w:left="288"/>
      </w:pPr>
      <w:r>
        <w:t>Exceptions are reviewed quarterly and expire unless renewed.</w:t>
      </w:r>
    </w:p>
    <w:p>
      <w:pPr>
        <w:pStyle w:val="Heading2"/>
      </w:pPr>
      <w:r>
        <w:t>7.2 Minimum 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Identity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Registration, owner, purpose, role and scope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Authentication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Provider configuration and token-lifetime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Authorization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Scope/tool permissions and access reviews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Guardrails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Input blocking, output redaction and benign-traffic validation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Cryptographic trust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Key registration, verification and tamper tests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Monitoring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Anomaly-detection output and investigation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Incidents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Payload, identity, timestamps, control results and recovery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Compliance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NIST AI RMF and OWASP mappings with linked project artefacts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Current-State Gaps &amp; Recommendations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008A8A"/>
          <w:left w:val="single" w:sz="5" w:color="008A8A"/>
          <w:bottom w:val="single" w:sz="5" w:color="008A8A"/>
          <w:right w:val="single" w:sz="5" w:color="008A8A"/>
          <w:insideH w:val="single" w:sz="5" w:color="008A8A"/>
          <w:insideV w:val="single" w:sz="5" w:color="008A8A"/>
        </w:tblBorders>
      </w:tblPr>
      <w:tblGrid>
        <w:gridCol w:w="10080"/>
      </w:tblGrid>
      <w:tr>
        <w:tc>
          <w:tcPr>
            <w:tcW w:type="dxa" w:w="10080"/>
            <w:shd w:fill="EAF4F4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008A8A"/>
                <w:sz w:val="16"/>
              </w:rPr>
              <w:t>STATUS NOTE</w:t>
            </w:r>
          </w:p>
          <w:p>
            <w:pPr>
              <w:spacing w:after="0"/>
            </w:pPr>
            <w:r>
              <w:rPr>
                <w:sz w:val="18"/>
              </w:rPr>
              <w:t>These are improvement priorities, not claims of completed production capabilities.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Recommendation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Effort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Business rationale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Enforce Ed25519 signing for agent-to-agent messages.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Medium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Closes the most severe agent-trust finding and blocks unauthorized privileged actions.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Make NeMo Guardrails/equivalent a mandatory pre-LLM input control.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Low–Medium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Reduces prompt-injection and tool-abuse risk before model execution.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Move agent credentials to managed secret storage with enforced rotation.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Medium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Reduces credential exposure and blast radius.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Run red-team payloads automatically in CI/CD.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Low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Prevents fixed vulnerabilities from reappearing after changes.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Add RAG content validation for embedded tool-call syntax.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Medium–High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5"/>
              </w:rPr>
              <w:t>Reduces future RAG-poisoning and unsafe tool-execution risk.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Policy Review &amp; Maintenance</w:t>
      </w:r>
    </w:p>
    <w:p>
      <w:pPr>
        <w:pStyle w:val="ListBullet"/>
        <w:spacing w:after="40"/>
        <w:ind w:left="288"/>
      </w:pPr>
      <w:r>
        <w:t>Review this policy at least quarterly.</w:t>
      </w:r>
    </w:p>
    <w:p>
      <w:pPr>
        <w:pStyle w:val="ListBullet"/>
        <w:spacing w:after="40"/>
        <w:ind w:left="288"/>
      </w:pPr>
      <w:r>
        <w:t>Review after any material AI identity, credential, authorization or agent-trust incident.</w:t>
      </w:r>
    </w:p>
    <w:p>
      <w:pPr>
        <w:pStyle w:val="ListBullet"/>
        <w:spacing w:after="40"/>
        <w:ind w:left="288"/>
      </w:pPr>
      <w:r>
        <w:t>Reassess controls whenever authentication, authorization, agent identity, RAG or MCP architecture changes.</w:t>
      </w:r>
    </w:p>
    <w:p>
      <w:pPr>
        <w:pStyle w:val="ListBullet"/>
        <w:spacing w:after="40"/>
        <w:ind w:left="288"/>
      </w:pPr>
      <w:r>
        <w:t>Security Engineering owns the approved current version.</w:t>
      </w:r>
    </w:p>
    <w:p>
      <w:pPr>
        <w:pStyle w:val="ListBullet"/>
        <w:spacing w:after="40"/>
        <w:ind w:left="288"/>
      </w:pPr>
      <w:r>
        <w:t>Retain previous approved versions for audit traceability.</w:t>
      </w:r>
    </w:p>
    <w:p>
      <w:pPr>
        <w:pStyle w:val="Heading2"/>
      </w:pPr>
      <w:r>
        <w:t>Document 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EE5"/>
          <w:left w:val="single" w:sz="5" w:color="D5DEE5"/>
          <w:bottom w:val="single" w:sz="5" w:color="D5DEE5"/>
          <w:right w:val="single" w:sz="5" w:color="D5DEE5"/>
          <w:insideH w:val="single" w:sz="5" w:color="D5DEE5"/>
          <w:insideV w:val="single" w:sz="5" w:color="D5DEE5"/>
        </w:tblBorders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Policy owner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Security Engineering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Version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Review frequency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Quarterly + material incident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Status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Capstone submission / controlled draft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Next review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353E"/>
                <w:sz w:val="16"/>
              </w:rPr>
              <w:t>Within 90 days of approval or sooner after a material incident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008A8A"/>
          <w:sz w:val="16"/>
        </w:rPr>
        <w:t>— END OF CONTROLLED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4"/>
      </w:rPr>
      <w:t>CONTROLLED DOCUMENT  •  SECURITY ENGINEERING  • 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008A8A"/>
      </w:pBdr>
    </w:pPr>
    <w:r>
      <w:rPr>
        <w:rFonts w:ascii="Aptos" w:hAnsi="Aptos"/>
        <w:b/>
        <w:color w:val="17324D"/>
        <w:sz w:val="15"/>
      </w:rPr>
      <w:t>SECURENOVA   /   AI IDENTITY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B35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A8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tos" w:hAnsi="Aptos"/>
    </w:rPr>
  </w:style>
  <w:style w:type="table" w:default="1" w:styleId="TableNormal">
    <w:name w:val="Normal Table"/>
    <w:uiPriority w:val="99"/>
    <w:semiHidden/>
    <w:unhideWhenUsed/>
    <w:rPr>
      <w:rFonts w:ascii="Aptos" w:hAnsi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tos" w:hAnsi="Apto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tos" w:hAnsi="Apto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tos" w:hAnsi="Apto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" w:hAnsi="Apto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tos" w:hAnsi="Apto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tos" w:hAnsi="Apto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ptos" w:hAnsi="Apto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tos" w:hAnsi="Apto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tos" w:hAnsi="Apto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tos" w:hAnsi="Apto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tos" w:hAnsi="Apto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tos" w:hAnsi="Apto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tos" w:hAnsi="Apto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tos" w:hAnsi="Apto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tos" w:hAnsi="Apto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tos" w:hAnsi="Apto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tos" w:hAnsi="Apto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tos" w:hAnsi="Apto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tos" w:hAnsi="Apto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tos" w:hAnsi="Apto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