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7A54"/>
          <w:sz w:val="26"/>
          <w:szCs w:val="26"/>
        </w:rPr>
        <w:t xml:space="preserve">BAJAJ ALLIANZ GENERAL INSURANCE</w:t>
      </w:r>
    </w:p>
    <w:p>
      <w:pPr>
        <w:spacing w:after="0" w:before="60"/>
        <w:jc w:val="center"/>
      </w:pPr>
      <w:r>
        <w:rPr>
          <w:color w:val="2E5496"/>
          <w:sz w:val="18"/>
          <w:szCs w:val="18"/>
        </w:rPr>
        <w:t xml:space="preserve">Strategy &amp; New Ventures — Confidential Proposal</w:t>
      </w:r>
    </w:p>
    <w:p>
      <w:pPr>
        <w:spacing w:after="0" w:before="520"/>
        <w:jc w:val="center"/>
      </w:pPr>
      <w:r>
        <w:rPr>
          <w:b/>
          <w:bCs/>
          <w:color w:val="1F3864"/>
          <w:sz w:val="60"/>
          <w:szCs w:val="60"/>
        </w:rPr>
        <w:t xml:space="preserve">Project SETU</w:t>
      </w:r>
    </w:p>
    <w:p>
      <w:pPr>
        <w:spacing w:after="0" w:before="40"/>
        <w:jc w:val="center"/>
      </w:pPr>
      <w:r>
        <w:rPr>
          <w:b/>
          <w:bCs/>
          <w:color w:val="222222"/>
          <w:sz w:val="28"/>
          <w:szCs w:val="28"/>
        </w:rPr>
        <w:t xml:space="preserve">Parametric Flood &amp; Disaster Cover for North and Northeast India</w:t>
      </w:r>
    </w:p>
    <w:p>
      <w:pPr>
        <w:spacing w:after="0" w:before="30"/>
        <w:jc w:val="center"/>
      </w:pPr>
      <w:r>
        <w:rPr>
          <w:i/>
          <w:iCs/>
          <w:color w:val="2E5496"/>
          <w:sz w:val="21"/>
          <w:szCs w:val="21"/>
        </w:rPr>
        <w:t xml:space="preserve">A bridge from disaster to recovery — insurance that pays fast, before the loss deepens</w:t>
      </w:r>
    </w:p>
    <w:p>
      <w:pPr>
        <w:spacing w:after="0" w:before="620"/>
        <w:jc w:val="center"/>
      </w:pPr>
      <w:r>
        <w:rPr>
          <w:color w:val="222222"/>
          <w:sz w:val="20"/>
          <w:szCs w:val="20"/>
        </w:rPr>
        <w:t xml:space="preserve">A Bajaj-owned platform that scores flood risk, sets fair triggers, and pays automatically —</w:t>
      </w:r>
    </w:p>
    <w:p>
      <w:pPr>
        <w:spacing w:after="0" w:before="20"/>
        <w:jc w:val="center"/>
      </w:pPr>
      <w:r>
        <w:rPr>
          <w:color w:val="222222"/>
          <w:sz w:val="20"/>
          <w:szCs w:val="20"/>
        </w:rPr>
        <w:t xml:space="preserve">with state governments as the main buyers, starting where the need is sharpest.</w:t>
      </w:r>
    </w:p>
    <w:p>
      <w:pPr>
        <w:spacing w:after="0" w:before="820"/>
        <w:jc w:val="center"/>
      </w:pPr>
      <w:r>
        <w:rPr>
          <w:color w:val="777777"/>
          <w:sz w:val="17"/>
          <w:szCs w:val="17"/>
        </w:rPr>
        <w:t xml:space="preserve">Data verified as of August 2026 — see Appendix B for sources</w:t>
      </w:r>
    </w:p>
    <w:p>
      <w:pPr>
        <w:spacing w:after="0" w:before="20"/>
        <w:jc w:val="center"/>
      </w:pPr>
      <w:r>
        <w:rPr>
          <w:color w:val="777777"/>
          <w:sz w:val="17"/>
          <w:szCs w:val="17"/>
        </w:rPr>
        <w:t xml:space="preserve">Proposal Report  |  For Internal Review  |  August 2026</w:t>
      </w:r>
    </w:p>
    <w:p>
      <w:r>
        <w:br w:type="page"/>
      </w:r>
    </w:p>
    <w:p>
      <w:pPr>
        <w:spacing w:after="160"/>
      </w:pPr>
      <w:r>
        <w:rPr>
          <w:b/>
          <w:bCs/>
          <w:color w:val="1F386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F3864"/>
          <w:sz w:val="30"/>
          <w:szCs w:val="30"/>
        </w:rPr>
        <w:t xml:space="preserve">A Note on the Figures</w:t>
      </w:r>
    </w:p>
    <w:p>
      <w:pPr>
        <w:spacing w:after="130" w:line="276"/>
        <w:jc w:val="both"/>
      </w:pPr>
      <w:r>
        <w:rPr>
          <w:color w:val="222222"/>
          <w:sz w:val="21"/>
          <w:szCs w:val="21"/>
        </w:rPr>
        <w:t xml:space="preserve">Every number in this report was checked against a named source as of </w:t>
      </w:r>
      <w:r>
        <w:rPr>
          <w:b/>
          <w:bCs/>
          <w:color w:val="222222"/>
          <w:sz w:val="21"/>
          <w:szCs w:val="21"/>
        </w:rPr>
        <w:t xml:space="preserve">August 2026</w:t>
      </w:r>
      <w:r>
        <w:rPr>
          <w:color w:val="222222"/>
          <w:sz w:val="21"/>
          <w:szCs w:val="21"/>
        </w:rPr>
        <w:t xml:space="preserve">. The full list is in </w:t>
      </w:r>
      <w:r>
        <w:rPr>
          <w:b/>
          <w:bCs/>
          <w:color w:val="222222"/>
          <w:sz w:val="21"/>
          <w:szCs w:val="21"/>
        </w:rPr>
        <w:t xml:space="preserve">Appendix B</w:t>
      </w:r>
      <w:r>
        <w:rPr>
          <w:color w:val="222222"/>
          <w:sz w:val="21"/>
          <w:szCs w:val="21"/>
        </w:rPr>
        <w:t xml:space="preserve">. Where a figure is an estimate, is disputed, or could still change, it is marked in place. One honest warning up front, because it shapes the whole plan: </w:t>
      </w:r>
      <w:r>
        <w:rPr>
          <w:b/>
          <w:bCs/>
          <w:color w:val="222222"/>
          <w:sz w:val="21"/>
          <w:szCs w:val="21"/>
        </w:rPr>
        <w:t xml:space="preserve">India has no public, place-by-place record of past flood losses in rupees.</w:t>
      </w:r>
      <w:r>
        <w:rPr>
          <w:color w:val="222222"/>
          <w:sz w:val="21"/>
          <w:szCs w:val="21"/>
        </w:rPr>
        <w:t xml:space="preserve"> Hazard data (rain, river levels, satellite flood maps) is plentiful; the money-loss history is not. Section 6 explains how we work around this.</w:t>
      </w:r>
    </w:p>
    <w:p>
      <w:pPr>
        <w:spacing w:after="30"/>
      </w:pPr>
    </w:p>
    <w:p>
      <w:pPr>
        <w:pStyle w:val="Heading1"/>
        <w:spacing w:after="140" w:before="320"/>
      </w:pPr>
      <w:r>
        <w:rPr>
          <w:b/>
          <w:bCs/>
          <w:color w:val="1F3864"/>
          <w:sz w:val="30"/>
          <w:szCs w:val="30"/>
        </w:rPr>
        <w:t xml:space="preserve">1. Executive Summary</w:t>
      </w:r>
    </w:p>
    <w:p>
      <w:pPr>
        <w:spacing w:after="130" w:line="276"/>
        <w:jc w:val="both"/>
      </w:pPr>
      <w:r>
        <w:rPr>
          <w:color w:val="222222"/>
          <w:sz w:val="21"/>
          <w:szCs w:val="21"/>
        </w:rPr>
        <w:t xml:space="preserve">North and Northeast India face a hard mix: floods almost every year, sudden mountain disasters, and very little insurance. India’s </w:t>
      </w:r>
      <w:r>
        <w:rPr>
          <w:b/>
          <w:bCs/>
          <w:color w:val="222222"/>
          <w:sz w:val="21"/>
          <w:szCs w:val="21"/>
        </w:rPr>
        <w:t xml:space="preserve">non-life insurance covers only about 1.0% of GDP</w:t>
      </w:r>
      <w:r>
        <w:rPr>
          <w:color w:val="222222"/>
          <w:sz w:val="21"/>
          <w:szCs w:val="21"/>
        </w:rPr>
        <w:t xml:space="preserve">, and each person spends roughly </w:t>
      </w:r>
      <w:r>
        <w:rPr>
          <w:b/>
          <w:bCs/>
          <w:color w:val="222222"/>
          <w:sz w:val="21"/>
          <w:szCs w:val="21"/>
        </w:rPr>
        <w:t xml:space="preserve">$25 a year</w:t>
      </w:r>
      <w:r>
        <w:rPr>
          <w:color w:val="222222"/>
          <w:sz w:val="21"/>
          <w:szCs w:val="21"/>
        </w:rPr>
        <w:t xml:space="preserve"> on it, against about </w:t>
      </w:r>
      <w:r>
        <w:rPr>
          <w:b/>
          <w:bCs/>
          <w:color w:val="222222"/>
          <w:sz w:val="21"/>
          <w:szCs w:val="21"/>
        </w:rPr>
        <w:t xml:space="preserve">$555 worldwide.</w:t>
      </w:r>
      <w:r>
        <w:rPr>
          <w:color w:val="222222"/>
          <w:sz w:val="21"/>
          <w:szCs w:val="21"/>
        </w:rPr>
        <w:t xml:space="preserve"> For disasters the gap is worse: Swiss Re estimates that </w:t>
      </w:r>
      <w:r>
        <w:rPr>
          <w:b/>
          <w:bCs/>
          <w:color w:val="222222"/>
          <w:sz w:val="21"/>
          <w:szCs w:val="21"/>
        </w:rPr>
        <w:t xml:space="preserve">about 93% of India’s natural-disaster losses are uninsured</w:t>
      </w:r>
      <w:r>
        <w:rPr>
          <w:color w:val="222222"/>
          <w:sz w:val="21"/>
          <w:szCs w:val="21"/>
        </w:rPr>
        <w:t xml:space="preserve"> — roughly </w:t>
      </w:r>
      <w:r>
        <w:rPr>
          <w:b/>
          <w:bCs/>
          <w:color w:val="222222"/>
          <w:sz w:val="21"/>
          <w:szCs w:val="21"/>
        </w:rPr>
        <w:t xml:space="preserve">$32.94 billion (₹2.7 lakh crore) of losses went uninsured between 2018 and 2022.</w:t>
      </w:r>
      <w:r>
        <w:rPr>
          <w:color w:val="222222"/>
          <w:sz w:val="21"/>
          <w:szCs w:val="21"/>
        </w:rPr>
        <w:t xml:space="preserve"> When a flood hits, families, farmers and small shops absorb the loss, and the bill then lands on state relief budgets.</w:t>
      </w:r>
    </w:p>
    <w:p>
      <w:pPr>
        <w:spacing w:after="130" w:line="276"/>
        <w:jc w:val="both"/>
      </w:pPr>
      <w:r>
        <w:rPr>
          <w:b/>
          <w:bCs/>
          <w:color w:val="222222"/>
          <w:sz w:val="21"/>
          <w:szCs w:val="21"/>
        </w:rPr>
        <w:t xml:space="preserve">Project SETU</w:t>
      </w:r>
      <w:r>
        <w:rPr>
          <w:color w:val="222222"/>
          <w:sz w:val="21"/>
          <w:szCs w:val="21"/>
        </w:rPr>
        <w:t xml:space="preserve"> is Bajaj Allianz’s chance to close part of that gap and build a business no rival owns. SETU is a </w:t>
      </w:r>
      <w:r>
        <w:rPr>
          <w:b/>
          <w:bCs/>
          <w:color w:val="222222"/>
          <w:sz w:val="21"/>
          <w:szCs w:val="21"/>
        </w:rPr>
        <w:t xml:space="preserve">parametric insurance platform</w:t>
      </w:r>
      <w:r>
        <w:rPr>
          <w:color w:val="222222"/>
          <w:sz w:val="21"/>
          <w:szCs w:val="21"/>
        </w:rPr>
        <w:t xml:space="preserve">: it scores flood risk building-by-building, sets payout triggers based on measured rain and floodwater, and </w:t>
      </w:r>
      <w:r>
        <w:rPr>
          <w:b/>
          <w:bCs/>
          <w:color w:val="222222"/>
          <w:sz w:val="21"/>
          <w:szCs w:val="21"/>
        </w:rPr>
        <w:t xml:space="preserve">pays out automatically by phone the moment a trigger is hit</w:t>
      </w:r>
      <w:r>
        <w:rPr>
          <w:color w:val="222222"/>
          <w:sz w:val="21"/>
          <w:szCs w:val="21"/>
        </w:rPr>
        <w:t xml:space="preserve"> — no forms, no surveyor, no delay. The main buyers are </w:t>
      </w:r>
      <w:r>
        <w:rPr>
          <w:b/>
          <w:bCs/>
          <w:color w:val="222222"/>
          <w:sz w:val="21"/>
          <w:szCs w:val="21"/>
        </w:rPr>
        <w:t xml:space="preserve">state governments</w:t>
      </w:r>
      <w:r>
        <w:rPr>
          <w:color w:val="222222"/>
          <w:sz w:val="21"/>
          <w:szCs w:val="21"/>
        </w:rPr>
        <w:t xml:space="preserve">, which pay the premium so a whole district is covered; households and small firms can add small top-ups.</w:t>
      </w:r>
    </w:p>
    <w:p>
      <w:pPr>
        <w:spacing w:after="130" w:line="276"/>
        <w:jc w:val="both"/>
      </w:pPr>
      <w:r>
        <w:rPr>
          <w:color w:val="222222"/>
          <w:sz w:val="21"/>
          <w:szCs w:val="21"/>
        </w:rPr>
        <w:t xml:space="preserve">This is not a guess. </w:t>
      </w:r>
      <w:r>
        <w:rPr>
          <w:b/>
          <w:bCs/>
          <w:color w:val="222222"/>
          <w:sz w:val="21"/>
          <w:szCs w:val="21"/>
        </w:rPr>
        <w:t xml:space="preserve">Nagaland already proved it works.</w:t>
      </w:r>
      <w:r>
        <w:rPr>
          <w:color w:val="222222"/>
          <w:sz w:val="21"/>
          <w:szCs w:val="21"/>
        </w:rPr>
        <w:t xml:space="preserve"> After a first attempt in 2021 that paid nothing (its trigger was set too high), a redesigned scheme run by </w:t>
      </w:r>
      <w:r>
        <w:rPr>
          <w:b/>
          <w:bCs/>
          <w:color w:val="222222"/>
          <w:sz w:val="21"/>
          <w:szCs w:val="21"/>
        </w:rPr>
        <w:t xml:space="preserve">SBI General with reinsurer Munich Re paid its first claim — about ₹1.06 crore — in March 2025</w:t>
      </w:r>
      <w:r>
        <w:rPr>
          <w:color w:val="222222"/>
          <w:sz w:val="21"/>
          <w:szCs w:val="21"/>
        </w:rPr>
        <w:t xml:space="preserve">, sent digitally with no field visit. That competitor has a two-year head start. SETU is how Bajaj overtakes it, by fixing the one thing that still goes wrong: triggers that miss real losses.</w:t>
      </w:r>
    </w:p>
    <w:tbl>
      <w:tblPr>
        <w:tblW w:type="dxa" w:w="9026"/>
        <w:tblBorders>
          <w:top w:val="none"/>
          <w:left w:val="single" w:color="1F7A54" w:sz="18"/>
          <w:bottom w:val="none"/>
          <w:right w:val="none"/>
          <w:insideH w:val="none"/>
          <w:insideV w:val="none"/>
        </w:tblBorders>
      </w:tblPr>
      <w:tblGrid>
        <w:gridCol w:w="9026"/>
      </w:tblGrid>
      <w:tr>
        <w:tc>
          <w:tcPr>
            <w:tcW w:type="dxa" w:w="9026"/>
            <w:shd w:fill="E2EFDA" w:color="auto" w:val="clear"/>
            <w:tcMar>
              <w:top w:type="dxa" w:w="120"/>
              <w:left w:type="dxa" w:w="160"/>
              <w:bottom w:type="dxa" w:w="120"/>
              <w:right w:type="dxa" w:w="140"/>
            </w:tcMar>
          </w:tcPr>
          <w:p>
            <w:pPr>
              <w:spacing w:after="60"/>
            </w:pPr>
            <w:r>
              <w:rPr>
                <w:b/>
                <w:bCs/>
                <w:color w:val="1F3864"/>
                <w:sz w:val="20"/>
                <w:szCs w:val="20"/>
              </w:rPr>
              <w:t xml:space="preserve">The sharp place to start</w:t>
            </w:r>
          </w:p>
          <w:p>
            <w:pPr>
              <w:spacing w:after="0" w:line="264"/>
            </w:pPr>
            <w:r>
              <w:rPr>
                <w:color w:val="222222"/>
                <w:sz w:val="21"/>
                <w:szCs w:val="21"/>
              </w:rPr>
              <w:t xml:space="preserve">The strongest opening is </w:t>
            </w:r>
            <w:r>
              <w:rPr>
                <w:b/>
                <w:bCs/>
                <w:color w:val="222222"/>
                <w:sz w:val="21"/>
                <w:szCs w:val="21"/>
              </w:rPr>
              <w:t xml:space="preserve">not</w:t>
            </w:r>
            <w:r>
              <w:rPr>
                <w:color w:val="222222"/>
                <w:sz w:val="21"/>
                <w:szCs w:val="21"/>
              </w:rPr>
              <w:t xml:space="preserve"> general river flooding — that space is crowded and the forecasts are already good. It is </w:t>
            </w:r>
            <w:r>
              <w:rPr>
                <w:b/>
                <w:bCs/>
                <w:color w:val="222222"/>
                <w:sz w:val="21"/>
                <w:szCs w:val="21"/>
              </w:rPr>
              <w:t xml:space="preserve">Himalayan glacial-lake floods (GLOFs)</w:t>
            </w:r>
            <w:r>
              <w:rPr>
                <w:color w:val="222222"/>
                <w:sz w:val="21"/>
                <w:szCs w:val="21"/>
              </w:rPr>
              <w:t xml:space="preserve">, like the one that destroyed the 1,200 MW Teesta III dam in Sikkim in October 2023. Here the warning systems and the insurance are both still missing, India has authoritative hazard data (ISRO’s glacial-lake inventory, NDMA’s list of 189 high-risk lakes), and there is a willing anchor buyer in the Sikkim and Arunachal disaster authorities.</w:t>
            </w:r>
          </w:p>
        </w:tc>
      </w:tr>
    </w:tbl>
    <w:p>
      <w:pPr>
        <w:spacing w:after="130" w:line="276"/>
        <w:jc w:val="both"/>
      </w:pPr>
      <w:r>
        <w:rPr>
          <w:color w:val="222222"/>
          <w:sz w:val="21"/>
          <w:szCs w:val="21"/>
        </w:rPr>
        <w:t xml:space="preserve">The plan is staged: start with a </w:t>
      </w:r>
      <w:r>
        <w:rPr>
          <w:b/>
          <w:bCs/>
          <w:color w:val="222222"/>
          <w:sz w:val="21"/>
          <w:szCs w:val="21"/>
        </w:rPr>
        <w:t xml:space="preserve">GLOF / Teesta-valley pilot in Sikkim</w:t>
      </w:r>
      <w:r>
        <w:rPr>
          <w:color w:val="222222"/>
          <w:sz w:val="21"/>
          <w:szCs w:val="21"/>
        </w:rPr>
        <w:t xml:space="preserve">, then a </w:t>
      </w:r>
      <w:r>
        <w:rPr>
          <w:b/>
          <w:bCs/>
          <w:color w:val="222222"/>
          <w:sz w:val="21"/>
          <w:szCs w:val="21"/>
        </w:rPr>
        <w:t xml:space="preserve">rainfall-index flood product for Assam</w:t>
      </w:r>
      <w:r>
        <w:rPr>
          <w:color w:val="222222"/>
          <w:sz w:val="21"/>
          <w:szCs w:val="21"/>
        </w:rPr>
        <w:t xml:space="preserve">, then scale across the Northeast and help shape the national scheme the government began discussing in October 2025. The one barrier to solve early is a rule for </w:t>
      </w:r>
      <w:r>
        <w:rPr>
          <w:b/>
          <w:bCs/>
          <w:color w:val="222222"/>
          <w:sz w:val="21"/>
          <w:szCs w:val="21"/>
        </w:rPr>
        <w:t xml:space="preserve">how states are allowed to pay premiums</w:t>
      </w:r>
      <w:r>
        <w:rPr>
          <w:color w:val="222222"/>
          <w:sz w:val="21"/>
          <w:szCs w:val="21"/>
        </w:rPr>
        <w:t xml:space="preserve"> from their disaster funds.</w:t>
      </w:r>
    </w:p>
    <w:p>
      <w:pPr>
        <w:pStyle w:val="Heading1"/>
        <w:spacing w:after="140" w:before="320"/>
      </w:pPr>
      <w:r>
        <w:rPr>
          <w:b/>
          <w:bCs/>
          <w:color w:val="1F3864"/>
          <w:sz w:val="30"/>
          <w:szCs w:val="30"/>
        </w:rPr>
        <w:t xml:space="preserve">2. The Problem — High Risk, Almost No Cover</w:t>
      </w:r>
    </w:p>
    <w:p>
      <w:pPr>
        <w:pStyle w:val="Heading2"/>
        <w:spacing w:after="90" w:before="220"/>
      </w:pPr>
      <w:r>
        <w:rPr>
          <w:b/>
          <w:bCs/>
          <w:color w:val="2E5496"/>
          <w:sz w:val="25"/>
          <w:szCs w:val="25"/>
        </w:rPr>
        <w:t xml:space="preserve">2.1 The disaster risk</w:t>
      </w:r>
    </w:p>
    <w:p>
      <w:pPr>
        <w:spacing w:after="130" w:line="276"/>
        <w:jc w:val="both"/>
      </w:pPr>
      <w:r>
        <w:rPr>
          <w:color w:val="222222"/>
          <w:sz w:val="21"/>
          <w:szCs w:val="21"/>
        </w:rPr>
        <w:t xml:space="preserve">The region floods nearly every year, and the mountains add sudden, violent events. In October 2023, a glacial lake in Sikkim (South Lhonak) burst and sent a wave down the Teesta river. It </w:t>
      </w:r>
      <w:r>
        <w:rPr>
          <w:b/>
          <w:bCs/>
          <w:color w:val="222222"/>
          <w:sz w:val="21"/>
          <w:szCs w:val="21"/>
        </w:rPr>
        <w:t xml:space="preserve">destroyed the 1,200 MW Teesta III dam and killed 40 or more people along the river (over 77 in total).</w:t>
      </w:r>
      <w:r>
        <w:rPr>
          <w:color w:val="222222"/>
          <w:sz w:val="21"/>
          <w:szCs w:val="21"/>
        </w:rPr>
        <w:t xml:space="preserve"> India already sees more than a fifth of the world’s flood deaths, and the Germanwatch Climate Risk Index 2025 ranks India among the </w:t>
      </w:r>
      <w:r>
        <w:rPr>
          <w:b/>
          <w:bCs/>
          <w:color w:val="222222"/>
          <w:sz w:val="21"/>
          <w:szCs w:val="21"/>
        </w:rPr>
        <w:t xml:space="preserve">six most-affected countries</w:t>
      </w:r>
      <w:r>
        <w:rPr>
          <w:color w:val="222222"/>
          <w:sz w:val="21"/>
          <w:szCs w:val="21"/>
        </w:rPr>
        <w:t xml:space="preserve"> over the last three decades.</w:t>
      </w:r>
    </w:p>
    <w:p>
      <w:pPr>
        <w:spacing w:after="130" w:line="276"/>
        <w:jc w:val="both"/>
      </w:pPr>
      <w:r>
        <w:rPr>
          <w:color w:val="222222"/>
          <w:sz w:val="21"/>
          <w:szCs w:val="21"/>
        </w:rPr>
        <w:t xml:space="preserve">Assam shows the yearly toll. </w:t>
      </w:r>
      <w:r>
        <w:rPr>
          <w:b/>
          <w:bCs/>
          <w:color w:val="222222"/>
          <w:sz w:val="21"/>
          <w:szCs w:val="21"/>
        </w:rPr>
        <w:t xml:space="preserve">Floods there affected about 2.45 million people across 30 districts in 2024, with 52 deaths.</w:t>
      </w:r>
      <w:r>
        <w:rPr>
          <w:color w:val="222222"/>
          <w:sz w:val="21"/>
          <w:szCs w:val="21"/>
        </w:rPr>
        <w:t xml:space="preserve"> Around </w:t>
      </w:r>
      <w:r>
        <w:rPr>
          <w:b/>
          <w:bCs/>
          <w:color w:val="222222"/>
          <w:sz w:val="21"/>
          <w:szCs w:val="21"/>
        </w:rPr>
        <w:t xml:space="preserve">40% of Assam’s land is flood-prone</w:t>
      </w:r>
      <w:r>
        <w:rPr>
          <w:color w:val="222222"/>
          <w:sz w:val="21"/>
          <w:szCs w:val="21"/>
        </w:rPr>
        <w:t xml:space="preserve"> — roughly four times the national average. In a bad year like 2022, losses reached about </w:t>
      </w:r>
      <w:r>
        <w:rPr>
          <w:b/>
          <w:bCs/>
          <w:color w:val="222222"/>
          <w:sz w:val="21"/>
          <w:szCs w:val="21"/>
        </w:rPr>
        <w:t xml:space="preserve">₹10,000 crore.</w:t>
      </w:r>
    </w:p>
    <w:p>
      <w:pPr>
        <w:pStyle w:val="Heading2"/>
        <w:spacing w:after="90" w:before="220"/>
      </w:pPr>
      <w:r>
        <w:rPr>
          <w:b/>
          <w:bCs/>
          <w:color w:val="2E5496"/>
          <w:sz w:val="25"/>
          <w:szCs w:val="25"/>
        </w:rPr>
        <w:t xml:space="preserve">2.2 The insurance gap (all the numbers)</w:t>
      </w:r>
    </w:p>
    <w:tbl>
      <w:tblPr>
        <w:tblW w:type="dxa" w:w="9026"/>
        <w:tblBorders>
          <w:top w:val="single" w:color="AAAAAA" w:sz="2"/>
          <w:left w:val="single" w:color="AAAAAA" w:sz="2"/>
          <w:bottom w:val="single" w:color="AAAAAA" w:sz="2"/>
          <w:right w:val="single" w:color="AAAAAA" w:sz="2"/>
          <w:insideH w:val="single" w:color="CCCCCC" w:sz="1"/>
          <w:insideV w:val="single" w:color="CCCCCC" w:sz="1"/>
        </w:tblBorders>
      </w:tblPr>
      <w:tblGrid>
        <w:gridCol w:w="3050"/>
        <w:gridCol w:w="2100"/>
        <w:gridCol w:w="1950"/>
        <w:gridCol w:w="1926"/>
      </w:tblGrid>
      <w:tr>
        <w:trPr>
          <w:tblHeader/>
        </w:trPr>
        <w:tc>
          <w:tcPr>
            <w:tcW w:type="dxa" w:w="3050"/>
            <w:shd w:fill="1F3864" w:color="auto" w:val="clear"/>
            <w:tcMar>
              <w:top w:type="dxa" w:w="60"/>
              <w:left w:type="dxa" w:w="90"/>
              <w:bottom w:type="dxa" w:w="60"/>
              <w:right w:type="dxa" w:w="90"/>
            </w:tcMar>
          </w:tcPr>
          <w:p>
            <w:pPr>
              <w:spacing w:after="0" w:line="250"/>
              <w:jc w:val="left"/>
            </w:pPr>
            <w:r>
              <w:rPr>
                <w:b/>
                <w:bCs/>
                <w:color w:val="FFFFFF"/>
                <w:sz w:val="18"/>
                <w:szCs w:val="18"/>
              </w:rPr>
              <w:t xml:space="preserve">Measure</w:t>
            </w:r>
          </w:p>
        </w:tc>
        <w:tc>
          <w:tcPr>
            <w:tcW w:type="dxa" w:w="2100"/>
            <w:shd w:fill="1F3864" w:color="auto" w:val="clear"/>
            <w:tcMar>
              <w:top w:type="dxa" w:w="60"/>
              <w:left w:type="dxa" w:w="90"/>
              <w:bottom w:type="dxa" w:w="60"/>
              <w:right w:type="dxa" w:w="90"/>
            </w:tcMar>
          </w:tcPr>
          <w:p>
            <w:pPr>
              <w:spacing w:after="0" w:line="250"/>
              <w:jc w:val="left"/>
            </w:pPr>
            <w:r>
              <w:rPr>
                <w:b/>
                <w:bCs/>
                <w:color w:val="FFFFFF"/>
                <w:sz w:val="18"/>
                <w:szCs w:val="18"/>
              </w:rPr>
              <w:t xml:space="preserve">India</w:t>
            </w:r>
          </w:p>
        </w:tc>
        <w:tc>
          <w:tcPr>
            <w:tcW w:type="dxa" w:w="1950"/>
            <w:shd w:fill="1F3864" w:color="auto" w:val="clear"/>
            <w:tcMar>
              <w:top w:type="dxa" w:w="60"/>
              <w:left w:type="dxa" w:w="90"/>
              <w:bottom w:type="dxa" w:w="60"/>
              <w:right w:type="dxa" w:w="90"/>
            </w:tcMar>
          </w:tcPr>
          <w:p>
            <w:pPr>
              <w:spacing w:after="0" w:line="250"/>
              <w:jc w:val="left"/>
            </w:pPr>
            <w:r>
              <w:rPr>
                <w:b/>
                <w:bCs/>
                <w:color w:val="FFFFFF"/>
                <w:sz w:val="18"/>
                <w:szCs w:val="18"/>
              </w:rPr>
              <w:t xml:space="preserve">World / benchmark</w:t>
            </w:r>
          </w:p>
        </w:tc>
        <w:tc>
          <w:tcPr>
            <w:tcW w:type="dxa" w:w="1926"/>
            <w:shd w:fill="1F3864" w:color="auto" w:val="clear"/>
            <w:tcMar>
              <w:top w:type="dxa" w:w="60"/>
              <w:left w:type="dxa" w:w="90"/>
              <w:bottom w:type="dxa" w:w="60"/>
              <w:right w:type="dxa" w:w="90"/>
            </w:tcMar>
          </w:tcPr>
          <w:p>
            <w:pPr>
              <w:spacing w:after="0" w:line="250"/>
              <w:jc w:val="left"/>
            </w:pPr>
            <w:r>
              <w:rPr>
                <w:b/>
                <w:bCs/>
                <w:color w:val="FFFFFF"/>
                <w:sz w:val="18"/>
                <w:szCs w:val="18"/>
              </w:rPr>
              <w:t xml:space="preserve">Source</w:t>
            </w:r>
          </w:p>
        </w:tc>
      </w:tr>
      <w:tr>
        <w:tc>
          <w:tcPr>
            <w:tcW w:type="dxa" w:w="30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Non-life insurance penetration</w:t>
            </w:r>
          </w:p>
        </w:tc>
        <w:tc>
          <w:tcPr>
            <w:tcW w:type="dxa" w:w="21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1.0% of GDP (FY25)</w:t>
            </w:r>
          </w:p>
        </w:tc>
        <w:tc>
          <w:tcPr>
            <w:tcW w:type="dxa" w:w="19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4.3% of GDP</w:t>
            </w:r>
          </w:p>
        </w:tc>
        <w:tc>
          <w:tcPr>
            <w:tcW w:type="dxa" w:w="19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IRDAI FY25 / Swiss Re</w:t>
            </w:r>
          </w:p>
        </w:tc>
      </w:tr>
      <w:tr>
        <w:tc>
          <w:tcPr>
            <w:tcW w:type="dxa" w:w="30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Non-life insurance density (per person/yr)</w:t>
            </w:r>
          </w:p>
        </w:tc>
        <w:tc>
          <w:tcPr>
            <w:tcW w:type="dxa" w:w="21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~$25</w:t>
            </w:r>
          </w:p>
        </w:tc>
        <w:tc>
          <w:tcPr>
            <w:tcW w:type="dxa" w:w="19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~$555</w:t>
            </w:r>
          </w:p>
        </w:tc>
        <w:tc>
          <w:tcPr>
            <w:tcW w:type="dxa" w:w="19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IRDAI FY25 / Swiss Re</w:t>
            </w:r>
          </w:p>
        </w:tc>
      </w:tr>
      <w:tr>
        <w:tc>
          <w:tcPr>
            <w:tcW w:type="dxa" w:w="30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Overall insurance penetration</w:t>
            </w:r>
          </w:p>
        </w:tc>
        <w:tc>
          <w:tcPr>
            <w:tcW w:type="dxa" w:w="21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3.7% (FY25)</w:t>
            </w:r>
          </w:p>
        </w:tc>
        <w:tc>
          <w:tcPr>
            <w:tcW w:type="dxa" w:w="19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7.3%</w:t>
            </w:r>
          </w:p>
        </w:tc>
        <w:tc>
          <w:tcPr>
            <w:tcW w:type="dxa" w:w="19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IRDAI FY25 / Swiss Re</w:t>
            </w:r>
          </w:p>
        </w:tc>
      </w:tr>
      <w:tr>
        <w:tc>
          <w:tcPr>
            <w:tcW w:type="dxa" w:w="30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Natural-disaster losses uninsured</w:t>
            </w:r>
          </w:p>
        </w:tc>
        <w:tc>
          <w:tcPr>
            <w:tcW w:type="dxa" w:w="21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~93%</w:t>
            </w:r>
          </w:p>
        </w:tc>
        <w:tc>
          <w:tcPr>
            <w:tcW w:type="dxa" w:w="19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w:t>
            </w:r>
          </w:p>
        </w:tc>
        <w:tc>
          <w:tcPr>
            <w:tcW w:type="dxa" w:w="19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Swiss Re</w:t>
            </w:r>
          </w:p>
        </w:tc>
      </w:tr>
      <w:tr>
        <w:tc>
          <w:tcPr>
            <w:tcW w:type="dxa" w:w="30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Uninsured disaster losses, 2018–22</w:t>
            </w:r>
          </w:p>
        </w:tc>
        <w:tc>
          <w:tcPr>
            <w:tcW w:type="dxa" w:w="21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$32.94 bn (₹2.7 lakh cr)</w:t>
            </w:r>
          </w:p>
        </w:tc>
        <w:tc>
          <w:tcPr>
            <w:tcW w:type="dxa" w:w="19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vs $1.10 bn insured</w:t>
            </w:r>
          </w:p>
        </w:tc>
        <w:tc>
          <w:tcPr>
            <w:tcW w:type="dxa" w:w="19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Swiss Re</w:t>
            </w:r>
          </w:p>
        </w:tc>
      </w:tr>
    </w:tbl>
    <w:p>
      <w:pPr>
        <w:spacing w:after="50"/>
      </w:pPr>
    </w:p>
    <w:p>
      <w:pPr>
        <w:spacing w:after="130" w:line="276"/>
        <w:jc w:val="both"/>
      </w:pPr>
      <w:r>
        <w:rPr>
          <w:color w:val="222222"/>
          <w:sz w:val="21"/>
          <w:szCs w:val="21"/>
        </w:rPr>
        <w:t xml:space="preserve">In short: the places that flood most have the least cover. That is a social problem — and a large, untouched market.</w:t>
      </w:r>
    </w:p>
    <w:p>
      <w:pPr>
        <w:pStyle w:val="Heading1"/>
        <w:spacing w:after="140" w:before="320"/>
      </w:pPr>
      <w:r>
        <w:rPr>
          <w:b/>
          <w:bCs/>
          <w:color w:val="1F3864"/>
          <w:sz w:val="30"/>
          <w:szCs w:val="30"/>
        </w:rPr>
        <w:t xml:space="preserve">3. What Already Exists</w:t>
      </w:r>
    </w:p>
    <w:p>
      <w:pPr>
        <w:spacing w:after="130" w:line="276"/>
        <w:jc w:val="both"/>
      </w:pPr>
      <w:r>
        <w:rPr>
          <w:color w:val="222222"/>
          <w:sz w:val="21"/>
          <w:szCs w:val="21"/>
        </w:rPr>
        <w:t xml:space="preserve">Two things are already solved, and one is not. Knowing the difference is what makes this plan credible.</w:t>
      </w:r>
    </w:p>
    <w:p>
      <w:pPr>
        <w:pStyle w:val="ListParagraph"/>
        <w:numPr>
          <w:ilvl w:val="0"/>
          <w:numId w:val="2"/>
        </w:numPr>
        <w:spacing w:after="70" w:line="272"/>
        <w:jc w:val="both"/>
      </w:pPr>
      <w:r>
        <w:rPr>
          <w:b/>
          <w:bCs/>
          <w:color w:val="222222"/>
          <w:sz w:val="21"/>
          <w:szCs w:val="21"/>
        </w:rPr>
        <w:t xml:space="preserve">Flood forecasting is strong.</w:t>
      </w:r>
      <w:r>
        <w:rPr>
          <w:color w:val="222222"/>
          <w:sz w:val="21"/>
          <w:szCs w:val="21"/>
        </w:rPr>
        <w:t xml:space="preserve"> Google Flood Hub, working with the Central Water Commission (CWC), now covers </w:t>
      </w:r>
      <w:r>
        <w:rPr>
          <w:b/>
          <w:bCs/>
          <w:color w:val="222222"/>
          <w:sz w:val="21"/>
          <w:szCs w:val="21"/>
        </w:rPr>
        <w:t xml:space="preserve">all of India, warns up to 7 days ahead, reaches over 200 million people, and has sent about 30 million alerts.</w:t>
      </w:r>
      <w:r>
        <w:rPr>
          <w:color w:val="222222"/>
          <w:sz w:val="21"/>
          <w:szCs w:val="21"/>
        </w:rPr>
        <w:t xml:space="preserve"> Satellites can map a flood’s spread within a day. So the forecast is </w:t>
      </w:r>
      <w:r>
        <w:rPr>
          <w:b/>
          <w:bCs/>
          <w:color w:val="222222"/>
          <w:sz w:val="21"/>
          <w:szCs w:val="21"/>
        </w:rPr>
        <w:t xml:space="preserve">not</w:t>
      </w:r>
      <w:r>
        <w:rPr>
          <w:color w:val="222222"/>
          <w:sz w:val="21"/>
          <w:szCs w:val="21"/>
        </w:rPr>
        <w:t xml:space="preserve"> the missing piece.</w:t>
      </w:r>
    </w:p>
    <w:p>
      <w:pPr>
        <w:pStyle w:val="ListParagraph"/>
        <w:numPr>
          <w:ilvl w:val="0"/>
          <w:numId w:val="2"/>
        </w:numPr>
        <w:spacing w:after="70" w:line="272"/>
        <w:jc w:val="both"/>
      </w:pPr>
      <w:r>
        <w:rPr>
          <w:b/>
          <w:bCs/>
          <w:color w:val="222222"/>
          <w:sz w:val="21"/>
          <w:szCs w:val="21"/>
        </w:rPr>
        <w:t xml:space="preserve">State-level parametric insurance has been shown to work.</w:t>
      </w:r>
      <w:r>
        <w:rPr>
          <w:color w:val="222222"/>
          <w:sz w:val="21"/>
          <w:szCs w:val="21"/>
        </w:rPr>
        <w:t xml:space="preserve"> Nagaland was the first state to insure its whole territory against heavy rain. Its 2021 attempt paid nothing (trigger too high, trust damaged). The redesigned scheme with </w:t>
      </w:r>
      <w:r>
        <w:rPr>
          <w:b/>
          <w:bCs/>
          <w:color w:val="222222"/>
          <w:sz w:val="21"/>
          <w:szCs w:val="21"/>
        </w:rPr>
        <w:t xml:space="preserve">SBI General and Munich Re paid ₹1.06 crore in March 2025.</w:t>
      </w:r>
    </w:p>
    <w:p>
      <w:pPr>
        <w:pStyle w:val="ListParagraph"/>
        <w:numPr>
          <w:ilvl w:val="0"/>
          <w:numId w:val="2"/>
        </w:numPr>
        <w:spacing w:after="70" w:line="272"/>
        <w:jc w:val="both"/>
      </w:pPr>
      <w:r>
        <w:rPr>
          <w:b/>
          <w:bCs/>
          <w:color w:val="222222"/>
          <w:sz w:val="21"/>
          <w:szCs w:val="21"/>
        </w:rPr>
        <w:t xml:space="preserve">The full chain does not yet exist.</w:t>
      </w:r>
      <w:r>
        <w:rPr>
          <w:color w:val="222222"/>
          <w:sz w:val="21"/>
          <w:szCs w:val="21"/>
        </w:rPr>
        <w:t xml:space="preserve"> No one has joined property-level risk scoring, measured-flood triggers, and automatic payout into one product built for the Northeast. That gap is the opportunity.</w:t>
      </w:r>
    </w:p>
    <w:p>
      <w:pPr>
        <w:spacing w:after="130" w:line="276"/>
        <w:jc w:val="both"/>
      </w:pPr>
      <w:r>
        <w:rPr>
          <w:color w:val="222222"/>
          <w:sz w:val="21"/>
          <w:szCs w:val="21"/>
        </w:rPr>
        <w:t xml:space="preserve">The government is also moving: in </w:t>
      </w:r>
      <w:r>
        <w:rPr>
          <w:b/>
          <w:bCs/>
          <w:color w:val="222222"/>
          <w:sz w:val="21"/>
          <w:szCs w:val="21"/>
        </w:rPr>
        <w:t xml:space="preserve">October 2025 it began early talks on a national climate-linked insurance scheme</w:t>
      </w:r>
      <w:r>
        <w:rPr>
          <w:color w:val="222222"/>
          <w:sz w:val="21"/>
          <w:szCs w:val="21"/>
        </w:rPr>
        <w:t xml:space="preserve"> (with NDMA, the Finance Ministry and GIC Re). No formal plan exists yet — which means there is still time to help shape it.</w:t>
      </w:r>
    </w:p>
    <w:p>
      <w:pPr>
        <w:pStyle w:val="Heading1"/>
        <w:spacing w:after="140" w:before="320"/>
      </w:pPr>
      <w:r>
        <w:rPr>
          <w:b/>
          <w:bCs/>
          <w:color w:val="1F3864"/>
          <w:sz w:val="30"/>
          <w:szCs w:val="30"/>
        </w:rPr>
        <w:t xml:space="preserve">4. The Concept — One Chain, Risk to Payout</w:t>
      </w:r>
    </w:p>
    <w:p>
      <w:pPr>
        <w:spacing w:after="130" w:line="276"/>
        <w:jc w:val="both"/>
      </w:pPr>
      <w:r>
        <w:rPr>
          <w:color w:val="222222"/>
          <w:sz w:val="21"/>
          <w:szCs w:val="21"/>
        </w:rPr>
        <w:t xml:space="preserve">SETU joins four steps into a single product. The value is in the chain, not any one part.</w:t>
      </w:r>
    </w:p>
    <w:tbl>
      <w:tblPr>
        <w:tblW w:type="dxa" w:w="9026"/>
        <w:tblBorders>
          <w:top w:val="single" w:color="AAAAAA" w:sz="2"/>
          <w:left w:val="single" w:color="AAAAAA" w:sz="2"/>
          <w:bottom w:val="single" w:color="AAAAAA" w:sz="2"/>
          <w:right w:val="single" w:color="AAAAAA" w:sz="2"/>
          <w:insideH w:val="single" w:color="CCCCCC" w:sz="1"/>
          <w:insideV w:val="single" w:color="CCCCCC" w:sz="1"/>
        </w:tblBorders>
      </w:tblPr>
      <w:tblGrid>
        <w:gridCol w:w="1700"/>
        <w:gridCol w:w="4300"/>
        <w:gridCol w:w="3026"/>
      </w:tblGrid>
      <w:tr>
        <w:trPr>
          <w:tblHeader/>
        </w:trPr>
        <w:tc>
          <w:tcPr>
            <w:tcW w:type="dxa" w:w="1700"/>
            <w:shd w:fill="1F3864" w:color="auto" w:val="clear"/>
            <w:tcMar>
              <w:top w:type="dxa" w:w="60"/>
              <w:left w:type="dxa" w:w="90"/>
              <w:bottom w:type="dxa" w:w="60"/>
              <w:right w:type="dxa" w:w="90"/>
            </w:tcMar>
          </w:tcPr>
          <w:p>
            <w:pPr>
              <w:spacing w:after="0" w:line="250"/>
              <w:jc w:val="left"/>
            </w:pPr>
            <w:r>
              <w:rPr>
                <w:b/>
                <w:bCs/>
                <w:color w:val="FFFFFF"/>
                <w:sz w:val="18"/>
                <w:szCs w:val="18"/>
              </w:rPr>
              <w:t xml:space="preserve">Step</w:t>
            </w:r>
          </w:p>
        </w:tc>
        <w:tc>
          <w:tcPr>
            <w:tcW w:type="dxa" w:w="4300"/>
            <w:shd w:fill="1F3864" w:color="auto" w:val="clear"/>
            <w:tcMar>
              <w:top w:type="dxa" w:w="60"/>
              <w:left w:type="dxa" w:w="90"/>
              <w:bottom w:type="dxa" w:w="60"/>
              <w:right w:type="dxa" w:w="90"/>
            </w:tcMar>
          </w:tcPr>
          <w:p>
            <w:pPr>
              <w:spacing w:after="0" w:line="250"/>
              <w:jc w:val="left"/>
            </w:pPr>
            <w:r>
              <w:rPr>
                <w:b/>
                <w:bCs/>
                <w:color w:val="FFFFFF"/>
                <w:sz w:val="18"/>
                <w:szCs w:val="18"/>
              </w:rPr>
              <w:t xml:space="preserve">What it does</w:t>
            </w:r>
          </w:p>
        </w:tc>
        <w:tc>
          <w:tcPr>
            <w:tcW w:type="dxa" w:w="3026"/>
            <w:shd w:fill="1F3864" w:color="auto" w:val="clear"/>
            <w:tcMar>
              <w:top w:type="dxa" w:w="60"/>
              <w:left w:type="dxa" w:w="90"/>
              <w:bottom w:type="dxa" w:w="60"/>
              <w:right w:type="dxa" w:w="90"/>
            </w:tcMar>
          </w:tcPr>
          <w:p>
            <w:pPr>
              <w:spacing w:after="0" w:line="250"/>
              <w:jc w:val="left"/>
            </w:pPr>
            <w:r>
              <w:rPr>
                <w:b/>
                <w:bCs/>
                <w:color w:val="FFFFFF"/>
                <w:sz w:val="18"/>
                <w:szCs w:val="18"/>
              </w:rPr>
              <w:t xml:space="preserve">Why it matters</w:t>
            </w:r>
          </w:p>
        </w:tc>
      </w:tr>
      <w:tr>
        <w:tc>
          <w:tcPr>
            <w:tcW w:type="dxa" w:w="17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1. Risk score</w:t>
            </w:r>
          </w:p>
        </w:tc>
        <w:tc>
          <w:tcPr>
            <w:tcW w:type="dxa" w:w="43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Scores flood risk building-by-building using satellite, rain, river and terrain data</w:t>
            </w:r>
          </w:p>
        </w:tc>
        <w:tc>
          <w:tcPr>
            <w:tcW w:type="dxa" w:w="30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Lets Bajaj price and underwrite places it once avoided</w:t>
            </w:r>
          </w:p>
        </w:tc>
      </w:tr>
      <w:tr>
        <w:tc>
          <w:tcPr>
            <w:tcW w:type="dxa" w:w="17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2. Trigger design</w:t>
            </w:r>
          </w:p>
        </w:tc>
        <w:tc>
          <w:tcPr>
            <w:tcW w:type="dxa" w:w="43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Sets payout rules from measured rain and floodwater, not distant rain gauges</w:t>
            </w:r>
          </w:p>
        </w:tc>
        <w:tc>
          <w:tcPr>
            <w:tcW w:type="dxa" w:w="30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Fixes the Nagaland-2021 failure where payment missed the real flood</w:t>
            </w:r>
          </w:p>
        </w:tc>
      </w:tr>
      <w:tr>
        <w:tc>
          <w:tcPr>
            <w:tcW w:type="dxa" w:w="17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3. Auto-check</w:t>
            </w:r>
          </w:p>
        </w:tc>
        <w:tc>
          <w:tcPr>
            <w:tcW w:type="dxa" w:w="43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Confirms the event automatically from satellite and sensor data</w:t>
            </w:r>
          </w:p>
        </w:tc>
        <w:tc>
          <w:tcPr>
            <w:tcW w:type="dxa" w:w="30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No surveyor, no dispute, no delay</w:t>
            </w:r>
          </w:p>
        </w:tc>
      </w:tr>
      <w:tr>
        <w:tc>
          <w:tcPr>
            <w:tcW w:type="dxa" w:w="17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4. Auto-payout</w:t>
            </w:r>
          </w:p>
        </w:tc>
        <w:tc>
          <w:tcPr>
            <w:tcW w:type="dxa" w:w="43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Pays straight to phones/bank accounts when the trigger is hit</w:t>
            </w:r>
          </w:p>
        </w:tc>
        <w:tc>
          <w:tcPr>
            <w:tcW w:type="dxa" w:w="30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Money arrives in days, so small policies actually work</w:t>
            </w:r>
          </w:p>
        </w:tc>
      </w:tr>
    </w:tbl>
    <w:p>
      <w:pPr>
        <w:spacing w:after="50"/>
      </w:pPr>
    </w:p>
    <w:p>
      <w:pPr>
        <w:spacing w:after="130" w:line="276"/>
        <w:jc w:val="both"/>
      </w:pPr>
      <w:r>
        <w:rPr>
          <w:color w:val="222222"/>
          <w:sz w:val="21"/>
          <w:szCs w:val="21"/>
        </w:rPr>
        <w:t xml:space="preserve">A </w:t>
      </w:r>
      <w:r>
        <w:rPr>
          <w:b/>
          <w:bCs/>
          <w:color w:val="222222"/>
          <w:sz w:val="21"/>
          <w:szCs w:val="21"/>
        </w:rPr>
        <w:t xml:space="preserve">parametric</w:t>
      </w:r>
      <w:r>
        <w:rPr>
          <w:color w:val="222222"/>
          <w:sz w:val="21"/>
          <w:szCs w:val="21"/>
        </w:rPr>
        <w:t xml:space="preserve"> policy pays a fixed amount when a measured trigger is crossed (say, rainfall above X mm, or floodwater above Y level), instead of paying against a surveyed loss. That is why it can be cheap to run and fast to pay — and why it fits remote areas where sending a surveyor is slow and costly.</w:t>
      </w:r>
    </w:p>
    <w:p>
      <w:pPr>
        <w:pStyle w:val="Heading1"/>
        <w:spacing w:after="140" w:before="320"/>
      </w:pPr>
      <w:r>
        <w:rPr>
          <w:b/>
          <w:bCs/>
          <w:color w:val="1F3864"/>
          <w:sz w:val="30"/>
          <w:szCs w:val="30"/>
        </w:rPr>
        <w:t xml:space="preserve">5. How It Works — Step by Step</w:t>
      </w:r>
    </w:p>
    <w:p>
      <w:pPr>
        <w:pStyle w:val="ListParagraph"/>
        <w:numPr>
          <w:ilvl w:val="0"/>
          <w:numId w:val="3"/>
        </w:numPr>
        <w:spacing w:after="70" w:line="272"/>
        <w:jc w:val="both"/>
      </w:pPr>
      <w:r>
        <w:rPr>
          <w:b/>
          <w:bCs/>
          <w:color w:val="222222"/>
          <w:sz w:val="21"/>
          <w:szCs w:val="21"/>
        </w:rPr>
        <w:t xml:space="preserve">Build the risk map.</w:t>
      </w:r>
      <w:r>
        <w:rPr>
          <w:color w:val="222222"/>
          <w:sz w:val="21"/>
          <w:szCs w:val="21"/>
        </w:rPr>
        <w:t xml:space="preserve"> Combine satellite flood history, rainfall grids, river levels and elevation to score each area (Section 6 lists exactly where this data comes from).</w:t>
      </w:r>
    </w:p>
    <w:p>
      <w:pPr>
        <w:pStyle w:val="ListParagraph"/>
        <w:numPr>
          <w:ilvl w:val="0"/>
          <w:numId w:val="3"/>
        </w:numPr>
        <w:spacing w:after="70" w:line="272"/>
        <w:jc w:val="both"/>
      </w:pPr>
      <w:r>
        <w:rPr>
          <w:b/>
          <w:bCs/>
          <w:color w:val="222222"/>
          <w:sz w:val="21"/>
          <w:szCs w:val="21"/>
        </w:rPr>
        <w:t xml:space="preserve">Design the trigger.</w:t>
      </w:r>
      <w:r>
        <w:rPr>
          <w:color w:val="222222"/>
          <w:sz w:val="21"/>
          <w:szCs w:val="21"/>
        </w:rPr>
        <w:t xml:space="preserve"> Set clear, measurable payout rules tied to real flooding. Use more than one measure (rain *and* river level *and* satellite flood extent) to reduce the risk that a payout misses a real loss.</w:t>
      </w:r>
    </w:p>
    <w:p>
      <w:pPr>
        <w:pStyle w:val="ListParagraph"/>
        <w:numPr>
          <w:ilvl w:val="0"/>
          <w:numId w:val="3"/>
        </w:numPr>
        <w:spacing w:after="70" w:line="272"/>
        <w:jc w:val="both"/>
      </w:pPr>
      <w:r>
        <w:rPr>
          <w:b/>
          <w:bCs/>
          <w:color w:val="222222"/>
          <w:sz w:val="21"/>
          <w:szCs w:val="21"/>
        </w:rPr>
        <w:t xml:space="preserve">Distribute through trusted partners.</w:t>
      </w:r>
      <w:r>
        <w:rPr>
          <w:color w:val="222222"/>
          <w:sz w:val="21"/>
          <w:szCs w:val="21"/>
        </w:rPr>
        <w:t xml:space="preserve"> Sell to state disaster authorities as the main buyer, with banks, local agents and self-help groups reaching households for top-ups.</w:t>
      </w:r>
    </w:p>
    <w:p>
      <w:pPr>
        <w:pStyle w:val="ListParagraph"/>
        <w:numPr>
          <w:ilvl w:val="0"/>
          <w:numId w:val="3"/>
        </w:numPr>
        <w:spacing w:after="70" w:line="272"/>
        <w:jc w:val="both"/>
      </w:pPr>
      <w:r>
        <w:rPr>
          <w:b/>
          <w:bCs/>
          <w:color w:val="222222"/>
          <w:sz w:val="21"/>
          <w:szCs w:val="21"/>
        </w:rPr>
        <w:t xml:space="preserve">Monitor.</w:t>
      </w:r>
      <w:r>
        <w:rPr>
          <w:color w:val="222222"/>
          <w:sz w:val="21"/>
          <w:szCs w:val="21"/>
        </w:rPr>
        <w:t xml:space="preserve"> Watch rainfall, river levels, glacial lakes and satellite flood maps in near real time.</w:t>
      </w:r>
    </w:p>
    <w:p>
      <w:pPr>
        <w:pStyle w:val="ListParagraph"/>
        <w:numPr>
          <w:ilvl w:val="0"/>
          <w:numId w:val="3"/>
        </w:numPr>
        <w:spacing w:after="70" w:line="272"/>
        <w:jc w:val="both"/>
      </w:pPr>
      <w:r>
        <w:rPr>
          <w:b/>
          <w:bCs/>
          <w:color w:val="222222"/>
          <w:sz w:val="21"/>
          <w:szCs w:val="21"/>
        </w:rPr>
        <w:t xml:space="preserve">Pay automatically.</w:t>
      </w:r>
      <w:r>
        <w:rPr>
          <w:color w:val="222222"/>
          <w:sz w:val="21"/>
          <w:szCs w:val="21"/>
        </w:rPr>
        <w:t xml:space="preserve"> When a trigger is hit, confirm by satellite and release payment straight to bank accounts — as Nagaland did through its state relief payment system.</w:t>
      </w:r>
    </w:p>
    <w:p>
      <w:pPr>
        <w:pStyle w:val="ListParagraph"/>
        <w:numPr>
          <w:ilvl w:val="0"/>
          <w:numId w:val="3"/>
        </w:numPr>
        <w:spacing w:after="70" w:line="272"/>
        <w:jc w:val="both"/>
      </w:pPr>
      <w:r>
        <w:rPr>
          <w:b/>
          <w:bCs/>
          <w:color w:val="222222"/>
          <w:sz w:val="21"/>
          <w:szCs w:val="21"/>
        </w:rPr>
        <w:t xml:space="preserve">Learn.</w:t>
      </w:r>
      <w:r>
        <w:rPr>
          <w:color w:val="222222"/>
          <w:sz w:val="21"/>
          <w:szCs w:val="21"/>
        </w:rPr>
        <w:t xml:space="preserve"> Feed each event’s outcome back into the models to sharpen risk scores and triggers.</w:t>
      </w:r>
    </w:p>
    <w:tbl>
      <w:tblPr>
        <w:tblW w:type="dxa" w:w="9026"/>
        <w:tblBorders>
          <w:top w:val="none"/>
          <w:left w:val="single" w:color="1F7A54" w:sz="18"/>
          <w:bottom w:val="none"/>
          <w:right w:val="none"/>
          <w:insideH w:val="none"/>
          <w:insideV w:val="none"/>
        </w:tblBorders>
      </w:tblPr>
      <w:tblGrid>
        <w:gridCol w:w="9026"/>
      </w:tblGrid>
      <w:tr>
        <w:tc>
          <w:tcPr>
            <w:tcW w:type="dxa" w:w="9026"/>
            <w:shd w:fill="FBE4D5" w:color="auto" w:val="clear"/>
            <w:tcMar>
              <w:top w:type="dxa" w:w="120"/>
              <w:left w:type="dxa" w:w="160"/>
              <w:bottom w:type="dxa" w:w="120"/>
              <w:right w:type="dxa" w:w="140"/>
            </w:tcMar>
          </w:tcPr>
          <w:p>
            <w:pPr>
              <w:spacing w:after="60"/>
            </w:pPr>
            <w:r>
              <w:rPr>
                <w:b/>
                <w:bCs/>
                <w:color w:val="1F3864"/>
                <w:sz w:val="20"/>
                <w:szCs w:val="20"/>
              </w:rPr>
              <w:t xml:space="preserve">The one rule that protects trust</w:t>
            </w:r>
          </w:p>
          <w:p>
            <w:pPr>
              <w:spacing w:after="0" w:line="264"/>
            </w:pPr>
            <w:r>
              <w:rPr>
                <w:b/>
                <w:bCs/>
                <w:color w:val="222222"/>
                <w:sz w:val="21"/>
                <w:szCs w:val="21"/>
              </w:rPr>
              <w:t xml:space="preserve">Never let a payout miss a real flood.</w:t>
            </w:r>
            <w:r>
              <w:rPr>
                <w:color w:val="222222"/>
                <w:sz w:val="21"/>
                <w:szCs w:val="21"/>
              </w:rPr>
              <w:t xml:space="preserve"> In parametric insurance this gap is called “basis risk,” and it is what broke Nagaland’s first scheme. SETU manages it by using several measured triggers together and by checking each event against free Sentinel-1 satellite radar. A missed payout costs far more than money — it costs belief that the cover works.</w:t>
            </w:r>
          </w:p>
        </w:tc>
      </w:tr>
    </w:tbl>
    <w:p>
      <w:r>
        <w:br w:type="page"/>
      </w:r>
    </w:p>
    <w:p>
      <w:pPr>
        <w:pStyle w:val="Heading1"/>
        <w:spacing w:after="140" w:before="320"/>
      </w:pPr>
      <w:r>
        <w:rPr>
          <w:b/>
          <w:bCs/>
          <w:color w:val="1F3864"/>
          <w:sz w:val="30"/>
          <w:szCs w:val="30"/>
        </w:rPr>
        <w:t xml:space="preserve">6. The Data Layer — Where Every Input Comes From</w:t>
      </w:r>
    </w:p>
    <w:p>
      <w:pPr>
        <w:spacing w:after="130" w:line="276"/>
        <w:jc w:val="both"/>
      </w:pPr>
      <w:r>
        <w:rPr>
          <w:color w:val="222222"/>
          <w:sz w:val="21"/>
          <w:szCs w:val="21"/>
        </w:rPr>
        <w:t xml:space="preserve">This is the heart of the plan. For each data input, the table shows the source and owner, how to get it, whom to approach, and the catch. The good news: most hazard data is free or cheap from Indian agencies. The hard part is old loss data — covered right after the table.</w:t>
      </w:r>
    </w:p>
    <w:p>
      <w:pPr>
        <w:spacing w:after="30"/>
      </w:pPr>
    </w:p>
    <w:tbl>
      <w:tblPr>
        <w:tblW w:type="dxa" w:w="9026"/>
        <w:tblBorders>
          <w:top w:val="single" w:color="AAAAAA" w:sz="2"/>
          <w:left w:val="single" w:color="AAAAAA" w:sz="2"/>
          <w:bottom w:val="single" w:color="AAAAAA" w:sz="2"/>
          <w:right w:val="single" w:color="AAAAAA" w:sz="2"/>
          <w:insideH w:val="single" w:color="CCCCCC" w:sz="1"/>
          <w:insideV w:val="single" w:color="CCCCCC" w:sz="1"/>
        </w:tblBorders>
      </w:tblPr>
      <w:tblGrid>
        <w:gridCol w:w="1500"/>
        <w:gridCol w:w="1820"/>
        <w:gridCol w:w="1720"/>
        <w:gridCol w:w="1560"/>
        <w:gridCol w:w="2426"/>
      </w:tblGrid>
      <w:tr>
        <w:trPr>
          <w:tblHeader/>
        </w:trPr>
        <w:tc>
          <w:tcPr>
            <w:tcW w:type="dxa" w:w="1500"/>
            <w:shd w:fill="1F3864" w:color="auto" w:val="clear"/>
            <w:tcMar>
              <w:top w:type="dxa" w:w="60"/>
              <w:left w:type="dxa" w:w="90"/>
              <w:bottom w:type="dxa" w:w="60"/>
              <w:right w:type="dxa" w:w="90"/>
            </w:tcMar>
          </w:tcPr>
          <w:p>
            <w:pPr>
              <w:spacing w:after="0" w:line="250"/>
              <w:jc w:val="left"/>
            </w:pPr>
            <w:r>
              <w:rPr>
                <w:b/>
                <w:bCs/>
                <w:color w:val="FFFFFF"/>
                <w:sz w:val="18"/>
                <w:szCs w:val="18"/>
              </w:rPr>
              <w:t xml:space="preserve">Data input</w:t>
            </w:r>
          </w:p>
        </w:tc>
        <w:tc>
          <w:tcPr>
            <w:tcW w:type="dxa" w:w="1820"/>
            <w:shd w:fill="1F3864" w:color="auto" w:val="clear"/>
            <w:tcMar>
              <w:top w:type="dxa" w:w="60"/>
              <w:left w:type="dxa" w:w="90"/>
              <w:bottom w:type="dxa" w:w="60"/>
              <w:right w:type="dxa" w:w="90"/>
            </w:tcMar>
          </w:tcPr>
          <w:p>
            <w:pPr>
              <w:spacing w:after="0" w:line="250"/>
              <w:jc w:val="left"/>
            </w:pPr>
            <w:r>
              <w:rPr>
                <w:b/>
                <w:bCs/>
                <w:color w:val="FFFFFF"/>
                <w:sz w:val="18"/>
                <w:szCs w:val="18"/>
              </w:rPr>
              <w:t xml:space="preserve">Source / owner</w:t>
            </w:r>
          </w:p>
        </w:tc>
        <w:tc>
          <w:tcPr>
            <w:tcW w:type="dxa" w:w="1720"/>
            <w:shd w:fill="1F3864" w:color="auto" w:val="clear"/>
            <w:tcMar>
              <w:top w:type="dxa" w:w="60"/>
              <w:left w:type="dxa" w:w="90"/>
              <w:bottom w:type="dxa" w:w="60"/>
              <w:right w:type="dxa" w:w="90"/>
            </w:tcMar>
          </w:tcPr>
          <w:p>
            <w:pPr>
              <w:spacing w:after="0" w:line="250"/>
              <w:jc w:val="left"/>
            </w:pPr>
            <w:r>
              <w:rPr>
                <w:b/>
                <w:bCs/>
                <w:color w:val="FFFFFF"/>
                <w:sz w:val="18"/>
                <w:szCs w:val="18"/>
              </w:rPr>
              <w:t xml:space="preserve">How to access (2026)</w:t>
            </w:r>
          </w:p>
        </w:tc>
        <w:tc>
          <w:tcPr>
            <w:tcW w:type="dxa" w:w="1560"/>
            <w:shd w:fill="1F3864" w:color="auto" w:val="clear"/>
            <w:tcMar>
              <w:top w:type="dxa" w:w="60"/>
              <w:left w:type="dxa" w:w="90"/>
              <w:bottom w:type="dxa" w:w="60"/>
              <w:right w:type="dxa" w:w="90"/>
            </w:tcMar>
          </w:tcPr>
          <w:p>
            <w:pPr>
              <w:spacing w:after="0" w:line="250"/>
              <w:jc w:val="left"/>
            </w:pPr>
            <w:r>
              <w:rPr>
                <w:b/>
                <w:bCs/>
                <w:color w:val="FFFFFF"/>
                <w:sz w:val="18"/>
                <w:szCs w:val="18"/>
              </w:rPr>
              <w:t xml:space="preserve">Whom to approach</w:t>
            </w:r>
          </w:p>
        </w:tc>
        <w:tc>
          <w:tcPr>
            <w:tcW w:type="dxa" w:w="2426"/>
            <w:shd w:fill="1F3864" w:color="auto" w:val="clear"/>
            <w:tcMar>
              <w:top w:type="dxa" w:w="60"/>
              <w:left w:type="dxa" w:w="90"/>
              <w:bottom w:type="dxa" w:w="60"/>
              <w:right w:type="dxa" w:w="90"/>
            </w:tcMar>
          </w:tcPr>
          <w:p>
            <w:pPr>
              <w:spacing w:after="0" w:line="250"/>
              <w:jc w:val="left"/>
            </w:pPr>
            <w:r>
              <w:rPr>
                <w:b/>
                <w:bCs/>
                <w:color w:val="FFFFFF"/>
                <w:sz w:val="18"/>
                <w:szCs w:val="18"/>
              </w:rPr>
              <w:t xml:space="preserve">The catch</w:t>
            </w:r>
          </w:p>
        </w:tc>
      </w:tr>
      <w:tr>
        <w:tc>
          <w:tcPr>
            <w:tcW w:type="dxa" w:w="15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Satellite &amp; radar flood maps</w:t>
            </w:r>
          </w:p>
        </w:tc>
        <w:tc>
          <w:tcPr>
            <w:tcW w:type="dxa" w:w="182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NRSC / ISRO (Bhuvan, NDEM); ESA Copernicus Sentinel-1 SAR (free); NASA MODIS/VIIRS</w:t>
            </w:r>
          </w:p>
        </w:tc>
        <w:tc>
          <w:tcPr>
            <w:tcW w:type="dxa" w:w="172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Bhuvan free to view (register to download); NDEM is login-gated; Sentinel-1 fully open</w:t>
            </w:r>
          </w:p>
        </w:tc>
        <w:tc>
          <w:tcPr>
            <w:tcW w:type="dxa" w:w="156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NRSC/ISRO; access NDEM via a state disaster authority MoU</w:t>
            </w:r>
          </w:p>
        </w:tc>
        <w:tc>
          <w:tcPr>
            <w:tcW w:type="dxa" w:w="24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Full NDEM access is government-only — route it through the state (our anchor buyer)</w:t>
            </w:r>
          </w:p>
        </w:tc>
      </w:tr>
      <w:tr>
        <w:tc>
          <w:tcPr>
            <w:tcW w:type="dxa" w:w="15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Rainfall data &amp; forecasts</w:t>
            </w:r>
          </w:p>
        </w:tc>
        <w:tc>
          <w:tcPr>
            <w:tcW w:type="dxa" w:w="182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India Meteorological Department (IMD) — gridded rainfall from 1901, 0.25°</w:t>
            </w:r>
          </w:p>
        </w:tc>
        <w:tc>
          <w:tcPr>
            <w:tcW w:type="dxa" w:w="172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IMD Data Supply Portal (dsp.imdpune.gov.in), v5.0</w:t>
            </w:r>
          </w:p>
        </w:tc>
        <w:tc>
          <w:tcPr>
            <w:tcW w:type="dxa" w:w="156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IMD Pune</w:t>
            </w:r>
          </w:p>
        </w:tc>
        <w:tc>
          <w:tcPr>
            <w:tcW w:type="dxa" w:w="24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Commercial/insurance use is chargeable + 18% GST; free live station feed was limited to govt in 2025</w:t>
            </w:r>
          </w:p>
        </w:tc>
      </w:tr>
      <w:tr>
        <w:tc>
          <w:tcPr>
            <w:tcW w:type="dxa" w:w="15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River levels &amp; flow</w:t>
            </w:r>
          </w:p>
        </w:tc>
        <w:tc>
          <w:tcPr>
            <w:tcW w:type="dxa" w:w="182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Central Water Commission (CWC); India-WRIS (with NRSC)</w:t>
            </w:r>
          </w:p>
        </w:tc>
        <w:tc>
          <w:tcPr>
            <w:tcW w:type="dxa" w:w="172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FloodWatch India app; India-WRIS portal (download + API)</w:t>
            </w:r>
          </w:p>
        </w:tc>
        <w:tc>
          <w:tcPr>
            <w:tcW w:type="dxa" w:w="156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CWC / Ministry of Jal Shakti</w:t>
            </w:r>
          </w:p>
        </w:tc>
        <w:tc>
          <w:tcPr>
            <w:tcW w:type="dxa" w:w="24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Real-time data quality varies; a formal CWC arrangement makes a river trigger legally solid</w:t>
            </w:r>
          </w:p>
        </w:tc>
      </w:tr>
      <w:tr>
        <w:tc>
          <w:tcPr>
            <w:tcW w:type="dxa" w:w="15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Flood forecasts (7-day)</w:t>
            </w:r>
          </w:p>
        </w:tc>
        <w:tc>
          <w:tcPr>
            <w:tcW w:type="dxa" w:w="182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Google Flood Hub / Flood Forecasting Initiative + CWC</w:t>
            </w:r>
          </w:p>
        </w:tc>
        <w:tc>
          <w:tcPr>
            <w:tcW w:type="dxa" w:w="172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Flood Forecasting API — free under CC BY 4.0 (waitlist → Google Cloud key)</w:t>
            </w:r>
          </w:p>
        </w:tc>
        <w:tc>
          <w:tcPr>
            <w:tcW w:type="dxa" w:w="156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Google (API waitlist); CWC (the gauge feed behind it)</w:t>
            </w:r>
          </w:p>
        </w:tc>
        <w:tc>
          <w:tcPr>
            <w:tcW w:type="dxa" w:w="24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Forecast, not proof of loss — use for early warning and pre-positioning, not the legal trigger</w:t>
            </w:r>
          </w:p>
        </w:tc>
      </w:tr>
      <w:tr>
        <w:tc>
          <w:tcPr>
            <w:tcW w:type="dxa" w:w="15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Elevation / terrain (DEM)</w:t>
            </w:r>
          </w:p>
        </w:tc>
        <w:tc>
          <w:tcPr>
            <w:tcW w:type="dxa" w:w="182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ISRO CartoDEM 30m (free); high-res LiDAR (not open)</w:t>
            </w:r>
          </w:p>
        </w:tc>
        <w:tc>
          <w:tcPr>
            <w:tcW w:type="dxa" w:w="172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Bhuvan / Bhoonidhi / data.gov.in for CartoDEM</w:t>
            </w:r>
          </w:p>
        </w:tc>
        <w:tc>
          <w:tcPr>
            <w:tcW w:type="dxa" w:w="156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NRSC/ISRO; state for LiDAR</w:t>
            </w:r>
          </w:p>
        </w:tc>
        <w:tc>
          <w:tcPr>
            <w:tcW w:type="dxa" w:w="24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30m is fine for wide maps; steep NE terrain needs finer LiDAR via an NRSC/state deal</w:t>
            </w:r>
          </w:p>
        </w:tc>
      </w:tr>
      <w:tr>
        <w:tc>
          <w:tcPr>
            <w:tcW w:type="dxa" w:w="15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Glacial-lake (GLOF) hazard</w:t>
            </w:r>
          </w:p>
        </w:tc>
        <w:tc>
          <w:tcPr>
            <w:tcW w:type="dxa" w:w="182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ISRO/NRSC Glacial Lake Inventory (28,043 lakes); NDMA high-risk list (189 lakes)</w:t>
            </w:r>
          </w:p>
        </w:tc>
        <w:tc>
          <w:tcPr>
            <w:tcW w:type="dxa" w:w="172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Bhuvan (National Hydrology Project); NDMA programme reports</w:t>
            </w:r>
          </w:p>
        </w:tc>
        <w:tc>
          <w:tcPr>
            <w:tcW w:type="dxa" w:w="156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NRSC/ISRO; NDMA; state SDMAs</w:t>
            </w:r>
          </w:p>
        </w:tc>
        <w:tc>
          <w:tcPr>
            <w:tcW w:type="dxa" w:w="24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Excellent, authoritative data — this is why GLOF is the best pilot</w:t>
            </w:r>
          </w:p>
        </w:tc>
      </w:tr>
      <w:tr>
        <w:tc>
          <w:tcPr>
            <w:tcW w:type="dxa" w:w="15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Past loss records (₹)</w:t>
            </w:r>
          </w:p>
        </w:tc>
        <w:tc>
          <w:tcPr>
            <w:tcW w:type="dxa" w:w="182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IIB, GIC Re, ASDMA, EM-DAT — all partial</w:t>
            </w:r>
          </w:p>
        </w:tc>
        <w:tc>
          <w:tcPr>
            <w:tcW w:type="dxa" w:w="172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See below — no complete public source exists</w:t>
            </w:r>
          </w:p>
        </w:tc>
        <w:tc>
          <w:tcPr>
            <w:tcW w:type="dxa" w:w="156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Substitute with commercial flood models</w:t>
            </w:r>
          </w:p>
        </w:tc>
        <w:tc>
          <w:tcPr>
            <w:tcW w:type="dxa" w:w="24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The real gap: no public place-by-place rupee-loss history</w:t>
            </w:r>
          </w:p>
        </w:tc>
      </w:tr>
      <w:tr>
        <w:tc>
          <w:tcPr>
            <w:tcW w:type="dxa" w:w="15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Payout rails</w:t>
            </w:r>
          </w:p>
        </w:tc>
        <w:tc>
          <w:tcPr>
            <w:tcW w:type="dxa" w:w="182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NPCI (UPI), Aadhaar/DBT, Jan Dhan; state relief payment systems</w:t>
            </w:r>
          </w:p>
        </w:tc>
        <w:tc>
          <w:tcPr>
            <w:tcW w:type="dxa" w:w="172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Standard national payment plumbing</w:t>
            </w:r>
          </w:p>
        </w:tc>
        <w:tc>
          <w:tcPr>
            <w:tcW w:type="dxa" w:w="156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NPCI; state disaster authority</w:t>
            </w:r>
          </w:p>
        </w:tc>
        <w:tc>
          <w:tcPr>
            <w:tcW w:type="dxa" w:w="24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Proven in Nagaland — low friction</w:t>
            </w:r>
          </w:p>
        </w:tc>
      </w:tr>
    </w:tbl>
    <w:p>
      <w:pPr>
        <w:spacing w:after="70"/>
      </w:pPr>
    </w:p>
    <w:p>
      <w:pPr>
        <w:pStyle w:val="Heading2"/>
        <w:spacing w:after="90" w:before="220"/>
      </w:pPr>
      <w:r>
        <w:rPr>
          <w:b/>
          <w:bCs/>
          <w:color w:val="2E5496"/>
          <w:sz w:val="25"/>
          <w:szCs w:val="25"/>
        </w:rPr>
        <w:t xml:space="preserve">6.1 The one real gap: past loss data — and how we fill it</w:t>
      </w:r>
    </w:p>
    <w:p>
      <w:pPr>
        <w:spacing w:after="130" w:line="276"/>
        <w:jc w:val="both"/>
      </w:pPr>
      <w:r>
        <w:rPr>
          <w:color w:val="222222"/>
          <w:sz w:val="21"/>
          <w:szCs w:val="21"/>
        </w:rPr>
        <w:t xml:space="preserve">India has </w:t>
      </w:r>
      <w:r>
        <w:rPr>
          <w:b/>
          <w:bCs/>
          <w:color w:val="222222"/>
          <w:sz w:val="21"/>
          <w:szCs w:val="21"/>
        </w:rPr>
        <w:t xml:space="preserve">no public, event-by-event record of flood losses in rupees at the district level.</w:t>
      </w:r>
      <w:r>
        <w:rPr>
          <w:color w:val="222222"/>
          <w:sz w:val="21"/>
          <w:szCs w:val="21"/>
        </w:rPr>
        <w:t xml:space="preserve"> The pieces that exist are all partial: the </w:t>
      </w:r>
      <w:r>
        <w:rPr>
          <w:b/>
          <w:bCs/>
          <w:color w:val="222222"/>
          <w:sz w:val="21"/>
          <w:szCs w:val="21"/>
        </w:rPr>
        <w:t xml:space="preserve">Insurance Information Bureau (IIB)</w:t>
      </w:r>
      <w:r>
        <w:rPr>
          <w:color w:val="222222"/>
          <w:sz w:val="21"/>
          <w:szCs w:val="21"/>
        </w:rPr>
        <w:t xml:space="preserve"> publishes a fire-loss report but its latest public edition is from FY2019-20 and its numbers have been disputed; </w:t>
      </w:r>
      <w:r>
        <w:rPr>
          <w:b/>
          <w:bCs/>
          <w:color w:val="222222"/>
          <w:sz w:val="21"/>
          <w:szCs w:val="21"/>
        </w:rPr>
        <w:t xml:space="preserve">GIC Re</w:t>
      </w:r>
      <w:r>
        <w:rPr>
          <w:color w:val="222222"/>
          <w:sz w:val="21"/>
          <w:szCs w:val="21"/>
        </w:rPr>
        <w:t xml:space="preserve"> holds no national catastrophe-loss database; </w:t>
      </w:r>
      <w:r>
        <w:rPr>
          <w:b/>
          <w:bCs/>
          <w:color w:val="222222"/>
          <w:sz w:val="21"/>
          <w:szCs w:val="21"/>
        </w:rPr>
        <w:t xml:space="preserve">Assam’s disaster authority (ASDMA)</w:t>
      </w:r>
      <w:r>
        <w:rPr>
          <w:color w:val="222222"/>
          <w:sz w:val="21"/>
          <w:szCs w:val="21"/>
        </w:rPr>
        <w:t xml:space="preserve"> publishes daily physical impact (people affected, houses and crops damaged) but </w:t>
      </w:r>
      <w:r>
        <w:rPr>
          <w:b/>
          <w:bCs/>
          <w:color w:val="222222"/>
          <w:sz w:val="21"/>
          <w:szCs w:val="21"/>
        </w:rPr>
        <w:t xml:space="preserve">not district losses in rupees</w:t>
      </w:r>
      <w:r>
        <w:rPr>
          <w:color w:val="222222"/>
          <w:sz w:val="21"/>
          <w:szCs w:val="21"/>
        </w:rPr>
        <w:t xml:space="preserve">; and </w:t>
      </w:r>
      <w:r>
        <w:rPr>
          <w:b/>
          <w:bCs/>
          <w:color w:val="222222"/>
          <w:sz w:val="21"/>
          <w:szCs w:val="21"/>
        </w:rPr>
        <w:t xml:space="preserve">EM-DAT</w:t>
      </w:r>
      <w:r>
        <w:rPr>
          <w:color w:val="222222"/>
          <w:sz w:val="21"/>
          <w:szCs w:val="21"/>
        </w:rPr>
        <w:t xml:space="preserve"> (a global disaster database) records India floods only at the country level per event, and charges for commercial use.</w:t>
      </w:r>
    </w:p>
    <w:p>
      <w:pPr>
        <w:spacing w:after="130" w:line="276"/>
        <w:jc w:val="both"/>
      </w:pPr>
      <w:r>
        <w:rPr>
          <w:color w:val="222222"/>
          <w:sz w:val="21"/>
          <w:szCs w:val="21"/>
        </w:rPr>
        <w:t xml:space="preserve">The fix is to </w:t>
      </w:r>
      <w:r>
        <w:rPr>
          <w:b/>
          <w:bCs/>
          <w:color w:val="222222"/>
          <w:sz w:val="21"/>
          <w:szCs w:val="21"/>
        </w:rPr>
        <w:t xml:space="preserve">licence a commercial probabilistic flood model</w:t>
      </w:r>
      <w:r>
        <w:rPr>
          <w:color w:val="222222"/>
          <w:sz w:val="21"/>
          <w:szCs w:val="21"/>
        </w:rPr>
        <w:t xml:space="preserve"> — software that simulates tens of thousands of possible floods to estimate losses where real history is thin. The main options:</w:t>
      </w:r>
    </w:p>
    <w:tbl>
      <w:tblPr>
        <w:tblW w:type="dxa" w:w="9026"/>
        <w:tblBorders>
          <w:top w:val="single" w:color="AAAAAA" w:sz="2"/>
          <w:left w:val="single" w:color="AAAAAA" w:sz="2"/>
          <w:bottom w:val="single" w:color="AAAAAA" w:sz="2"/>
          <w:right w:val="single" w:color="AAAAAA" w:sz="2"/>
          <w:insideH w:val="single" w:color="CCCCCC" w:sz="1"/>
          <w:insideV w:val="single" w:color="CCCCCC" w:sz="1"/>
        </w:tblBorders>
      </w:tblPr>
      <w:tblGrid>
        <w:gridCol w:w="2450"/>
        <w:gridCol w:w="3900"/>
        <w:gridCol w:w="2676"/>
      </w:tblGrid>
      <w:tr>
        <w:trPr>
          <w:tblHeader/>
        </w:trPr>
        <w:tc>
          <w:tcPr>
            <w:tcW w:type="dxa" w:w="2450"/>
            <w:shd w:fill="1F3864" w:color="auto" w:val="clear"/>
            <w:tcMar>
              <w:top w:type="dxa" w:w="60"/>
              <w:left w:type="dxa" w:w="90"/>
              <w:bottom w:type="dxa" w:w="60"/>
              <w:right w:type="dxa" w:w="90"/>
            </w:tcMar>
          </w:tcPr>
          <w:p>
            <w:pPr>
              <w:spacing w:after="0" w:line="250"/>
              <w:jc w:val="left"/>
            </w:pPr>
            <w:r>
              <w:rPr>
                <w:b/>
                <w:bCs/>
                <w:color w:val="FFFFFF"/>
                <w:sz w:val="18"/>
                <w:szCs w:val="18"/>
              </w:rPr>
              <w:t xml:space="preserve">Model</w:t>
            </w:r>
          </w:p>
        </w:tc>
        <w:tc>
          <w:tcPr>
            <w:tcW w:type="dxa" w:w="3900"/>
            <w:shd w:fill="1F3864" w:color="auto" w:val="clear"/>
            <w:tcMar>
              <w:top w:type="dxa" w:w="60"/>
              <w:left w:type="dxa" w:w="90"/>
              <w:bottom w:type="dxa" w:w="60"/>
              <w:right w:type="dxa" w:w="90"/>
            </w:tcMar>
          </w:tcPr>
          <w:p>
            <w:pPr>
              <w:spacing w:after="0" w:line="250"/>
              <w:jc w:val="left"/>
            </w:pPr>
            <w:r>
              <w:rPr>
                <w:b/>
                <w:bCs/>
                <w:color w:val="FFFFFF"/>
                <w:sz w:val="18"/>
                <w:szCs w:val="18"/>
              </w:rPr>
              <w:t xml:space="preserve">What it offers</w:t>
            </w:r>
          </w:p>
        </w:tc>
        <w:tc>
          <w:tcPr>
            <w:tcW w:type="dxa" w:w="2676"/>
            <w:shd w:fill="1F3864" w:color="auto" w:val="clear"/>
            <w:tcMar>
              <w:top w:type="dxa" w:w="60"/>
              <w:left w:type="dxa" w:w="90"/>
              <w:bottom w:type="dxa" w:w="60"/>
              <w:right w:type="dxa" w:w="90"/>
            </w:tcMar>
          </w:tcPr>
          <w:p>
            <w:pPr>
              <w:spacing w:after="0" w:line="250"/>
              <w:jc w:val="left"/>
            </w:pPr>
            <w:r>
              <w:rPr>
                <w:b/>
                <w:bCs/>
                <w:color w:val="FFFFFF"/>
                <w:sz w:val="18"/>
                <w:szCs w:val="18"/>
              </w:rPr>
              <w:t xml:space="preserve">Note</w:t>
            </w:r>
          </w:p>
        </w:tc>
      </w:tr>
      <w:tr>
        <w:tc>
          <w:tcPr>
            <w:tcW w:type="dxa" w:w="24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RMSI India FloodRisk 2.0</w:t>
            </w:r>
          </w:p>
        </w:tc>
        <w:tc>
          <w:tcPr>
            <w:tcW w:type="dxa" w:w="39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Pincode-level; ~80,000 simulated events; 28 river basins; built for insurance</w:t>
            </w:r>
          </w:p>
        </w:tc>
        <w:tc>
          <w:tcPr>
            <w:tcW w:type="dxa" w:w="267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India-based; works with the open Oasis platform — good fit for a parametric build</w:t>
            </w:r>
          </w:p>
        </w:tc>
      </w:tr>
      <w:tr>
        <w:tc>
          <w:tcPr>
            <w:tcW w:type="dxa" w:w="24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Moody’s RMS India Inland Flood</w:t>
            </w:r>
          </w:p>
        </w:tc>
        <w:tc>
          <w:tcPr>
            <w:tcW w:type="dxa" w:w="39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~125,000 events; 9,033 catchments; river + rain flooding</w:t>
            </w:r>
          </w:p>
        </w:tc>
        <w:tc>
          <w:tcPr>
            <w:tcW w:type="dxa" w:w="267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First fully probabilistic India flood model for insurers</w:t>
            </w:r>
          </w:p>
        </w:tc>
      </w:tr>
      <w:tr>
        <w:tc>
          <w:tcPr>
            <w:tcW w:type="dxa" w:w="24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Fathom</w:t>
            </w:r>
          </w:p>
        </w:tc>
        <w:tc>
          <w:tcPr>
            <w:tcW w:type="dxa" w:w="39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Global high-resolution flood maps + risk scores via API</w:t>
            </w:r>
          </w:p>
        </w:tc>
        <w:tc>
          <w:tcPr>
            <w:tcW w:type="dxa" w:w="267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Explicitly supports parametric triggers; also on Swiss Re’s CatNet</w:t>
            </w:r>
          </w:p>
        </w:tc>
      </w:tr>
    </w:tbl>
    <w:p>
      <w:pPr>
        <w:spacing w:after="60"/>
      </w:pPr>
    </w:p>
    <w:p>
      <w:pPr>
        <w:spacing w:after="130" w:line="276"/>
        <w:jc w:val="both"/>
      </w:pPr>
      <w:r>
        <w:rPr>
          <w:b/>
          <w:bCs/>
          <w:color w:val="222222"/>
          <w:sz w:val="21"/>
          <w:szCs w:val="21"/>
        </w:rPr>
        <w:t xml:space="preserve">Plan:</w:t>
      </w:r>
      <w:r>
        <w:rPr>
          <w:color w:val="222222"/>
          <w:sz w:val="21"/>
          <w:szCs w:val="21"/>
        </w:rPr>
        <w:t xml:space="preserve"> use IMD rainfall as the main legal trigger, CWC/India-WRIS river levels as a second trigger, free Sentinel-1 radar to confirm each event, and a commercial model (RMSI or Moody’s RMS) to price the risk. Price conservatively and add a clear loading for model uncertainty, because Indian claims history is thin.</w:t>
      </w:r>
    </w:p>
    <w:p>
      <w:pPr>
        <w:pStyle w:val="Heading1"/>
        <w:spacing w:after="140" w:before="320"/>
      </w:pPr>
      <w:r>
        <w:rPr>
          <w:b/>
          <w:bCs/>
          <w:color w:val="1F3864"/>
          <w:sz w:val="30"/>
          <w:szCs w:val="30"/>
        </w:rPr>
        <w:t xml:space="preserve">7. Legal &amp; Regulatory</w:t>
      </w:r>
    </w:p>
    <w:p>
      <w:pPr>
        <w:pStyle w:val="ListParagraph"/>
        <w:numPr>
          <w:ilvl w:val="0"/>
          <w:numId w:val="2"/>
        </w:numPr>
        <w:spacing w:after="70" w:line="272"/>
        <w:jc w:val="both"/>
      </w:pPr>
      <w:r>
        <w:rPr>
          <w:b/>
          <w:bCs/>
          <w:color w:val="222222"/>
          <w:sz w:val="21"/>
          <w:szCs w:val="21"/>
        </w:rPr>
        <w:t xml:space="preserve">Parametric cover is allowed.</w:t>
      </w:r>
      <w:r>
        <w:rPr>
          <w:color w:val="222222"/>
          <w:sz w:val="21"/>
          <w:szCs w:val="21"/>
        </w:rPr>
        <w:t xml:space="preserve"> IRDAI permits parametric products under its “use-and-file” route, and the new </w:t>
      </w:r>
      <w:r>
        <w:rPr>
          <w:b/>
          <w:bCs/>
          <w:color w:val="222222"/>
          <w:sz w:val="21"/>
          <w:szCs w:val="21"/>
        </w:rPr>
        <w:t xml:space="preserve">Regulatory Sandbox Regulations 2025</w:t>
      </w:r>
      <w:r>
        <w:rPr>
          <w:color w:val="222222"/>
          <w:sz w:val="21"/>
          <w:szCs w:val="21"/>
        </w:rPr>
        <w:t xml:space="preserve"> widened room to test innovations across the value chain. SETU can launch as a use-and-file product or enter the sandbox.</w:t>
      </w:r>
    </w:p>
    <w:p>
      <w:pPr>
        <w:pStyle w:val="ListParagraph"/>
        <w:numPr>
          <w:ilvl w:val="0"/>
          <w:numId w:val="2"/>
        </w:numPr>
        <w:spacing w:after="70" w:line="272"/>
        <w:jc w:val="both"/>
      </w:pPr>
      <w:r>
        <w:rPr>
          <w:b/>
          <w:bCs/>
          <w:color w:val="222222"/>
          <w:sz w:val="21"/>
          <w:szCs w:val="21"/>
        </w:rPr>
        <w:t xml:space="preserve">The reform direction helps.</w:t>
      </w:r>
      <w:r>
        <w:rPr>
          <w:color w:val="222222"/>
          <w:sz w:val="21"/>
          <w:szCs w:val="21"/>
        </w:rPr>
        <w:t xml:space="preserve"> “Insurance for All by 2047” and the </w:t>
      </w:r>
      <w:r>
        <w:rPr>
          <w:b/>
          <w:bCs/>
          <w:color w:val="222222"/>
          <w:sz w:val="21"/>
          <w:szCs w:val="21"/>
        </w:rPr>
        <w:t xml:space="preserve">Bima Trinity</w:t>
      </w:r>
      <w:r>
        <w:rPr>
          <w:color w:val="222222"/>
          <w:sz w:val="21"/>
          <w:szCs w:val="21"/>
        </w:rPr>
        <w:t xml:space="preserve"> (Bima Sugam marketplace, Bima Vistaar rural cover, Bima Vahak distribution) all push small-ticket, rural cover. Note: Bima Sugam is </w:t>
      </w:r>
      <w:r>
        <w:rPr>
          <w:b/>
          <w:bCs/>
          <w:color w:val="222222"/>
          <w:sz w:val="21"/>
          <w:szCs w:val="21"/>
        </w:rPr>
        <w:t xml:space="preserve">not fully live in 2026</w:t>
      </w:r>
      <w:r>
        <w:rPr>
          <w:color w:val="222222"/>
          <w:sz w:val="21"/>
          <w:szCs w:val="21"/>
        </w:rPr>
        <w:t xml:space="preserve"> (first products targeted around September 2026), so do not rely on it for distribution yet.</w:t>
      </w:r>
    </w:p>
    <w:p>
      <w:pPr>
        <w:pStyle w:val="ListParagraph"/>
        <w:numPr>
          <w:ilvl w:val="0"/>
          <w:numId w:val="2"/>
        </w:numPr>
        <w:spacing w:after="70" w:line="272"/>
        <w:jc w:val="both"/>
      </w:pPr>
      <w:r>
        <w:rPr>
          <w:b/>
          <w:bCs/>
          <w:color w:val="222222"/>
          <w:sz w:val="21"/>
          <w:szCs w:val="21"/>
        </w:rPr>
        <w:t xml:space="preserve">The main barrier is premium funding.</w:t>
      </w:r>
      <w:r>
        <w:rPr>
          <w:color w:val="222222"/>
          <w:sz w:val="21"/>
          <w:szCs w:val="21"/>
        </w:rPr>
        <w:t xml:space="preserve"> There is still </w:t>
      </w:r>
      <w:r>
        <w:rPr>
          <w:b/>
          <w:bCs/>
          <w:color w:val="222222"/>
          <w:sz w:val="21"/>
          <w:szCs w:val="21"/>
        </w:rPr>
        <w:t xml:space="preserve">no clear rule on how states may pay parametric premiums</w:t>
      </w:r>
      <w:r>
        <w:rPr>
          <w:color w:val="222222"/>
          <w:sz w:val="21"/>
          <w:szCs w:val="21"/>
        </w:rPr>
        <w:t xml:space="preserve"> from their disaster funds (SDRF/SDMF). The 15th Finance Commission set aside large disaster funds (a State Disaster Mitigation Fund of about </w:t>
      </w:r>
      <w:r>
        <w:rPr>
          <w:b/>
          <w:bCs/>
          <w:color w:val="222222"/>
          <w:sz w:val="21"/>
          <w:szCs w:val="21"/>
        </w:rPr>
        <w:t xml:space="preserve">₹32,031 crore</w:t>
      </w:r>
      <w:r>
        <w:rPr>
          <w:color w:val="222222"/>
          <w:sz w:val="21"/>
          <w:szCs w:val="21"/>
        </w:rPr>
        <w:t xml:space="preserve">), and the </w:t>
      </w:r>
      <w:r>
        <w:rPr>
          <w:b/>
          <w:bCs/>
          <w:color w:val="222222"/>
          <w:sz w:val="21"/>
          <w:szCs w:val="21"/>
        </w:rPr>
        <w:t xml:space="preserve">16th Finance Commission (2026–31) is the window</w:t>
      </w:r>
      <w:r>
        <w:rPr>
          <w:color w:val="222222"/>
          <w:sz w:val="21"/>
          <w:szCs w:val="21"/>
        </w:rPr>
        <w:t xml:space="preserve"> to make insurance premiums a clearly allowed use. Solving this is the difference between one pilot and nationwide scale.</w:t>
      </w:r>
    </w:p>
    <w:tbl>
      <w:tblPr>
        <w:tblW w:type="dxa" w:w="9026"/>
        <w:tblBorders>
          <w:top w:val="none"/>
          <w:left w:val="single" w:color="1F7A54" w:sz="18"/>
          <w:bottom w:val="none"/>
          <w:right w:val="none"/>
          <w:insideH w:val="none"/>
          <w:insideV w:val="none"/>
        </w:tblBorders>
      </w:tblPr>
      <w:tblGrid>
        <w:gridCol w:w="9026"/>
      </w:tblGrid>
      <w:tr>
        <w:tc>
          <w:tcPr>
            <w:tcW w:type="dxa" w:w="9026"/>
            <w:shd w:fill="FBE4D5" w:color="auto" w:val="clear"/>
            <w:tcMar>
              <w:top w:type="dxa" w:w="120"/>
              <w:left w:type="dxa" w:w="160"/>
              <w:bottom w:type="dxa" w:w="120"/>
              <w:right w:type="dxa" w:w="140"/>
            </w:tcMar>
          </w:tcPr>
          <w:p>
            <w:pPr>
              <w:spacing w:after="0" w:line="264"/>
            </w:pPr>
            <w:r>
              <w:rPr>
                <w:b/>
                <w:bCs/>
                <w:color w:val="222222"/>
                <w:sz w:val="21"/>
                <w:szCs w:val="21"/>
              </w:rPr>
              <w:t xml:space="preserve">Design honesty:</w:t>
            </w:r>
            <w:r>
              <w:rPr>
                <w:color w:val="222222"/>
                <w:sz w:val="21"/>
                <w:szCs w:val="21"/>
              </w:rPr>
              <w:t xml:space="preserve"> better risk data can make the most dangerous places look more expensive, or even uninsurable. The answer is not to hide the risk but to </w:t>
            </w:r>
            <w:r>
              <w:rPr>
                <w:b/>
                <w:bCs/>
                <w:color w:val="222222"/>
                <w:sz w:val="21"/>
                <w:szCs w:val="21"/>
              </w:rPr>
              <w:t xml:space="preserve">pool it and subsidise it</w:t>
            </w:r>
            <w:r>
              <w:rPr>
                <w:color w:val="222222"/>
                <w:sz w:val="21"/>
                <w:szCs w:val="21"/>
              </w:rPr>
              <w:t xml:space="preserve"> — states (and central mitigation grants, or development funds like the one that helped Nagaland) pay the premium so cover stays affordable where it is needed most.</w:t>
            </w:r>
          </w:p>
        </w:tc>
      </w:tr>
    </w:tbl>
    <w:p>
      <w:pPr>
        <w:pStyle w:val="Heading1"/>
        <w:spacing w:after="140" w:before="320"/>
      </w:pPr>
      <w:r>
        <w:rPr>
          <w:b/>
          <w:bCs/>
          <w:color w:val="1F3864"/>
          <w:sz w:val="30"/>
          <w:szCs w:val="30"/>
        </w:rPr>
        <w:t xml:space="preserve">8. Partnerships — Whom to Approach, and for What</w:t>
      </w:r>
    </w:p>
    <w:tbl>
      <w:tblPr>
        <w:tblW w:type="dxa" w:w="9026"/>
        <w:tblBorders>
          <w:top w:val="single" w:color="AAAAAA" w:sz="2"/>
          <w:left w:val="single" w:color="AAAAAA" w:sz="2"/>
          <w:bottom w:val="single" w:color="AAAAAA" w:sz="2"/>
          <w:right w:val="single" w:color="AAAAAA" w:sz="2"/>
          <w:insideH w:val="single" w:color="CCCCCC" w:sz="1"/>
          <w:insideV w:val="single" w:color="CCCCCC" w:sz="1"/>
        </w:tblBorders>
      </w:tblPr>
      <w:tblGrid>
        <w:gridCol w:w="2050"/>
        <w:gridCol w:w="3350"/>
        <w:gridCol w:w="3626"/>
      </w:tblGrid>
      <w:tr>
        <w:trPr>
          <w:tblHeader/>
        </w:trPr>
        <w:tc>
          <w:tcPr>
            <w:tcW w:type="dxa" w:w="2050"/>
            <w:shd w:fill="1F3864" w:color="auto" w:val="clear"/>
            <w:tcMar>
              <w:top w:type="dxa" w:w="60"/>
              <w:left w:type="dxa" w:w="90"/>
              <w:bottom w:type="dxa" w:w="60"/>
              <w:right w:type="dxa" w:w="90"/>
            </w:tcMar>
          </w:tcPr>
          <w:p>
            <w:pPr>
              <w:spacing w:after="0" w:line="250"/>
              <w:jc w:val="left"/>
            </w:pPr>
            <w:r>
              <w:rPr>
                <w:b/>
                <w:bCs/>
                <w:color w:val="FFFFFF"/>
                <w:sz w:val="18"/>
                <w:szCs w:val="18"/>
              </w:rPr>
              <w:t xml:space="preserve">Partner</w:t>
            </w:r>
          </w:p>
        </w:tc>
        <w:tc>
          <w:tcPr>
            <w:tcW w:type="dxa" w:w="3350"/>
            <w:shd w:fill="1F3864" w:color="auto" w:val="clear"/>
            <w:tcMar>
              <w:top w:type="dxa" w:w="60"/>
              <w:left w:type="dxa" w:w="90"/>
              <w:bottom w:type="dxa" w:w="60"/>
              <w:right w:type="dxa" w:w="90"/>
            </w:tcMar>
          </w:tcPr>
          <w:p>
            <w:pPr>
              <w:spacing w:after="0" w:line="250"/>
              <w:jc w:val="left"/>
            </w:pPr>
            <w:r>
              <w:rPr>
                <w:b/>
                <w:bCs/>
                <w:color w:val="FFFFFF"/>
                <w:sz w:val="18"/>
                <w:szCs w:val="18"/>
              </w:rPr>
              <w:t xml:space="preserve">What only they can give</w:t>
            </w:r>
          </w:p>
        </w:tc>
        <w:tc>
          <w:tcPr>
            <w:tcW w:type="dxa" w:w="3626"/>
            <w:shd w:fill="1F3864" w:color="auto" w:val="clear"/>
            <w:tcMar>
              <w:top w:type="dxa" w:w="60"/>
              <w:left w:type="dxa" w:w="90"/>
              <w:bottom w:type="dxa" w:w="60"/>
              <w:right w:type="dxa" w:w="90"/>
            </w:tcMar>
          </w:tcPr>
          <w:p>
            <w:pPr>
              <w:spacing w:after="0" w:line="250"/>
              <w:jc w:val="left"/>
            </w:pPr>
            <w:r>
              <w:rPr>
                <w:b/>
                <w:bCs/>
                <w:color w:val="FFFFFF"/>
                <w:sz w:val="18"/>
                <w:szCs w:val="18"/>
              </w:rPr>
              <w:t xml:space="preserve">What SETU / Bajaj offers them</w:t>
            </w:r>
          </w:p>
        </w:tc>
      </w:tr>
      <w:tr>
        <w:tc>
          <w:tcPr>
            <w:tcW w:type="dxa" w:w="20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State disaster authorities (Sikkim, Assam, Arunachal SDMAs)</w:t>
            </w:r>
          </w:p>
        </w:tc>
        <w:tc>
          <w:tcPr>
            <w:tcW w:type="dxa" w:w="33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The anchor premium; authority to cover a district; local reach</w:t>
            </w:r>
          </w:p>
        </w:tc>
        <w:tc>
          <w:tcPr>
            <w:tcW w:type="dxa" w:w="36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Fast, automatic relief money; less strain on relief budgets</w:t>
            </w:r>
          </w:p>
        </w:tc>
      </w:tr>
      <w:tr>
        <w:tc>
          <w:tcPr>
            <w:tcW w:type="dxa" w:w="20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NRSC / ISRO</w:t>
            </w:r>
          </w:p>
        </w:tc>
        <w:tc>
          <w:tcPr>
            <w:tcW w:type="dxa" w:w="33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Satellite flood maps, DEMs, glacial-lake data (NDEM/Bhuvan)</w:t>
            </w:r>
          </w:p>
        </w:tc>
        <w:tc>
          <w:tcPr>
            <w:tcW w:type="dxa" w:w="36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A real, paying use for their data that protects citizens</w:t>
            </w:r>
          </w:p>
        </w:tc>
      </w:tr>
      <w:tr>
        <w:tc>
          <w:tcPr>
            <w:tcW w:type="dxa" w:w="20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IMD</w:t>
            </w:r>
          </w:p>
        </w:tc>
        <w:tc>
          <w:tcPr>
            <w:tcW w:type="dxa" w:w="33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Authoritative rainfall data and the legal trigger source</w:t>
            </w:r>
          </w:p>
        </w:tc>
        <w:tc>
          <w:tcPr>
            <w:tcW w:type="dxa" w:w="36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A commercial, recurring data customer</w:t>
            </w:r>
          </w:p>
        </w:tc>
      </w:tr>
      <w:tr>
        <w:tc>
          <w:tcPr>
            <w:tcW w:type="dxa" w:w="20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CWC / Jal Shakti</w:t>
            </w:r>
          </w:p>
        </w:tc>
        <w:tc>
          <w:tcPr>
            <w:tcW w:type="dxa" w:w="33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River levels and flood forecasts (India-WRIS)</w:t>
            </w:r>
          </w:p>
        </w:tc>
        <w:tc>
          <w:tcPr>
            <w:tcW w:type="dxa" w:w="36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Wider use of their network; shared analytics</w:t>
            </w:r>
          </w:p>
        </w:tc>
      </w:tr>
      <w:tr>
        <w:tc>
          <w:tcPr>
            <w:tcW w:type="dxa" w:w="20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NDMA / Finance Ministry</w:t>
            </w:r>
          </w:p>
        </w:tc>
        <w:tc>
          <w:tcPr>
            <w:tcW w:type="dxa" w:w="33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The national scheme; premium-funding rules</w:t>
            </w:r>
          </w:p>
        </w:tc>
        <w:tc>
          <w:tcPr>
            <w:tcW w:type="dxa" w:w="36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A ready, proven model to plug into the national plan</w:t>
            </w:r>
          </w:p>
        </w:tc>
      </w:tr>
      <w:tr>
        <w:tc>
          <w:tcPr>
            <w:tcW w:type="dxa" w:w="20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GIC Re + global reinsurers (Munich Re, Swiss Re)</w:t>
            </w:r>
          </w:p>
        </w:tc>
        <w:tc>
          <w:tcPr>
            <w:tcW w:type="dxa" w:w="33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Reinsurance capacity to carry the big tail risk</w:t>
            </w:r>
          </w:p>
        </w:tc>
        <w:tc>
          <w:tcPr>
            <w:tcW w:type="dxa" w:w="36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Profitable, well-modelled cat business in a growth market</w:t>
            </w:r>
          </w:p>
        </w:tc>
      </w:tr>
      <w:tr>
        <w:tc>
          <w:tcPr>
            <w:tcW w:type="dxa" w:w="20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Banks, agents, self-help groups</w:t>
            </w:r>
          </w:p>
        </w:tc>
        <w:tc>
          <w:tcPr>
            <w:tcW w:type="dxa" w:w="33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Trust and last-mile distribution for top-ups</w:t>
            </w:r>
          </w:p>
        </w:tc>
        <w:tc>
          <w:tcPr>
            <w:tcW w:type="dxa" w:w="36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Fee income; a simple product people understand</w:t>
            </w:r>
          </w:p>
        </w:tc>
      </w:tr>
    </w:tbl>
    <w:p>
      <w:pPr>
        <w:spacing w:after="60"/>
      </w:pPr>
    </w:p>
    <w:p>
      <w:pPr>
        <w:spacing w:after="130" w:line="276"/>
        <w:jc w:val="both"/>
      </w:pPr>
      <w:r>
        <w:rPr>
          <w:b/>
          <w:bCs/>
          <w:color w:val="222222"/>
          <w:sz w:val="21"/>
          <w:szCs w:val="21"/>
        </w:rPr>
        <w:t xml:space="preserve">Order of approach:</w:t>
      </w:r>
      <w:r>
        <w:rPr>
          <w:color w:val="222222"/>
          <w:sz w:val="21"/>
          <w:szCs w:val="21"/>
        </w:rPr>
        <w:t xml:space="preserve"> (1) sign one </w:t>
      </w:r>
      <w:r>
        <w:rPr>
          <w:b/>
          <w:bCs/>
          <w:color w:val="222222"/>
          <w:sz w:val="21"/>
          <w:szCs w:val="21"/>
        </w:rPr>
        <w:t xml:space="preserve">state disaster authority</w:t>
      </w:r>
      <w:r>
        <w:rPr>
          <w:color w:val="222222"/>
          <w:sz w:val="21"/>
          <w:szCs w:val="21"/>
        </w:rPr>
        <w:t xml:space="preserve"> as anchor buyer; (2) lock the </w:t>
      </w:r>
      <w:r>
        <w:rPr>
          <w:b/>
          <w:bCs/>
          <w:color w:val="222222"/>
          <w:sz w:val="21"/>
          <w:szCs w:val="21"/>
        </w:rPr>
        <w:t xml:space="preserve">data deals</w:t>
      </w:r>
      <w:r>
        <w:rPr>
          <w:color w:val="222222"/>
          <w:sz w:val="21"/>
          <w:szCs w:val="21"/>
        </w:rPr>
        <w:t xml:space="preserve"> with NRSC, IMD and CWC; (3) place </w:t>
      </w:r>
      <w:r>
        <w:rPr>
          <w:b/>
          <w:bCs/>
          <w:color w:val="222222"/>
          <w:sz w:val="21"/>
          <w:szCs w:val="21"/>
        </w:rPr>
        <w:t xml:space="preserve">reinsurance</w:t>
      </w:r>
      <w:r>
        <w:rPr>
          <w:color w:val="222222"/>
          <w:sz w:val="21"/>
          <w:szCs w:val="21"/>
        </w:rPr>
        <w:t xml:space="preserve"> with GIC Re and a global lead; (4) wire in </w:t>
      </w:r>
      <w:r>
        <w:rPr>
          <w:b/>
          <w:bCs/>
          <w:color w:val="222222"/>
          <w:sz w:val="21"/>
          <w:szCs w:val="21"/>
        </w:rPr>
        <w:t xml:space="preserve">payout rails</w:t>
      </w:r>
      <w:r>
        <w:rPr>
          <w:color w:val="222222"/>
          <w:sz w:val="21"/>
          <w:szCs w:val="21"/>
        </w:rPr>
        <w:t xml:space="preserve">; (5) engage </w:t>
      </w:r>
      <w:r>
        <w:rPr>
          <w:b/>
          <w:bCs/>
          <w:color w:val="222222"/>
          <w:sz w:val="21"/>
          <w:szCs w:val="21"/>
        </w:rPr>
        <w:t xml:space="preserve">NDMA and the Finance Commission</w:t>
      </w:r>
      <w:r>
        <w:rPr>
          <w:color w:val="222222"/>
          <w:sz w:val="21"/>
          <w:szCs w:val="21"/>
        </w:rPr>
        <w:t xml:space="preserve"> to fix premium funding and shape the national scheme.</w:t>
      </w:r>
    </w:p>
    <w:p>
      <w:r>
        <w:br w:type="page"/>
      </w:r>
    </w:p>
    <w:p>
      <w:pPr>
        <w:pStyle w:val="Heading1"/>
        <w:spacing w:after="140" w:before="320"/>
      </w:pPr>
      <w:r>
        <w:rPr>
          <w:b/>
          <w:bCs/>
          <w:color w:val="1F3864"/>
          <w:sz w:val="30"/>
          <w:szCs w:val="30"/>
        </w:rPr>
        <w:t xml:space="preserve">9. The Best Place to Start — Glacial-Lake Floods</w:t>
      </w:r>
    </w:p>
    <w:p>
      <w:pPr>
        <w:spacing w:after="130" w:line="276"/>
        <w:jc w:val="both"/>
      </w:pPr>
      <w:r>
        <w:rPr>
          <w:color w:val="222222"/>
          <w:sz w:val="21"/>
          <w:szCs w:val="21"/>
        </w:rPr>
        <w:t xml:space="preserve">General river flooding is crowded and already well forecast. </w:t>
      </w:r>
      <w:r>
        <w:rPr>
          <w:b/>
          <w:bCs/>
          <w:color w:val="222222"/>
          <w:sz w:val="21"/>
          <w:szCs w:val="21"/>
        </w:rPr>
        <w:t xml:space="preserve">Glacial-lake outburst floods (GLOFs) are the opposite: rare, severe, and under-served — with excellent Indian hazard data.</w:t>
      </w:r>
      <w:r>
        <w:rPr>
          <w:color w:val="222222"/>
          <w:sz w:val="21"/>
          <w:szCs w:val="21"/>
        </w:rPr>
        <w:t xml:space="preserve"> That makes them the sharpest, most defensible pilot.</w:t>
      </w:r>
    </w:p>
    <w:tbl>
      <w:tblPr>
        <w:tblW w:type="dxa" w:w="9026"/>
        <w:tblBorders>
          <w:top w:val="single" w:color="AAAAAA" w:sz="2"/>
          <w:left w:val="single" w:color="AAAAAA" w:sz="2"/>
          <w:bottom w:val="single" w:color="AAAAAA" w:sz="2"/>
          <w:right w:val="single" w:color="AAAAAA" w:sz="2"/>
          <w:insideH w:val="single" w:color="CCCCCC" w:sz="1"/>
          <w:insideV w:val="single" w:color="CCCCCC" w:sz="1"/>
        </w:tblBorders>
      </w:tblPr>
      <w:tblGrid>
        <w:gridCol w:w="2450"/>
        <w:gridCol w:w="4150"/>
        <w:gridCol w:w="2426"/>
      </w:tblGrid>
      <w:tr>
        <w:trPr>
          <w:tblHeader/>
        </w:trPr>
        <w:tc>
          <w:tcPr>
            <w:tcW w:type="dxa" w:w="2450"/>
            <w:shd w:fill="1F3864" w:color="auto" w:val="clear"/>
            <w:tcMar>
              <w:top w:type="dxa" w:w="60"/>
              <w:left w:type="dxa" w:w="90"/>
              <w:bottom w:type="dxa" w:w="60"/>
              <w:right w:type="dxa" w:w="90"/>
            </w:tcMar>
          </w:tcPr>
          <w:p>
            <w:pPr>
              <w:spacing w:after="0" w:line="250"/>
              <w:jc w:val="left"/>
            </w:pPr>
            <w:r>
              <w:rPr>
                <w:b/>
                <w:bCs/>
                <w:color w:val="FFFFFF"/>
                <w:sz w:val="18"/>
                <w:szCs w:val="18"/>
              </w:rPr>
              <w:t xml:space="preserve">Why GLOF works as a pilot</w:t>
            </w:r>
          </w:p>
        </w:tc>
        <w:tc>
          <w:tcPr>
            <w:tcW w:type="dxa" w:w="4150"/>
            <w:shd w:fill="1F3864" w:color="auto" w:val="clear"/>
            <w:tcMar>
              <w:top w:type="dxa" w:w="60"/>
              <w:left w:type="dxa" w:w="90"/>
              <w:bottom w:type="dxa" w:w="60"/>
              <w:right w:type="dxa" w:w="90"/>
            </w:tcMar>
          </w:tcPr>
          <w:p>
            <w:pPr>
              <w:spacing w:after="0" w:line="250"/>
              <w:jc w:val="left"/>
            </w:pPr>
            <w:r>
              <w:rPr>
                <w:b/>
                <w:bCs/>
                <w:color w:val="FFFFFF"/>
                <w:sz w:val="18"/>
                <w:szCs w:val="18"/>
              </w:rPr>
              <w:t xml:space="preserve">The data / fact</w:t>
            </w:r>
          </w:p>
        </w:tc>
        <w:tc>
          <w:tcPr>
            <w:tcW w:type="dxa" w:w="2426"/>
            <w:shd w:fill="1F3864" w:color="auto" w:val="clear"/>
            <w:tcMar>
              <w:top w:type="dxa" w:w="60"/>
              <w:left w:type="dxa" w:w="90"/>
              <w:bottom w:type="dxa" w:w="60"/>
              <w:right w:type="dxa" w:w="90"/>
            </w:tcMar>
          </w:tcPr>
          <w:p>
            <w:pPr>
              <w:spacing w:after="0" w:line="250"/>
              <w:jc w:val="left"/>
            </w:pPr>
            <w:r>
              <w:rPr>
                <w:b/>
                <w:bCs/>
                <w:color w:val="FFFFFF"/>
                <w:sz w:val="18"/>
                <w:szCs w:val="18"/>
              </w:rPr>
              <w:t xml:space="preserve">Source</w:t>
            </w:r>
          </w:p>
        </w:tc>
      </w:tr>
      <w:tr>
        <w:tc>
          <w:tcPr>
            <w:tcW w:type="dxa" w:w="24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Authoritative hazard data exists</w:t>
            </w:r>
          </w:p>
        </w:tc>
        <w:tc>
          <w:tcPr>
            <w:tcW w:type="dxa" w:w="41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ISRO/NRSC inventory of 28,043 glacial lakes; NDMA list of 189 high-risk lakes</w:t>
            </w:r>
          </w:p>
        </w:tc>
        <w:tc>
          <w:tcPr>
            <w:tcW w:type="dxa" w:w="24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ISRO/NRSC; NDMA</w:t>
            </w:r>
          </w:p>
        </w:tc>
      </w:tr>
      <w:tr>
        <w:tc>
          <w:tcPr>
            <w:tcW w:type="dxa" w:w="24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The risk is rising and measured</w:t>
            </w:r>
          </w:p>
        </w:tc>
        <w:tc>
          <w:tcPr>
            <w:tcW w:type="dxa" w:w="41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676 of 2,431 Himalayan lakes (&gt;10 ha) have grown since 1984; 58 in the Brahmaputra basin</w:t>
            </w:r>
          </w:p>
        </w:tc>
        <w:tc>
          <w:tcPr>
            <w:tcW w:type="dxa" w:w="24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ISRO, April 2024</w:t>
            </w:r>
          </w:p>
        </w:tc>
      </w:tr>
      <w:tr>
        <w:tc>
          <w:tcPr>
            <w:tcW w:type="dxa" w:w="24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A clear, recent trigger event</w:t>
            </w:r>
          </w:p>
        </w:tc>
        <w:tc>
          <w:tcPr>
            <w:tcW w:type="dxa" w:w="41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South Lhonak GLOF (Oct 2023) destroyed Teesta III (1,200 MW); 40+ killed on the Teesta</w:t>
            </w:r>
          </w:p>
        </w:tc>
        <w:tc>
          <w:tcPr>
            <w:tcW w:type="dxa" w:w="24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Science, 2025</w:t>
            </w:r>
          </w:p>
        </w:tc>
      </w:tr>
      <w:tr>
        <w:tc>
          <w:tcPr>
            <w:tcW w:type="dxa" w:w="24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Monitoring already underway</w:t>
            </w:r>
          </w:p>
        </w:tc>
        <w:tc>
          <w:tcPr>
            <w:tcW w:type="dxa" w:w="41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Sikkim expedition stabilised South Lhonak; early-warning systems being installed (20 done, 40 planned)</w:t>
            </w:r>
          </w:p>
        </w:tc>
        <w:tc>
          <w:tcPr>
            <w:tcW w:type="dxa" w:w="24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NDMA / Sikkim, 2024–25</w:t>
            </w:r>
          </w:p>
        </w:tc>
      </w:tr>
      <w:tr>
        <w:tc>
          <w:tcPr>
            <w:tcW w:type="dxa" w:w="24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A willing anchor buyer</w:t>
            </w:r>
          </w:p>
        </w:tc>
        <w:tc>
          <w:tcPr>
            <w:tcW w:type="dxa" w:w="41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Sikkim &amp; Arunachal disaster authorities, post-Teesta</w:t>
            </w:r>
          </w:p>
        </w:tc>
        <w:tc>
          <w:tcPr>
            <w:tcW w:type="dxa" w:w="24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State SDMAs</w:t>
            </w:r>
          </w:p>
        </w:tc>
      </w:tr>
    </w:tbl>
    <w:p>
      <w:pPr>
        <w:spacing w:after="60"/>
      </w:pPr>
    </w:p>
    <w:p>
      <w:pPr>
        <w:spacing w:after="130" w:line="276"/>
        <w:jc w:val="both"/>
      </w:pPr>
      <w:r>
        <w:rPr>
          <w:color w:val="222222"/>
          <w:sz w:val="21"/>
          <w:szCs w:val="21"/>
        </w:rPr>
        <w:t xml:space="preserve">A </w:t>
      </w:r>
      <w:r>
        <w:rPr>
          <w:b/>
          <w:bCs/>
          <w:color w:val="222222"/>
          <w:sz w:val="21"/>
          <w:szCs w:val="21"/>
        </w:rPr>
        <w:t xml:space="preserve">GLOF / Teesta-valley parametric product</w:t>
      </w:r>
      <w:r>
        <w:rPr>
          <w:color w:val="222222"/>
          <w:sz w:val="21"/>
          <w:szCs w:val="21"/>
        </w:rPr>
        <w:t xml:space="preserve"> — paying set amounts to affected households, small businesses and the state when a lake bursts or a river-level trigger is crossed — is high-visibility, well-supported by data, and exactly the space where “the warning and the insurance are both still missing.” It is the wedge that opens the wider Northeast market.</w:t>
      </w:r>
    </w:p>
    <w:p>
      <w:pPr>
        <w:pStyle w:val="Heading1"/>
        <w:spacing w:after="140" w:before="320"/>
      </w:pPr>
      <w:r>
        <w:rPr>
          <w:b/>
          <w:bCs/>
          <w:color w:val="1F3864"/>
          <w:sz w:val="30"/>
          <w:szCs w:val="30"/>
        </w:rPr>
        <w:t xml:space="preserve">10. Business Case &amp; Economics</w:t>
      </w:r>
    </w:p>
    <w:p>
      <w:pPr>
        <w:pStyle w:val="Heading2"/>
        <w:spacing w:after="90" w:before="220"/>
      </w:pPr>
      <w:r>
        <w:rPr>
          <w:b/>
          <w:bCs/>
          <w:color w:val="2E5496"/>
          <w:sz w:val="25"/>
          <w:szCs w:val="25"/>
        </w:rPr>
        <w:t xml:space="preserve">10.1 Why Bajaj is well placed</w:t>
      </w:r>
    </w:p>
    <w:p>
      <w:pPr>
        <w:spacing w:after="130" w:line="276"/>
        <w:jc w:val="both"/>
      </w:pPr>
      <w:r>
        <w:rPr>
          <w:color w:val="222222"/>
          <w:sz w:val="21"/>
          <w:szCs w:val="21"/>
        </w:rPr>
        <w:t xml:space="preserve">Bajaj already has the building blocks. It </w:t>
      </w:r>
      <w:r>
        <w:rPr>
          <w:b/>
          <w:bCs/>
          <w:color w:val="222222"/>
          <w:sz w:val="21"/>
          <w:szCs w:val="21"/>
        </w:rPr>
        <w:t xml:space="preserve">launched a parametric product, “ClimateSafe,” in April 2025</w:t>
      </w:r>
      <w:r>
        <w:rPr>
          <w:color w:val="222222"/>
          <w:sz w:val="21"/>
          <w:szCs w:val="21"/>
        </w:rPr>
        <w:t xml:space="preserve">, and it runs </w:t>
      </w:r>
      <w:r>
        <w:rPr>
          <w:b/>
          <w:bCs/>
          <w:color w:val="222222"/>
          <w:sz w:val="21"/>
          <w:szCs w:val="21"/>
        </w:rPr>
        <w:t xml:space="preserve">weather-based crop insurance</w:t>
      </w:r>
      <w:r>
        <w:rPr>
          <w:color w:val="222222"/>
          <w:sz w:val="21"/>
          <w:szCs w:val="21"/>
        </w:rPr>
        <w:t xml:space="preserve"> with reference weather stations and trigger-based payouts — the same machinery SETU needs. And after </w:t>
      </w:r>
      <w:r>
        <w:rPr>
          <w:b/>
          <w:bCs/>
          <w:color w:val="222222"/>
          <w:sz w:val="21"/>
          <w:szCs w:val="21"/>
        </w:rPr>
        <w:t xml:space="preserve">Allianz’s exit (completing through 2026), the general insurer is becoming wholly Bajaj-owned</w:t>
      </w:r>
      <w:r>
        <w:rPr>
          <w:color w:val="222222"/>
          <w:sz w:val="21"/>
          <w:szCs w:val="21"/>
        </w:rPr>
        <w:t xml:space="preserve">, giving full control to back a venture like this. The competitive point is simple: </w:t>
      </w:r>
      <w:r>
        <w:rPr>
          <w:b/>
          <w:bCs/>
          <w:color w:val="222222"/>
          <w:sz w:val="21"/>
          <w:szCs w:val="21"/>
        </w:rPr>
        <w:t xml:space="preserve">SBI General got to parametric disaster cover first, in Nagaland. SETU is how Bajaj leapfrogs it</w:t>
      </w:r>
      <w:r>
        <w:rPr>
          <w:color w:val="222222"/>
          <w:sz w:val="21"/>
          <w:szCs w:val="21"/>
        </w:rPr>
        <w:t xml:space="preserve"> with lower basis risk and a full risk-to-payout chain.</w:t>
      </w:r>
    </w:p>
    <w:p>
      <w:pPr>
        <w:pStyle w:val="Heading2"/>
        <w:spacing w:after="90" w:before="220"/>
      </w:pPr>
      <w:r>
        <w:rPr>
          <w:b/>
          <w:bCs/>
          <w:color w:val="2E5496"/>
          <w:sz w:val="25"/>
          <w:szCs w:val="25"/>
        </w:rPr>
        <w:t xml:space="preserve">10.2 Where the money comes from</w:t>
      </w:r>
    </w:p>
    <w:p>
      <w:pPr>
        <w:pStyle w:val="ListParagraph"/>
        <w:numPr>
          <w:ilvl w:val="0"/>
          <w:numId w:val="2"/>
        </w:numPr>
        <w:spacing w:after="70" w:line="272"/>
        <w:jc w:val="both"/>
      </w:pPr>
      <w:r>
        <w:rPr>
          <w:b/>
          <w:bCs/>
          <w:color w:val="222222"/>
          <w:sz w:val="21"/>
          <w:szCs w:val="21"/>
        </w:rPr>
        <w:t xml:space="preserve">Premiums</w:t>
      </w:r>
      <w:r>
        <w:rPr>
          <w:color w:val="222222"/>
          <w:sz w:val="21"/>
          <w:szCs w:val="21"/>
        </w:rPr>
        <w:t xml:space="preserve">, paid mainly by state governments so whole districts are covered, with small household and small-business top-ups.</w:t>
      </w:r>
    </w:p>
    <w:p>
      <w:pPr>
        <w:pStyle w:val="ListParagraph"/>
        <w:numPr>
          <w:ilvl w:val="0"/>
          <w:numId w:val="2"/>
        </w:numPr>
        <w:spacing w:after="70" w:line="272"/>
        <w:jc w:val="both"/>
      </w:pPr>
      <w:r>
        <w:rPr>
          <w:b/>
          <w:bCs/>
          <w:color w:val="222222"/>
          <w:sz w:val="21"/>
          <w:szCs w:val="21"/>
        </w:rPr>
        <w:t xml:space="preserve">Underwriting margin</w:t>
      </w:r>
      <w:r>
        <w:rPr>
          <w:color w:val="222222"/>
          <w:sz w:val="21"/>
          <w:szCs w:val="21"/>
        </w:rPr>
        <w:t xml:space="preserve">, protected by reinsurance (GIC Re plus a global lead) that carries the big, rare tail losses.</w:t>
      </w:r>
    </w:p>
    <w:p>
      <w:pPr>
        <w:pStyle w:val="ListParagraph"/>
        <w:numPr>
          <w:ilvl w:val="0"/>
          <w:numId w:val="2"/>
        </w:numPr>
        <w:spacing w:after="70" w:line="272"/>
        <w:jc w:val="both"/>
      </w:pPr>
      <w:r>
        <w:rPr>
          <w:b/>
          <w:bCs/>
          <w:color w:val="222222"/>
          <w:sz w:val="21"/>
          <w:szCs w:val="21"/>
        </w:rPr>
        <w:t xml:space="preserve">Risk-analytics fees</w:t>
      </w:r>
      <w:r>
        <w:rPr>
          <w:color w:val="222222"/>
          <w:sz w:val="21"/>
          <w:szCs w:val="21"/>
        </w:rPr>
        <w:t xml:space="preserve">, selling the risk maps and scores to governments, banks and other insurers.</w:t>
      </w:r>
    </w:p>
    <w:p>
      <w:pPr>
        <w:pStyle w:val="ListParagraph"/>
        <w:numPr>
          <w:ilvl w:val="0"/>
          <w:numId w:val="2"/>
        </w:numPr>
        <w:spacing w:after="70" w:line="272"/>
        <w:jc w:val="both"/>
      </w:pPr>
      <w:r>
        <w:rPr>
          <w:b/>
          <w:bCs/>
          <w:color w:val="222222"/>
          <w:sz w:val="21"/>
          <w:szCs w:val="21"/>
        </w:rPr>
        <w:t xml:space="preserve">Distribution fees</w:t>
      </w:r>
      <w:r>
        <w:rPr>
          <w:color w:val="222222"/>
          <w:sz w:val="21"/>
          <w:szCs w:val="21"/>
        </w:rPr>
        <w:t xml:space="preserve"> from top-up sales through banks and local networks.</w:t>
      </w:r>
    </w:p>
    <w:p>
      <w:pPr>
        <w:pStyle w:val="Heading2"/>
        <w:spacing w:after="90" w:before="220"/>
      </w:pPr>
      <w:r>
        <w:rPr>
          <w:b/>
          <w:bCs/>
          <w:color w:val="2E5496"/>
          <w:sz w:val="25"/>
          <w:szCs w:val="25"/>
        </w:rPr>
        <w:t xml:space="preserve">10.3 The honest economics</w:t>
      </w:r>
    </w:p>
    <w:p>
      <w:pPr>
        <w:spacing w:after="130" w:line="276"/>
        <w:jc w:val="both"/>
      </w:pPr>
      <w:r>
        <w:rPr>
          <w:color w:val="222222"/>
          <w:sz w:val="21"/>
          <w:szCs w:val="21"/>
        </w:rPr>
        <w:t xml:space="preserve">Margins on small policies are thin, so </w:t>
      </w:r>
      <w:r>
        <w:rPr>
          <w:b/>
          <w:bCs/>
          <w:color w:val="222222"/>
          <w:sz w:val="21"/>
          <w:szCs w:val="21"/>
        </w:rPr>
        <w:t xml:space="preserve">premiums usually need subsidy</w:t>
      </w:r>
      <w:r>
        <w:rPr>
          <w:color w:val="222222"/>
          <w:sz w:val="21"/>
          <w:szCs w:val="21"/>
        </w:rPr>
        <w:t xml:space="preserve"> — from states, central mitigation grants, or development funds (Nagaland used one). The saving is real, though: automatic payouts cost far less to run than surveyed claims, and every rupee of cover is a rupee of sudden relief spending the state does not have to find after a disaster. Because India’s general insurers have been running high combined ratios, </w:t>
      </w:r>
      <w:r>
        <w:rPr>
          <w:b/>
          <w:bCs/>
          <w:color w:val="222222"/>
          <w:sz w:val="21"/>
          <w:szCs w:val="21"/>
        </w:rPr>
        <w:t xml:space="preserve">price the cat risk with discipline and a clear uncertainty loading</w:t>
      </w:r>
      <w:r>
        <w:rPr>
          <w:color w:val="222222"/>
          <w:sz w:val="21"/>
          <w:szCs w:val="21"/>
        </w:rPr>
        <w:t xml:space="preserve"> — do not chase volume at a loss.</w:t>
      </w:r>
    </w:p>
    <w:p>
      <w:pPr>
        <w:pStyle w:val="Heading1"/>
        <w:spacing w:after="140" w:before="320"/>
      </w:pPr>
      <w:r>
        <w:rPr>
          <w:b/>
          <w:bCs/>
          <w:color w:val="1F3864"/>
          <w:sz w:val="30"/>
          <w:szCs w:val="30"/>
        </w:rPr>
        <w:t xml:space="preserve">11. Getting Money to People Fast</w:t>
      </w:r>
    </w:p>
    <w:p>
      <w:pPr>
        <w:spacing w:after="130" w:line="276"/>
        <w:jc w:val="both"/>
      </w:pPr>
      <w:r>
        <w:rPr>
          <w:color w:val="222222"/>
          <w:sz w:val="21"/>
          <w:szCs w:val="21"/>
        </w:rPr>
        <w:t xml:space="preserve">Speed is the whole promise of parametric cover, so the payout rails matter as much as the risk model. Nagaland showed it can be done: its payout went straight to beneficiaries through the state’s </w:t>
      </w:r>
      <w:r>
        <w:rPr>
          <w:b/>
          <w:bCs/>
          <w:color w:val="222222"/>
          <w:sz w:val="21"/>
          <w:szCs w:val="21"/>
        </w:rPr>
        <w:t xml:space="preserve">Decentralized Relief Payment System</w:t>
      </w:r>
      <w:r>
        <w:rPr>
          <w:color w:val="222222"/>
          <w:sz w:val="21"/>
          <w:szCs w:val="21"/>
        </w:rPr>
        <w:t xml:space="preserve">, digitally, with no field visit. SETU uses the same national plumbing — </w:t>
      </w:r>
      <w:r>
        <w:rPr>
          <w:b/>
          <w:bCs/>
          <w:color w:val="222222"/>
          <w:sz w:val="21"/>
          <w:szCs w:val="21"/>
        </w:rPr>
        <w:t xml:space="preserve">UPI/NPCI, Aadhaar-linked direct transfer (DBT), and Jan Dhan accounts</w:t>
      </w:r>
      <w:r>
        <w:rPr>
          <w:color w:val="222222"/>
          <w:sz w:val="21"/>
          <w:szCs w:val="21"/>
        </w:rPr>
        <w:t xml:space="preserve"> — so a verified trigger turns into money in bank accounts within days. This is also what makes small policies workable, because there is almost no cost per claim.</w:t>
      </w:r>
    </w:p>
    <w:p>
      <w:r>
        <w:br w:type="page"/>
      </w:r>
    </w:p>
    <w:p>
      <w:pPr>
        <w:pStyle w:val="Heading1"/>
        <w:spacing w:after="140" w:before="320"/>
      </w:pPr>
      <w:r>
        <w:rPr>
          <w:b/>
          <w:bCs/>
          <w:color w:val="1F3864"/>
          <w:sz w:val="30"/>
          <w:szCs w:val="30"/>
        </w:rPr>
        <w:t xml:space="preserve">12. The Journey — Three Stages</w:t>
      </w:r>
    </w:p>
    <w:tbl>
      <w:tblPr>
        <w:tblW w:type="dxa" w:w="9026"/>
        <w:tblBorders>
          <w:top w:val="single" w:color="AAAAAA" w:sz="2"/>
          <w:left w:val="single" w:color="AAAAAA" w:sz="2"/>
          <w:bottom w:val="single" w:color="AAAAAA" w:sz="2"/>
          <w:right w:val="single" w:color="AAAAAA" w:sz="2"/>
          <w:insideH w:val="single" w:color="CCCCCC" w:sz="1"/>
          <w:insideV w:val="single" w:color="CCCCCC" w:sz="1"/>
        </w:tblBorders>
      </w:tblPr>
      <w:tblGrid>
        <w:gridCol w:w="1250"/>
        <w:gridCol w:w="1700"/>
        <w:gridCol w:w="3800"/>
        <w:gridCol w:w="2276"/>
      </w:tblGrid>
      <w:tr>
        <w:trPr>
          <w:tblHeader/>
        </w:trPr>
        <w:tc>
          <w:tcPr>
            <w:tcW w:type="dxa" w:w="1250"/>
            <w:shd w:fill="1F3864" w:color="auto" w:val="clear"/>
            <w:tcMar>
              <w:top w:type="dxa" w:w="60"/>
              <w:left w:type="dxa" w:w="90"/>
              <w:bottom w:type="dxa" w:w="60"/>
              <w:right w:type="dxa" w:w="90"/>
            </w:tcMar>
          </w:tcPr>
          <w:p>
            <w:pPr>
              <w:spacing w:after="0" w:line="250"/>
              <w:jc w:val="left"/>
            </w:pPr>
            <w:r>
              <w:rPr>
                <w:b/>
                <w:bCs/>
                <w:color w:val="FFFFFF"/>
                <w:sz w:val="18"/>
                <w:szCs w:val="18"/>
              </w:rPr>
              <w:t xml:space="preserve">Stage</w:t>
            </w:r>
          </w:p>
        </w:tc>
        <w:tc>
          <w:tcPr>
            <w:tcW w:type="dxa" w:w="1700"/>
            <w:shd w:fill="1F3864" w:color="auto" w:val="clear"/>
            <w:tcMar>
              <w:top w:type="dxa" w:w="60"/>
              <w:left w:type="dxa" w:w="90"/>
              <w:bottom w:type="dxa" w:w="60"/>
              <w:right w:type="dxa" w:w="90"/>
            </w:tcMar>
          </w:tcPr>
          <w:p>
            <w:pPr>
              <w:spacing w:after="0" w:line="250"/>
              <w:jc w:val="left"/>
            </w:pPr>
            <w:r>
              <w:rPr>
                <w:b/>
                <w:bCs/>
                <w:color w:val="FFFFFF"/>
                <w:sz w:val="18"/>
                <w:szCs w:val="18"/>
              </w:rPr>
              <w:t xml:space="preserve">Focus</w:t>
            </w:r>
          </w:p>
        </w:tc>
        <w:tc>
          <w:tcPr>
            <w:tcW w:type="dxa" w:w="3800"/>
            <w:shd w:fill="1F3864" w:color="auto" w:val="clear"/>
            <w:tcMar>
              <w:top w:type="dxa" w:w="60"/>
              <w:left w:type="dxa" w:w="90"/>
              <w:bottom w:type="dxa" w:w="60"/>
              <w:right w:type="dxa" w:w="90"/>
            </w:tcMar>
          </w:tcPr>
          <w:p>
            <w:pPr>
              <w:spacing w:after="0" w:line="250"/>
              <w:jc w:val="left"/>
            </w:pPr>
            <w:r>
              <w:rPr>
                <w:b/>
                <w:bCs/>
                <w:color w:val="FFFFFF"/>
                <w:sz w:val="18"/>
                <w:szCs w:val="18"/>
              </w:rPr>
              <w:t xml:space="preserve">Key actions</w:t>
            </w:r>
          </w:p>
        </w:tc>
        <w:tc>
          <w:tcPr>
            <w:tcW w:type="dxa" w:w="2276"/>
            <w:shd w:fill="1F3864" w:color="auto" w:val="clear"/>
            <w:tcMar>
              <w:top w:type="dxa" w:w="60"/>
              <w:left w:type="dxa" w:w="90"/>
              <w:bottom w:type="dxa" w:w="60"/>
              <w:right w:type="dxa" w:w="90"/>
            </w:tcMar>
          </w:tcPr>
          <w:p>
            <w:pPr>
              <w:spacing w:after="0" w:line="250"/>
              <w:jc w:val="left"/>
            </w:pPr>
            <w:r>
              <w:rPr>
                <w:b/>
                <w:bCs/>
                <w:color w:val="FFFFFF"/>
                <w:sz w:val="18"/>
                <w:szCs w:val="18"/>
              </w:rPr>
              <w:t xml:space="preserve">Gate to pass</w:t>
            </w:r>
          </w:p>
        </w:tc>
      </w:tr>
      <w:tr>
        <w:tc>
          <w:tcPr>
            <w:tcW w:type="dxa" w:w="12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1 (0–6 mo)</w:t>
            </w:r>
          </w:p>
        </w:tc>
        <w:tc>
          <w:tcPr>
            <w:tcW w:type="dxa" w:w="17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GLOF pilot with Sikkim</w:t>
            </w:r>
          </w:p>
        </w:tc>
        <w:tc>
          <w:tcPr>
            <w:tcW w:type="dxa" w:w="38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Sign a state SDMA; data MoUs with NRSC, IMD, CWC; join Google Flood API waitlist; place reinsurance; design multi-trigger GLOF/Teesta product (use-and-file or sandbox)</w:t>
            </w:r>
          </w:p>
        </w:tc>
        <w:tc>
          <w:tcPr>
            <w:tcW w:type="dxa" w:w="227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Signed SDMA MoU + reinsurance term sheet + trigger checked against a past event</w:t>
            </w:r>
          </w:p>
        </w:tc>
      </w:tr>
      <w:tr>
        <w:tc>
          <w:tcPr>
            <w:tcW w:type="dxa" w:w="12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2 (6–18 mo)</w:t>
            </w:r>
          </w:p>
        </w:tc>
        <w:tc>
          <w:tcPr>
            <w:tcW w:type="dxa" w:w="17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Assam rainfall-index flood product</w:t>
            </w:r>
          </w:p>
        </w:tc>
        <w:tc>
          <w:tcPr>
            <w:tcW w:type="dxa" w:w="38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Licence a cat model (RMSI / Moody’s RMS); IMD rainfall trigger; Sentinel-1 event checks; sign Assam (ASDMA) as anchor buyer</w:t>
            </w:r>
          </w:p>
        </w:tc>
        <w:tc>
          <w:tcPr>
            <w:tcW w:type="dxa" w:w="227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Model-validated pricing + a committed state premium-payer</w:t>
            </w:r>
          </w:p>
        </w:tc>
      </w:tr>
      <w:tr>
        <w:tc>
          <w:tcPr>
            <w:tcW w:type="dxa" w:w="12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3 (18–36 mo)</w:t>
            </w:r>
          </w:p>
        </w:tc>
        <w:tc>
          <w:tcPr>
            <w:tcW w:type="dxa" w:w="17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Scale + shape the national scheme</w:t>
            </w:r>
          </w:p>
        </w:tc>
        <w:tc>
          <w:tcPr>
            <w:tcW w:type="dxa" w:w="38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Extend to Arunachal, Manipur, Tripura, Meghalaya; wire UPI/DBT payouts; help design the national scheme and a risk pool; push premium-funding rules at the 16th Finance Commission</w:t>
            </w:r>
          </w:p>
        </w:tc>
        <w:tc>
          <w:tcPr>
            <w:tcW w:type="dxa" w:w="227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3+ states live + a clear state premium-funding mechanism</w:t>
            </w:r>
          </w:p>
        </w:tc>
      </w:tr>
    </w:tbl>
    <w:p>
      <w:pPr>
        <w:spacing w:after="60"/>
      </w:pPr>
    </w:p>
    <w:p>
      <w:pPr>
        <w:spacing w:after="130" w:line="276"/>
        <w:jc w:val="both"/>
      </w:pPr>
      <w:r>
        <w:rPr>
          <w:b/>
          <w:bCs/>
          <w:color w:val="222222"/>
          <w:sz w:val="21"/>
          <w:szCs w:val="21"/>
        </w:rPr>
        <w:t xml:space="preserve">Stage 1 is the proof.</w:t>
      </w:r>
      <w:r>
        <w:rPr>
          <w:color w:val="222222"/>
          <w:sz w:val="21"/>
          <w:szCs w:val="21"/>
        </w:rPr>
        <w:t xml:space="preserve"> If a state will not anchor the premium and the data deals will not close, do not scale. The cheapest, most important work — one credible pilot with clean data and fair triggers — comes first.</w:t>
      </w:r>
    </w:p>
    <w:p>
      <w:pPr>
        <w:pStyle w:val="Heading1"/>
        <w:spacing w:after="140" w:before="320"/>
      </w:pPr>
      <w:r>
        <w:rPr>
          <w:b/>
          <w:bCs/>
          <w:color w:val="1F3864"/>
          <w:sz w:val="30"/>
          <w:szCs w:val="30"/>
        </w:rPr>
        <w:t xml:space="preserve">13. Risks &amp; How We Handle Them</w:t>
      </w:r>
    </w:p>
    <w:tbl>
      <w:tblPr>
        <w:tblW w:type="dxa" w:w="9026"/>
        <w:tblBorders>
          <w:top w:val="single" w:color="AAAAAA" w:sz="2"/>
          <w:left w:val="single" w:color="AAAAAA" w:sz="2"/>
          <w:bottom w:val="single" w:color="AAAAAA" w:sz="2"/>
          <w:right w:val="single" w:color="AAAAAA" w:sz="2"/>
          <w:insideH w:val="single" w:color="CCCCCC" w:sz="1"/>
          <w:insideV w:val="single" w:color="CCCCCC" w:sz="1"/>
        </w:tblBorders>
      </w:tblPr>
      <w:tblGrid>
        <w:gridCol w:w="2250"/>
        <w:gridCol w:w="1900"/>
        <w:gridCol w:w="4876"/>
      </w:tblGrid>
      <w:tr>
        <w:trPr>
          <w:tblHeader/>
        </w:trPr>
        <w:tc>
          <w:tcPr>
            <w:tcW w:type="dxa" w:w="2250"/>
            <w:shd w:fill="1F3864" w:color="auto" w:val="clear"/>
            <w:tcMar>
              <w:top w:type="dxa" w:w="60"/>
              <w:left w:type="dxa" w:w="90"/>
              <w:bottom w:type="dxa" w:w="60"/>
              <w:right w:type="dxa" w:w="90"/>
            </w:tcMar>
          </w:tcPr>
          <w:p>
            <w:pPr>
              <w:spacing w:after="0" w:line="250"/>
              <w:jc w:val="left"/>
            </w:pPr>
            <w:r>
              <w:rPr>
                <w:b/>
                <w:bCs/>
                <w:color w:val="FFFFFF"/>
                <w:sz w:val="18"/>
                <w:szCs w:val="18"/>
              </w:rPr>
              <w:t xml:space="preserve">Risk</w:t>
            </w:r>
          </w:p>
        </w:tc>
        <w:tc>
          <w:tcPr>
            <w:tcW w:type="dxa" w:w="1900"/>
            <w:shd w:fill="1F3864" w:color="auto" w:val="clear"/>
            <w:tcMar>
              <w:top w:type="dxa" w:w="60"/>
              <w:left w:type="dxa" w:w="90"/>
              <w:bottom w:type="dxa" w:w="60"/>
              <w:right w:type="dxa" w:w="90"/>
            </w:tcMar>
          </w:tcPr>
          <w:p>
            <w:pPr>
              <w:spacing w:after="0" w:line="250"/>
              <w:jc w:val="left"/>
            </w:pPr>
            <w:r>
              <w:rPr>
                <w:b/>
                <w:bCs/>
                <w:color w:val="FFFFFF"/>
                <w:sz w:val="18"/>
                <w:szCs w:val="18"/>
              </w:rPr>
              <w:t xml:space="preserve">Impact</w:t>
            </w:r>
          </w:p>
        </w:tc>
        <w:tc>
          <w:tcPr>
            <w:tcW w:type="dxa" w:w="4876"/>
            <w:shd w:fill="1F3864" w:color="auto" w:val="clear"/>
            <w:tcMar>
              <w:top w:type="dxa" w:w="60"/>
              <w:left w:type="dxa" w:w="90"/>
              <w:bottom w:type="dxa" w:w="60"/>
              <w:right w:type="dxa" w:w="90"/>
            </w:tcMar>
          </w:tcPr>
          <w:p>
            <w:pPr>
              <w:spacing w:after="0" w:line="250"/>
              <w:jc w:val="left"/>
            </w:pPr>
            <w:r>
              <w:rPr>
                <w:b/>
                <w:bCs/>
                <w:color w:val="FFFFFF"/>
                <w:sz w:val="18"/>
                <w:szCs w:val="18"/>
              </w:rPr>
              <w:t xml:space="preserve">How we handle it</w:t>
            </w:r>
          </w:p>
        </w:tc>
      </w:tr>
      <w:tr>
        <w:tc>
          <w:tcPr>
            <w:tcW w:type="dxa" w:w="22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Basis risk — a payout misses a real flood</w:t>
            </w:r>
          </w:p>
        </w:tc>
        <w:tc>
          <w:tcPr>
            <w:tcW w:type="dxa" w:w="19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Trust collapses (as in Nagaland 2021)</w:t>
            </w:r>
          </w:p>
        </w:tc>
        <w:tc>
          <w:tcPr>
            <w:tcW w:type="dxa" w:w="487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Several measured triggers together; satellite confirmation; test triggers on past events before launch</w:t>
            </w:r>
          </w:p>
        </w:tc>
      </w:tr>
      <w:tr>
        <w:tc>
          <w:tcPr>
            <w:tcW w:type="dxa" w:w="22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States can’t/won’t fund premiums</w:t>
            </w:r>
          </w:p>
        </w:tc>
        <w:tc>
          <w:tcPr>
            <w:tcW w:type="dxa" w:w="19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No scale beyond a pilot</w:t>
            </w:r>
          </w:p>
        </w:tc>
        <w:tc>
          <w:tcPr>
            <w:tcW w:type="dxa" w:w="487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Push premium-funding rules at the 16th Finance Commission; use subsidy and development funds meanwhile</w:t>
            </w:r>
          </w:p>
        </w:tc>
      </w:tr>
      <w:tr>
        <w:tc>
          <w:tcPr>
            <w:tcW w:type="dxa" w:w="22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Thin past-loss data → mispricing</w:t>
            </w:r>
          </w:p>
        </w:tc>
        <w:tc>
          <w:tcPr>
            <w:tcW w:type="dxa" w:w="19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Losses bigger than priced</w:t>
            </w:r>
          </w:p>
        </w:tc>
        <w:tc>
          <w:tcPr>
            <w:tcW w:type="dxa" w:w="487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Licence commercial cat models; price conservatively with an uncertainty loading</w:t>
            </w:r>
          </w:p>
        </w:tc>
      </w:tr>
      <w:tr>
        <w:tc>
          <w:tcPr>
            <w:tcW w:type="dxa" w:w="22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Better data makes risky places uninsurable</w:t>
            </w:r>
          </w:p>
        </w:tc>
        <w:tc>
          <w:tcPr>
            <w:tcW w:type="dxa" w:w="19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Cover shrinks where needed most</w:t>
            </w:r>
          </w:p>
        </w:tc>
        <w:tc>
          <w:tcPr>
            <w:tcW w:type="dxa" w:w="487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Pool and subsidise; do not price individuals out of the danger zone</w:t>
            </w:r>
          </w:p>
        </w:tc>
      </w:tr>
      <w:tr>
        <w:tc>
          <w:tcPr>
            <w:tcW w:type="dxa" w:w="22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Affordability &amp; trust</w:t>
            </w:r>
          </w:p>
        </w:tc>
        <w:tc>
          <w:tcPr>
            <w:tcW w:type="dxa" w:w="19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Low take-up</w:t>
            </w:r>
          </w:p>
        </w:tc>
        <w:tc>
          <w:tcPr>
            <w:tcW w:type="dxa" w:w="487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Government-paid base cover; sell through trusted local networks; pay fast to build belief</w:t>
            </w:r>
          </w:p>
        </w:tc>
      </w:tr>
      <w:tr>
        <w:tc>
          <w:tcPr>
            <w:tcW w:type="dxa" w:w="22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Data-access friction (NDEM, LiDAR, IMD fees)</w:t>
            </w:r>
          </w:p>
        </w:tc>
        <w:tc>
          <w:tcPr>
            <w:tcW w:type="dxa" w:w="19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Delays; extra cost</w:t>
            </w:r>
          </w:p>
        </w:tc>
        <w:tc>
          <w:tcPr>
            <w:tcW w:type="dxa" w:w="487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Route govt-gated data through the state anchor; budget IMD data costs; use free Sentinel-1</w:t>
            </w:r>
          </w:p>
        </w:tc>
      </w:tr>
      <w:tr>
        <w:tc>
          <w:tcPr>
            <w:tcW w:type="dxa" w:w="22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Remote, low-connectivity areas</w:t>
            </w:r>
          </w:p>
        </w:tc>
        <w:tc>
          <w:tcPr>
            <w:tcW w:type="dxa" w:w="19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Hard to reach and service</w:t>
            </w:r>
          </w:p>
        </w:tc>
        <w:tc>
          <w:tcPr>
            <w:tcW w:type="dxa" w:w="487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Simple local-language app; agent and self-help-group distribution; offline-friendly design</w:t>
            </w:r>
          </w:p>
        </w:tc>
      </w:tr>
    </w:tbl>
    <w:p>
      <w:pPr>
        <w:pStyle w:val="Heading1"/>
        <w:spacing w:after="140" w:before="320"/>
      </w:pPr>
      <w:r>
        <w:rPr>
          <w:b/>
          <w:bCs/>
          <w:color w:val="1F3864"/>
          <w:sz w:val="30"/>
          <w:szCs w:val="30"/>
        </w:rPr>
        <w:t xml:space="preserve">14. Success Metrics (KPIs)</w:t>
      </w:r>
    </w:p>
    <w:p>
      <w:pPr>
        <w:pStyle w:val="ListParagraph"/>
        <w:numPr>
          <w:ilvl w:val="0"/>
          <w:numId w:val="2"/>
        </w:numPr>
        <w:spacing w:after="70" w:line="272"/>
        <w:jc w:val="both"/>
      </w:pPr>
      <w:r>
        <w:rPr>
          <w:b/>
          <w:bCs/>
          <w:color w:val="222222"/>
          <w:sz w:val="21"/>
          <w:szCs w:val="21"/>
        </w:rPr>
        <w:t xml:space="preserve">Coverage:</w:t>
      </w:r>
      <w:r>
        <w:rPr>
          <w:color w:val="222222"/>
          <w:sz w:val="21"/>
          <w:szCs w:val="21"/>
        </w:rPr>
        <w:t xml:space="preserve"> share of a target district actually covered.</w:t>
      </w:r>
    </w:p>
    <w:p>
      <w:pPr>
        <w:pStyle w:val="ListParagraph"/>
        <w:numPr>
          <w:ilvl w:val="0"/>
          <w:numId w:val="2"/>
        </w:numPr>
        <w:spacing w:after="70" w:line="272"/>
        <w:jc w:val="both"/>
      </w:pPr>
      <w:r>
        <w:rPr>
          <w:b/>
          <w:bCs/>
          <w:color w:val="222222"/>
          <w:sz w:val="21"/>
          <w:szCs w:val="21"/>
        </w:rPr>
        <w:t xml:space="preserve">Accuracy (basis risk):</w:t>
      </w:r>
      <w:r>
        <w:rPr>
          <w:color w:val="222222"/>
          <w:sz w:val="21"/>
          <w:szCs w:val="21"/>
        </w:rPr>
        <w:t xml:space="preserve"> the gap between what was paid and the real loss — the single most important number.</w:t>
      </w:r>
    </w:p>
    <w:p>
      <w:pPr>
        <w:pStyle w:val="ListParagraph"/>
        <w:numPr>
          <w:ilvl w:val="0"/>
          <w:numId w:val="2"/>
        </w:numPr>
        <w:spacing w:after="70" w:line="272"/>
        <w:jc w:val="both"/>
      </w:pPr>
      <w:r>
        <w:rPr>
          <w:b/>
          <w:bCs/>
          <w:color w:val="222222"/>
          <w:sz w:val="21"/>
          <w:szCs w:val="21"/>
        </w:rPr>
        <w:t xml:space="preserve">Speed:</w:t>
      </w:r>
      <w:r>
        <w:rPr>
          <w:color w:val="222222"/>
          <w:sz w:val="21"/>
          <w:szCs w:val="21"/>
        </w:rPr>
        <w:t xml:space="preserve"> days from trigger to money in the account; share of claims paid automatically.</w:t>
      </w:r>
    </w:p>
    <w:p>
      <w:pPr>
        <w:pStyle w:val="ListParagraph"/>
        <w:numPr>
          <w:ilvl w:val="0"/>
          <w:numId w:val="2"/>
        </w:numPr>
        <w:spacing w:after="70" w:line="272"/>
        <w:jc w:val="both"/>
      </w:pPr>
      <w:r>
        <w:rPr>
          <w:b/>
          <w:bCs/>
          <w:color w:val="222222"/>
          <w:sz w:val="21"/>
          <w:szCs w:val="21"/>
        </w:rPr>
        <w:t xml:space="preserve">Public value:</w:t>
      </w:r>
      <w:r>
        <w:rPr>
          <w:color w:val="222222"/>
          <w:sz w:val="21"/>
          <w:szCs w:val="21"/>
        </w:rPr>
        <w:t xml:space="preserve"> fall in the state’s sudden relief spending after a covered event.</w:t>
      </w:r>
    </w:p>
    <w:p>
      <w:pPr>
        <w:pStyle w:val="ListParagraph"/>
        <w:numPr>
          <w:ilvl w:val="0"/>
          <w:numId w:val="2"/>
        </w:numPr>
        <w:spacing w:after="70" w:line="272"/>
        <w:jc w:val="both"/>
      </w:pPr>
      <w:r>
        <w:rPr>
          <w:b/>
          <w:bCs/>
          <w:color w:val="222222"/>
          <w:sz w:val="21"/>
          <w:szCs w:val="21"/>
        </w:rPr>
        <w:t xml:space="preserve">Reach &amp; trust:</w:t>
      </w:r>
      <w:r>
        <w:rPr>
          <w:color w:val="222222"/>
          <w:sz w:val="21"/>
          <w:szCs w:val="21"/>
        </w:rPr>
        <w:t xml:space="preserve"> households and small firms taking top-ups; renewal rate; complaint rate.</w:t>
      </w:r>
    </w:p>
    <w:p>
      <w:pPr>
        <w:pStyle w:val="ListParagraph"/>
        <w:numPr>
          <w:ilvl w:val="0"/>
          <w:numId w:val="2"/>
        </w:numPr>
        <w:spacing w:after="70" w:line="272"/>
        <w:jc w:val="both"/>
      </w:pPr>
      <w:r>
        <w:rPr>
          <w:b/>
          <w:bCs/>
          <w:color w:val="222222"/>
          <w:sz w:val="21"/>
          <w:szCs w:val="21"/>
        </w:rPr>
        <w:t xml:space="preserve">Business:</w:t>
      </w:r>
      <w:r>
        <w:rPr>
          <w:color w:val="222222"/>
          <w:sz w:val="21"/>
          <w:szCs w:val="21"/>
        </w:rPr>
        <w:t xml:space="preserve"> premium written; loss and combined ratio; analytics-fee revenue; reinsurance terms.</w:t>
      </w:r>
    </w:p>
    <w:p>
      <w:pPr>
        <w:pStyle w:val="Heading1"/>
        <w:spacing w:after="140" w:before="320"/>
      </w:pPr>
      <w:r>
        <w:rPr>
          <w:b/>
          <w:bCs/>
          <w:color w:val="1F3864"/>
          <w:sz w:val="30"/>
          <w:szCs w:val="30"/>
        </w:rPr>
        <w:t xml:space="preserve">15. Recommendation</w:t>
      </w:r>
    </w:p>
    <w:p>
      <w:pPr>
        <w:spacing w:after="130" w:line="276"/>
        <w:jc w:val="both"/>
      </w:pPr>
      <w:r>
        <w:rPr>
          <w:color w:val="222222"/>
          <w:sz w:val="21"/>
          <w:szCs w:val="21"/>
        </w:rPr>
        <w:t xml:space="preserve">The need is huge, the technology is ready, and a rival has already proved the model — which means the window to lead is now, not later. Bajaj Allianz should build </w:t>
      </w:r>
      <w:r>
        <w:rPr>
          <w:b/>
          <w:bCs/>
          <w:color w:val="222222"/>
          <w:sz w:val="21"/>
          <w:szCs w:val="21"/>
        </w:rPr>
        <w:t xml:space="preserve">SETU</w:t>
      </w:r>
      <w:r>
        <w:rPr>
          <w:color w:val="222222"/>
          <w:sz w:val="21"/>
          <w:szCs w:val="21"/>
        </w:rPr>
        <w:t xml:space="preserve"> as a Bajaj-owned parametric platform: score the risk, set fair triggers, pay automatically, and sell to state governments as the main buyers.</w:t>
      </w:r>
    </w:p>
    <w:p>
      <w:pPr>
        <w:spacing w:after="130" w:line="276"/>
        <w:jc w:val="both"/>
      </w:pPr>
      <w:r>
        <w:rPr>
          <w:color w:val="222222"/>
          <w:sz w:val="21"/>
          <w:szCs w:val="21"/>
        </w:rPr>
        <w:t xml:space="preserve">Start where the need is sharpest and the data is best — a </w:t>
      </w:r>
      <w:r>
        <w:rPr>
          <w:b/>
          <w:bCs/>
          <w:color w:val="222222"/>
          <w:sz w:val="21"/>
          <w:szCs w:val="21"/>
        </w:rPr>
        <w:t xml:space="preserve">GLOF / Teesta-valley pilot in Sikkim</w:t>
      </w:r>
      <w:r>
        <w:rPr>
          <w:color w:val="222222"/>
          <w:sz w:val="21"/>
          <w:szCs w:val="21"/>
        </w:rPr>
        <w:t xml:space="preserve"> — then a </w:t>
      </w:r>
      <w:r>
        <w:rPr>
          <w:b/>
          <w:bCs/>
          <w:color w:val="222222"/>
          <w:sz w:val="21"/>
          <w:szCs w:val="21"/>
        </w:rPr>
        <w:t xml:space="preserve">rainfall-index product for Assam</w:t>
      </w:r>
      <w:r>
        <w:rPr>
          <w:color w:val="222222"/>
          <w:sz w:val="21"/>
          <w:szCs w:val="21"/>
        </w:rPr>
        <w:t xml:space="preserve">, then scale across the Northeast. Solve the premium-funding rule early, manage basis risk obsessively, and price with discipline. Do this, and Bajaj owns the first real risk-to-payout chain for India’s most flood-exposed region — and becomes the insurer that helped families and states stop absorbing disaster losses alone.</w:t>
      </w:r>
    </w:p>
    <w:p>
      <w:pPr>
        <w:spacing w:after="70"/>
      </w:pPr>
    </w:p>
    <w:tbl>
      <w:tblPr>
        <w:tblW w:type="dxa" w:w="9026"/>
        <w:tblBorders>
          <w:top w:val="none"/>
          <w:left w:val="single" w:color="1F7A54" w:sz="18"/>
          <w:bottom w:val="none"/>
          <w:right w:val="none"/>
          <w:insideH w:val="none"/>
          <w:insideV w:val="none"/>
        </w:tblBorders>
      </w:tblPr>
      <w:tblGrid>
        <w:gridCol w:w="9026"/>
      </w:tblGrid>
      <w:tr>
        <w:tc>
          <w:tcPr>
            <w:tcW w:type="dxa" w:w="9026"/>
            <w:shd w:fill="E2EFDA" w:color="auto" w:val="clear"/>
            <w:tcMar>
              <w:top w:type="dxa" w:w="120"/>
              <w:left w:type="dxa" w:w="160"/>
              <w:bottom w:type="dxa" w:w="120"/>
              <w:right w:type="dxa" w:w="140"/>
            </w:tcMar>
          </w:tcPr>
          <w:p>
            <w:pPr>
              <w:spacing w:after="60"/>
            </w:pPr>
            <w:r>
              <w:rPr>
                <w:b/>
                <w:bCs/>
                <w:color w:val="1F3864"/>
                <w:sz w:val="20"/>
                <w:szCs w:val="20"/>
              </w:rPr>
              <w:t xml:space="preserve">Immediate next steps</w:t>
            </w:r>
          </w:p>
          <w:p>
            <w:pPr>
              <w:spacing w:after="50" w:line="264"/>
            </w:pPr>
            <w:r>
              <w:rPr>
                <w:color w:val="222222"/>
                <w:sz w:val="21"/>
                <w:szCs w:val="21"/>
              </w:rPr>
              <w:t xml:space="preserve">1. Open talks with the Sikkim (and Arunachal) disaster authorities on a GLOF/Teesta pilot.</w:t>
            </w:r>
          </w:p>
          <w:p>
            <w:pPr>
              <w:spacing w:after="50" w:line="264"/>
            </w:pPr>
            <w:r>
              <w:rPr>
                <w:color w:val="222222"/>
                <w:sz w:val="21"/>
                <w:szCs w:val="21"/>
              </w:rPr>
              <w:t xml:space="preserve">2. Start data MoUs with NRSC (Bhuvan/NDEM), IMD (data portal) and CWC (India-WRIS); join the Google Flood API waitlist.</w:t>
            </w:r>
          </w:p>
          <w:p>
            <w:pPr>
              <w:spacing w:after="50" w:line="264"/>
            </w:pPr>
            <w:r>
              <w:rPr>
                <w:color w:val="222222"/>
                <w:sz w:val="21"/>
                <w:szCs w:val="21"/>
              </w:rPr>
              <w:t xml:space="preserve">3. Get a legal read on parametric use-and-file vs. the 2025 sandbox, and on state premium funding.</w:t>
            </w:r>
          </w:p>
          <w:p>
            <w:pPr>
              <w:spacing w:after="0" w:line="264"/>
            </w:pPr>
            <w:r>
              <w:rPr>
                <w:color w:val="222222"/>
                <w:sz w:val="21"/>
                <w:szCs w:val="21"/>
              </w:rPr>
              <w:t xml:space="preserve">4. Request pricing from RMSI and Moody’s RMS; open reinsurance talks with GIC Re and Munich Re.</w:t>
            </w:r>
          </w:p>
        </w:tc>
      </w:tr>
    </w:tbl>
    <w:p>
      <w:r>
        <w:br w:type="page"/>
      </w:r>
    </w:p>
    <w:p>
      <w:pPr>
        <w:pStyle w:val="Heading1"/>
        <w:spacing w:after="140" w:before="320"/>
      </w:pPr>
      <w:r>
        <w:rPr>
          <w:b/>
          <w:bCs/>
          <w:color w:val="1F3864"/>
          <w:sz w:val="30"/>
          <w:szCs w:val="30"/>
        </w:rPr>
        <w:t xml:space="preserve">Appendix A — Key Bodies &amp; Terms</w:t>
      </w:r>
    </w:p>
    <w:tbl>
      <w:tblPr>
        <w:tblW w:type="dxa" w:w="9026"/>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6426"/>
      </w:tblGrid>
      <w:tr>
        <w:trPr>
          <w:tblHeader/>
        </w:trPr>
        <w:tc>
          <w:tcPr>
            <w:tcW w:type="dxa" w:w="2600"/>
            <w:shd w:fill="1F3864" w:color="auto" w:val="clear"/>
            <w:tcMar>
              <w:top w:type="dxa" w:w="60"/>
              <w:left w:type="dxa" w:w="90"/>
              <w:bottom w:type="dxa" w:w="60"/>
              <w:right w:type="dxa" w:w="90"/>
            </w:tcMar>
          </w:tcPr>
          <w:p>
            <w:pPr>
              <w:spacing w:after="0" w:line="250"/>
              <w:jc w:val="left"/>
            </w:pPr>
            <w:r>
              <w:rPr>
                <w:b/>
                <w:bCs/>
                <w:color w:val="FFFFFF"/>
                <w:sz w:val="18"/>
                <w:szCs w:val="18"/>
              </w:rPr>
              <w:t xml:space="preserve">Term</w:t>
            </w:r>
          </w:p>
        </w:tc>
        <w:tc>
          <w:tcPr>
            <w:tcW w:type="dxa" w:w="6426"/>
            <w:shd w:fill="1F3864" w:color="auto" w:val="clear"/>
            <w:tcMar>
              <w:top w:type="dxa" w:w="60"/>
              <w:left w:type="dxa" w:w="90"/>
              <w:bottom w:type="dxa" w:w="60"/>
              <w:right w:type="dxa" w:w="90"/>
            </w:tcMar>
          </w:tcPr>
          <w:p>
            <w:pPr>
              <w:spacing w:after="0" w:line="250"/>
              <w:jc w:val="left"/>
            </w:pPr>
            <w:r>
              <w:rPr>
                <w:b/>
                <w:bCs/>
                <w:color w:val="FFFFFF"/>
                <w:sz w:val="18"/>
                <w:szCs w:val="18"/>
              </w:rPr>
              <w:t xml:space="preserve">Meaning</w:t>
            </w:r>
          </w:p>
        </w:tc>
      </w:tr>
      <w:tr>
        <w:tc>
          <w:tcPr>
            <w:tcW w:type="dxa" w:w="26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Parametric insurance</w:t>
            </w:r>
          </w:p>
        </w:tc>
        <w:tc>
          <w:tcPr>
            <w:tcW w:type="dxa" w:w="64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Pays a set amount when a measured trigger is crossed — no surveyor, fast payout</w:t>
            </w:r>
          </w:p>
        </w:tc>
      </w:tr>
      <w:tr>
        <w:tc>
          <w:tcPr>
            <w:tcW w:type="dxa" w:w="26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Basis risk</w:t>
            </w:r>
          </w:p>
        </w:tc>
        <w:tc>
          <w:tcPr>
            <w:tcW w:type="dxa" w:w="64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The gap between the payout and the real loss (the key risk to manage)</w:t>
            </w:r>
          </w:p>
        </w:tc>
      </w:tr>
      <w:tr>
        <w:tc>
          <w:tcPr>
            <w:tcW w:type="dxa" w:w="26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GLOF</w:t>
            </w:r>
          </w:p>
        </w:tc>
        <w:tc>
          <w:tcPr>
            <w:tcW w:type="dxa" w:w="64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Glacial Lake Outburst Flood — a mountain lake bursting (e.g. Sikkim 2023)</w:t>
            </w:r>
          </w:p>
        </w:tc>
      </w:tr>
      <w:tr>
        <w:tc>
          <w:tcPr>
            <w:tcW w:type="dxa" w:w="26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NRSC / ISRO</w:t>
            </w:r>
          </w:p>
        </w:tc>
        <w:tc>
          <w:tcPr>
            <w:tcW w:type="dxa" w:w="64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National Remote Sensing Centre / Indian Space Research Organisation — satellite data</w:t>
            </w:r>
          </w:p>
        </w:tc>
      </w:tr>
      <w:tr>
        <w:tc>
          <w:tcPr>
            <w:tcW w:type="dxa" w:w="26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Bhuvan / NDEM</w:t>
            </w:r>
          </w:p>
        </w:tc>
        <w:tc>
          <w:tcPr>
            <w:tcW w:type="dxa" w:w="64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ISRO’s map portal / National Database for Emergency Management</w:t>
            </w:r>
          </w:p>
        </w:tc>
      </w:tr>
      <w:tr>
        <w:tc>
          <w:tcPr>
            <w:tcW w:type="dxa" w:w="26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IMD</w:t>
            </w:r>
          </w:p>
        </w:tc>
        <w:tc>
          <w:tcPr>
            <w:tcW w:type="dxa" w:w="64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India Meteorological Department — rainfall data and forecasts</w:t>
            </w:r>
          </w:p>
        </w:tc>
      </w:tr>
      <w:tr>
        <w:tc>
          <w:tcPr>
            <w:tcW w:type="dxa" w:w="26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CWC / India-WRIS</w:t>
            </w:r>
          </w:p>
        </w:tc>
        <w:tc>
          <w:tcPr>
            <w:tcW w:type="dxa" w:w="64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Central Water Commission / Water Resources Information System — river data</w:t>
            </w:r>
          </w:p>
        </w:tc>
      </w:tr>
      <w:tr>
        <w:tc>
          <w:tcPr>
            <w:tcW w:type="dxa" w:w="26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NDMA / SDMA</w:t>
            </w:r>
          </w:p>
        </w:tc>
        <w:tc>
          <w:tcPr>
            <w:tcW w:type="dxa" w:w="64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National / State Disaster Management Authority</w:t>
            </w:r>
          </w:p>
        </w:tc>
      </w:tr>
      <w:tr>
        <w:tc>
          <w:tcPr>
            <w:tcW w:type="dxa" w:w="26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ASDMA</w:t>
            </w:r>
          </w:p>
        </w:tc>
        <w:tc>
          <w:tcPr>
            <w:tcW w:type="dxa" w:w="64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Assam State Disaster Management Authority</w:t>
            </w:r>
          </w:p>
        </w:tc>
      </w:tr>
      <w:tr>
        <w:tc>
          <w:tcPr>
            <w:tcW w:type="dxa" w:w="26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IRDAI</w:t>
            </w:r>
          </w:p>
        </w:tc>
        <w:tc>
          <w:tcPr>
            <w:tcW w:type="dxa" w:w="64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Insurance Regulatory and Development Authority of India</w:t>
            </w:r>
          </w:p>
        </w:tc>
      </w:tr>
      <w:tr>
        <w:tc>
          <w:tcPr>
            <w:tcW w:type="dxa" w:w="26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GIC Re</w:t>
            </w:r>
          </w:p>
        </w:tc>
        <w:tc>
          <w:tcPr>
            <w:tcW w:type="dxa" w:w="64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General Insurance Corporation — India’s national reinsurer</w:t>
            </w:r>
          </w:p>
        </w:tc>
      </w:tr>
      <w:tr>
        <w:tc>
          <w:tcPr>
            <w:tcW w:type="dxa" w:w="26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SDRF / SDMF</w:t>
            </w:r>
          </w:p>
        </w:tc>
        <w:tc>
          <w:tcPr>
            <w:tcW w:type="dxa" w:w="64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State Disaster Response Fund / State Disaster Mitigation Fund (possible premium source)</w:t>
            </w:r>
          </w:p>
        </w:tc>
      </w:tr>
      <w:tr>
        <w:tc>
          <w:tcPr>
            <w:tcW w:type="dxa" w:w="26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DBT / UPI / Jan Dhan</w:t>
            </w:r>
          </w:p>
        </w:tc>
        <w:tc>
          <w:tcPr>
            <w:tcW w:type="dxa" w:w="64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Direct Benefit Transfer / payments network / basic bank accounts — the payout rails</w:t>
            </w:r>
          </w:p>
        </w:tc>
      </w:tr>
      <w:tr>
        <w:tc>
          <w:tcPr>
            <w:tcW w:type="dxa" w:w="26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Cat model</w:t>
            </w:r>
          </w:p>
        </w:tc>
        <w:tc>
          <w:tcPr>
            <w:tcW w:type="dxa" w:w="64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Catastrophe model — software simulating many disasters to estimate losses</w:t>
            </w:r>
          </w:p>
        </w:tc>
      </w:tr>
    </w:tbl>
    <w:p>
      <w:pPr>
        <w:pStyle w:val="Heading1"/>
        <w:spacing w:after="140" w:before="320"/>
      </w:pPr>
      <w:r>
        <w:rPr>
          <w:b/>
          <w:bCs/>
          <w:color w:val="1F3864"/>
          <w:sz w:val="30"/>
          <w:szCs w:val="30"/>
        </w:rPr>
        <w:t xml:space="preserve">Appendix B — Sources &amp; References</w:t>
      </w:r>
    </w:p>
    <w:p>
      <w:pPr>
        <w:spacing w:after="120" w:line="276"/>
        <w:jc w:val="both"/>
      </w:pPr>
      <w:r>
        <w:rPr>
          <w:color w:val="222222"/>
          <w:sz w:val="21"/>
          <w:szCs w:val="21"/>
        </w:rPr>
        <w:t xml:space="preserve">Figures verified as of August 2026. Government and regulator sources (IRDAI, ISRO/NRSC, IMD, CWC, NDMA, ASDMA) are preferred; reinsurers and reputable news are used for corroboration and recent events.</w:t>
      </w:r>
    </w:p>
    <w:p>
      <w:pPr>
        <w:spacing w:after="90"/>
      </w:pPr>
      <w:r>
        <w:rPr>
          <w:b/>
          <w:bCs/>
          <w:color w:val="2E5496"/>
          <w:sz w:val="20"/>
          <w:szCs w:val="20"/>
        </w:rPr>
        <w:t xml:space="preserve">Insurance gap &amp; disaster losses</w:t>
      </w:r>
    </w:p>
    <w:p>
      <w:pPr>
        <w:spacing w:after="60" w:line="250"/>
      </w:pPr>
      <w:r>
        <w:rPr>
          <w:color w:val="222222"/>
          <w:sz w:val="17"/>
          <w:szCs w:val="17"/>
        </w:rPr>
        <w:t xml:space="preserve">Swiss Re: ~93% uninsured; $32.94 bn uninsured losses 2018–22 — RMAI — </w:t>
      </w:r>
      <w:hyperlink w:history="1" r:id="rId-gc0olhu78iqkd6x5r79r">
        <w:r>
          <w:rPr>
            <w:color w:val="1155CC"/>
            <w:sz w:val="16"/>
            <w:szCs w:val="16"/>
            <w:u w:val="single"/>
          </w:rPr>
          <w:t xml:space="preserve">https://rmaindia.org/uninsured-losses-of-32-94-billion-in-india-due-to-natural-disasters-in-five-years-swiss-re/</w:t>
        </w:r>
      </w:hyperlink>
    </w:p>
    <w:p>
      <w:pPr>
        <w:spacing w:after="60" w:line="250"/>
      </w:pPr>
      <w:r>
        <w:rPr>
          <w:color w:val="222222"/>
          <w:sz w:val="17"/>
          <w:szCs w:val="17"/>
        </w:rPr>
        <w:t xml:space="preserve">IRDAI FY25 penetration &amp; density — Deccan Chronicle — </w:t>
      </w:r>
      <w:hyperlink w:history="1" r:id="rIdeezihralhgmenx30pxgqr">
        <w:r>
          <w:rPr>
            <w:color w:val="1155CC"/>
            <w:sz w:val="16"/>
            <w:szCs w:val="16"/>
            <w:u w:val="single"/>
          </w:rPr>
          <w:t xml:space="preserve">https://www.deccanchronicle.com/business/life-insurance-penetration-further-falls-to-27-in-fy25-irdai-annual-report-1927344</w:t>
        </w:r>
      </w:hyperlink>
    </w:p>
    <w:p>
      <w:pPr>
        <w:spacing w:after="90" w:before="100"/>
      </w:pPr>
      <w:r>
        <w:rPr>
          <w:b/>
          <w:bCs/>
          <w:color w:val="2E5496"/>
          <w:sz w:val="20"/>
          <w:szCs w:val="20"/>
        </w:rPr>
        <w:t xml:space="preserve">Nagaland parametric scheme</w:t>
      </w:r>
    </w:p>
    <w:p>
      <w:pPr>
        <w:spacing w:after="60" w:line="250"/>
      </w:pPr>
      <w:r>
        <w:rPr>
          <w:color w:val="222222"/>
          <w:sz w:val="17"/>
          <w:szCs w:val="17"/>
        </w:rPr>
        <w:t xml:space="preserve">First payout ₹1.06 cr (Mar 2025), SBI General + Munich Re — Asia Insurance Post — </w:t>
      </w:r>
      <w:hyperlink w:history="1" r:id="rId5fpiwmypwmgszdm7urfj7">
        <w:r>
          <w:rPr>
            <w:color w:val="1155CC"/>
            <w:sz w:val="16"/>
            <w:szCs w:val="16"/>
            <w:u w:val="single"/>
          </w:rPr>
          <w:t xml:space="preserve">https://asiainsurancepost.com/archives/64480</w:t>
        </w:r>
      </w:hyperlink>
    </w:p>
    <w:p>
      <w:pPr>
        <w:spacing w:after="60" w:line="250"/>
      </w:pPr>
      <w:r>
        <w:rPr>
          <w:color w:val="222222"/>
          <w:sz w:val="17"/>
          <w:szCs w:val="17"/>
        </w:rPr>
        <w:t xml:space="preserve">Scheme renewal &amp; reinsurer panel — Bimabazaar — </w:t>
      </w:r>
      <w:hyperlink w:history="1" r:id="rIdkxmj1dbgzs_zprllv4e--">
        <w:r>
          <w:rPr>
            <w:color w:val="1155CC"/>
            <w:sz w:val="16"/>
            <w:szCs w:val="16"/>
            <w:u w:val="single"/>
          </w:rPr>
          <w:t xml:space="preserve">https://bimabazaar.com/insurance-news-and-information/insurance-news/nagaland-renews-parametric-insurance-for-enhanced-disaster-protection</w:t>
        </w:r>
      </w:hyperlink>
    </w:p>
    <w:p>
      <w:pPr>
        <w:spacing w:after="90" w:before="100"/>
      </w:pPr>
      <w:r>
        <w:rPr>
          <w:b/>
          <w:bCs/>
          <w:color w:val="2E5496"/>
          <w:sz w:val="20"/>
          <w:szCs w:val="20"/>
        </w:rPr>
        <w:t xml:space="preserve">Regulation &amp; national scheme</w:t>
      </w:r>
    </w:p>
    <w:p>
      <w:pPr>
        <w:spacing w:after="60" w:line="250"/>
      </w:pPr>
      <w:r>
        <w:rPr>
          <w:color w:val="222222"/>
          <w:sz w:val="17"/>
          <w:szCs w:val="17"/>
        </w:rPr>
        <w:t xml:space="preserve">National climate-linked scheme talks (Oct 2025) — Insurance Journal — </w:t>
      </w:r>
      <w:hyperlink w:history="1" r:id="rId64n4eihapmfofdkqdmv2v">
        <w:r>
          <w:rPr>
            <w:color w:val="1155CC"/>
            <w:sz w:val="16"/>
            <w:szCs w:val="16"/>
            <w:u w:val="single"/>
          </w:rPr>
          <w:t xml:space="preserve">https://www.insurancejournal.com/news/international/2025/10/06/842685.htm</w:t>
        </w:r>
      </w:hyperlink>
    </w:p>
    <w:p>
      <w:pPr>
        <w:spacing w:after="60" w:line="250"/>
      </w:pPr>
      <w:r>
        <w:rPr>
          <w:color w:val="222222"/>
          <w:sz w:val="17"/>
          <w:szCs w:val="17"/>
        </w:rPr>
        <w:t xml:space="preserve">IRDAI Regulatory Sandbox 2025 — Mondaq — </w:t>
      </w:r>
      <w:hyperlink w:history="1" r:id="rIdgo53xnktjfknsqtzht2mc">
        <w:r>
          <w:rPr>
            <w:color w:val="1155CC"/>
            <w:sz w:val="16"/>
            <w:szCs w:val="16"/>
            <w:u w:val="single"/>
          </w:rPr>
          <w:t xml:space="preserve">https://www.mondaq.com/india/insurance-laws-and-products/1773748/irdais-regulatory-sandbox-regulations-2025-key-changes-for-insurance-innovation</w:t>
        </w:r>
      </w:hyperlink>
    </w:p>
    <w:p>
      <w:pPr>
        <w:spacing w:after="90" w:before="100"/>
      </w:pPr>
      <w:r>
        <w:rPr>
          <w:b/>
          <w:bCs/>
          <w:color w:val="2E5496"/>
          <w:sz w:val="20"/>
          <w:szCs w:val="20"/>
        </w:rPr>
        <w:t xml:space="preserve">Data sources</w:t>
      </w:r>
    </w:p>
    <w:p>
      <w:pPr>
        <w:spacing w:after="60" w:line="250"/>
      </w:pPr>
      <w:r>
        <w:rPr>
          <w:color w:val="222222"/>
          <w:sz w:val="17"/>
          <w:szCs w:val="17"/>
        </w:rPr>
        <w:t xml:space="preserve">NRSC flood hazard / NDEM — NRSC — </w:t>
      </w:r>
      <w:hyperlink w:history="1" r:id="rIdjji1bst3dtx8l0bgfjera">
        <w:r>
          <w:rPr>
            <w:color w:val="1155CC"/>
            <w:sz w:val="16"/>
            <w:szCs w:val="16"/>
            <w:u w:val="single"/>
          </w:rPr>
          <w:t xml:space="preserve">https://ndem.nrsc.gov.in/hydrological_fhz.php</w:t>
        </w:r>
      </w:hyperlink>
    </w:p>
    <w:p>
      <w:pPr>
        <w:spacing w:after="60" w:line="250"/>
      </w:pPr>
      <w:r>
        <w:rPr>
          <w:color w:val="222222"/>
          <w:sz w:val="17"/>
          <w:szCs w:val="17"/>
        </w:rPr>
        <w:t xml:space="preserve">Google Flood Hub coverage &amp; CWC partnership — IndiaAI — </w:t>
      </w:r>
      <w:hyperlink w:history="1" r:id="rId0lao4j39qulhlahtwv9im">
        <w:r>
          <w:rPr>
            <w:color w:val="1155CC"/>
            <w:sz w:val="16"/>
            <w:szCs w:val="16"/>
            <w:u w:val="single"/>
          </w:rPr>
          <w:t xml:space="preserve">https://indiaai.gov.in/news/google-s-flood-forecasting-initiative-extends-to-the-whole-of-india-and-bangladesh</w:t>
        </w:r>
      </w:hyperlink>
    </w:p>
    <w:p>
      <w:pPr>
        <w:spacing w:after="60" w:line="250"/>
      </w:pPr>
      <w:r>
        <w:rPr>
          <w:color w:val="222222"/>
          <w:sz w:val="17"/>
          <w:szCs w:val="17"/>
        </w:rPr>
        <w:t xml:space="preserve">CartoDEM open data — data.gov.in — </w:t>
      </w:r>
      <w:hyperlink w:history="1" r:id="rIdfp0dv4ezxwwzbjoddbn2w">
        <w:r>
          <w:rPr>
            <w:color w:val="1155CC"/>
            <w:sz w:val="16"/>
            <w:szCs w:val="16"/>
            <w:u w:val="single"/>
          </w:rPr>
          <w:t xml:space="preserve">https://www.data.gov.in/resource/cartosat-1dem-version-1</w:t>
        </w:r>
      </w:hyperlink>
    </w:p>
    <w:p>
      <w:pPr>
        <w:spacing w:after="60" w:line="250"/>
      </w:pPr>
      <w:r>
        <w:rPr>
          <w:color w:val="222222"/>
          <w:sz w:val="17"/>
          <w:szCs w:val="17"/>
        </w:rPr>
        <w:t xml:space="preserve">India-WRIS (CWC) — Central Water Commission — </w:t>
      </w:r>
      <w:hyperlink w:history="1" r:id="rIdhrieqynydrv0l-aa4xm_v">
        <w:r>
          <w:rPr>
            <w:color w:val="1155CC"/>
            <w:sz w:val="16"/>
            <w:szCs w:val="16"/>
            <w:u w:val="single"/>
          </w:rPr>
          <w:t xml:space="preserve">https://cwc.gov.in/en/water-resources-information-system-wris</w:t>
        </w:r>
      </w:hyperlink>
    </w:p>
    <w:p>
      <w:pPr>
        <w:spacing w:after="90" w:before="100"/>
      </w:pPr>
      <w:r>
        <w:rPr>
          <w:b/>
          <w:bCs/>
          <w:color w:val="2E5496"/>
          <w:sz w:val="20"/>
          <w:szCs w:val="20"/>
        </w:rPr>
        <w:t xml:space="preserve">Bajaj capability &amp; Northeast impact</w:t>
      </w:r>
    </w:p>
    <w:p>
      <w:pPr>
        <w:spacing w:after="60" w:line="250"/>
      </w:pPr>
      <w:r>
        <w:rPr>
          <w:color w:val="222222"/>
          <w:sz w:val="17"/>
          <w:szCs w:val="17"/>
        </w:rPr>
        <w:t xml:space="preserve">Bajaj weather-based crop insurance — Bajaj General Insurance — </w:t>
      </w:r>
      <w:hyperlink w:history="1" r:id="rIdhixcxbhjjhlgqtrqhrqbk">
        <w:r>
          <w:rPr>
            <w:color w:val="1155CC"/>
            <w:sz w:val="16"/>
            <w:szCs w:val="16"/>
            <w:u w:val="single"/>
          </w:rPr>
          <w:t xml:space="preserve">https://www.bajajgeneralinsurance.com/weather-based-crop-insurance.html</w:t>
        </w:r>
      </w:hyperlink>
    </w:p>
    <w:p>
      <w:pPr>
        <w:spacing w:after="60" w:line="250"/>
      </w:pPr>
      <w:r>
        <w:rPr>
          <w:color w:val="222222"/>
          <w:sz w:val="17"/>
          <w:szCs w:val="17"/>
        </w:rPr>
        <w:t xml:space="preserve">Assam flood impact 2024 — PreventionWeb — </w:t>
      </w:r>
      <w:hyperlink w:history="1" r:id="rIdqzpxv3v1asyo2uhzh9f_f">
        <w:r>
          <w:rPr>
            <w:color w:val="1155CC"/>
            <w:sz w:val="16"/>
            <w:szCs w:val="16"/>
            <w:u w:val="single"/>
          </w:rPr>
          <w:t xml:space="preserve">https://www.preventionweb.net/news/india-whats-really-behind-assams-worsening-floods</w:t>
        </w:r>
      </w:hyperlink>
    </w:p>
    <w:p>
      <w:pPr>
        <w:spacing w:after="60" w:line="250"/>
      </w:pPr>
      <w:r>
        <w:rPr>
          <w:color w:val="222222"/>
          <w:sz w:val="17"/>
          <w:szCs w:val="17"/>
        </w:rPr>
        <w:t xml:space="preserve">Sikkim South Lhonak GLOF (Oct 2023) — Science, 2025 — </w:t>
      </w:r>
      <w:hyperlink w:history="1" r:id="rIdqmn3l4epp9u0l3yqi11cd">
        <w:r>
          <w:rPr>
            <w:color w:val="1155CC"/>
            <w:sz w:val="16"/>
            <w:szCs w:val="16"/>
            <w:u w:val="single"/>
          </w:rPr>
          <w:t xml:space="preserve">https://www.science.org/doi/10.1126/science.ads2659</w:t>
        </w:r>
      </w:hyperlink>
    </w:p>
    <w:p>
      <w:pPr>
        <w:spacing w:after="40"/>
      </w:pPr>
    </w:p>
    <w:p>
      <w:pPr>
        <w:spacing w:after="0" w:line="276"/>
        <w:jc w:val="both"/>
      </w:pPr>
      <w:r>
        <w:rPr>
          <w:color w:val="222222"/>
          <w:sz w:val="21"/>
          <w:szCs w:val="21"/>
        </w:rPr>
        <w:t xml:space="preserve">Note on variance: some figures differ by source — the Nagaland premium is quoted at ₹4–4.5 crore and the first payout at ~₹1.06 crore; Assam 2024 “affected” counts differ between a peak bulletin (~14 lakh) and the season total (~2.45 million). Historical rupee-loss data for the Northeast is genuinely incomplete — the reason a commercial cat model is needed. Verify the status of the national scheme and premium-funding rules before external use.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t xml:space="preserve">Page </w:t>
    </w:r>
    <w:r>
      <w:rPr>
        <w:color w:val="999999"/>
        <w:sz w:val="15"/>
        <w:szCs w:val="15"/>
      </w:rPr>
      <w:fldChar w:fldCharType="begin"/>
      <w:instrText xml:space="preserve">PAGE</w:instrText>
      <w:fldChar w:fldCharType="separate"/>
      <w:fldChar w:fldCharType="end"/>
    </w:r>
    <w:r>
      <w:rPr>
        <w:color w:val="999999"/>
        <w:sz w:val="15"/>
        <w:szCs w:val="15"/>
      </w:rPr>
      <w:t xml:space="preserve"> of </w:t>
    </w:r>
    <w:r>
      <w:rPr>
        <w:color w:val="99999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8EE" w:sz="4" w:space="6"/>
      </w:pBdr>
      <w:jc w:val="right"/>
    </w:pPr>
    <w:r>
      <w:rPr>
        <w:color w:val="999999"/>
        <w:sz w:val="15"/>
        <w:szCs w:val="15"/>
      </w:rPr>
      <w:t xml:space="preserve">Project SETU  •  Bajaj Allianz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1F7A54"/>
      </w:r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c0olhu78iqkd6x5r79r" Type="http://schemas.openxmlformats.org/officeDocument/2006/relationships/hyperlink" Target="https://rmaindia.org/uninsured-losses-of-32-94-billion-in-india-due-to-natural-disasters-in-five-years-swiss-re/" TargetMode="External"/><Relationship Id="rIdeezihralhgmenx30pxgqr" Type="http://schemas.openxmlformats.org/officeDocument/2006/relationships/hyperlink" Target="https://www.deccanchronicle.com/business/life-insurance-penetration-further-falls-to-27-in-fy25-irdai-annual-report-1927344" TargetMode="External"/><Relationship Id="rId5fpiwmypwmgszdm7urfj7" Type="http://schemas.openxmlformats.org/officeDocument/2006/relationships/hyperlink" Target="https://asiainsurancepost.com/archives/64480" TargetMode="External"/><Relationship Id="rIdkxmj1dbgzs_zprllv4e--" Type="http://schemas.openxmlformats.org/officeDocument/2006/relationships/hyperlink" Target="https://bimabazaar.com/insurance-news-and-information/insurance-news/nagaland-renews-parametric-insurance-for-enhanced-disaster-protection" TargetMode="External"/><Relationship Id="rId64n4eihapmfofdkqdmv2v" Type="http://schemas.openxmlformats.org/officeDocument/2006/relationships/hyperlink" Target="https://www.insurancejournal.com/news/international/2025/10/06/842685.htm" TargetMode="External"/><Relationship Id="rIdgo53xnktjfknsqtzht2mc" Type="http://schemas.openxmlformats.org/officeDocument/2006/relationships/hyperlink" Target="https://www.mondaq.com/india/insurance-laws-and-products/1773748/irdais-regulatory-sandbox-regulations-2025-key-changes-for-insurance-innovation" TargetMode="External"/><Relationship Id="rIdjji1bst3dtx8l0bgfjera" Type="http://schemas.openxmlformats.org/officeDocument/2006/relationships/hyperlink" Target="https://ndem.nrsc.gov.in/hydrological_fhz.php" TargetMode="External"/><Relationship Id="rId0lao4j39qulhlahtwv9im" Type="http://schemas.openxmlformats.org/officeDocument/2006/relationships/hyperlink" Target="https://indiaai.gov.in/news/google-s-flood-forecasting-initiative-extends-to-the-whole-of-india-and-bangladesh" TargetMode="External"/><Relationship Id="rIdfp0dv4ezxwwzbjoddbn2w" Type="http://schemas.openxmlformats.org/officeDocument/2006/relationships/hyperlink" Target="https://www.data.gov.in/resource/cartosat-1dem-version-1" TargetMode="External"/><Relationship Id="rIdhrieqynydrv0l-aa4xm_v" Type="http://schemas.openxmlformats.org/officeDocument/2006/relationships/hyperlink" Target="https://cwc.gov.in/en/water-resources-information-system-wris" TargetMode="External"/><Relationship Id="rIdhixcxbhjjhlgqtrqhrqbk" Type="http://schemas.openxmlformats.org/officeDocument/2006/relationships/hyperlink" Target="https://www.bajajgeneralinsurance.com/weather-based-crop-insurance.html" TargetMode="External"/><Relationship Id="rIdqzpxv3v1asyo2uhzh9f_f" Type="http://schemas.openxmlformats.org/officeDocument/2006/relationships/hyperlink" Target="https://www.preventionweb.net/news/india-whats-really-behind-assams-worsening-floods" TargetMode="External"/><Relationship Id="rIdqmn3l4epp9u0l3yqi11cd" Type="http://schemas.openxmlformats.org/officeDocument/2006/relationships/hyperlink" Target="https://www.science.org/doi/10.1126/science.ads2659"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SETU — Parametric Flood &amp; Disaster Cover</dc:title>
  <dc:creator>Bajaj Allianz — Strategy &amp; New Ventures</dc:creator>
  <dc:description>Parametric flood/disaster insurance for North &amp; NE India — Aug 2026 verified</dc:description>
  <cp:lastModifiedBy>Un-named</cp:lastModifiedBy>
  <cp:revision>1</cp:revision>
  <dcterms:created xsi:type="dcterms:W3CDTF">2026-08-25T05:49:27.367Z</dcterms:created>
  <dcterms:modified xsi:type="dcterms:W3CDTF">2026-08-25T05:49:27.368Z</dcterms:modified>
</cp:coreProperties>
</file>

<file path=docProps/custom.xml><?xml version="1.0" encoding="utf-8"?>
<Properties xmlns="http://schemas.openxmlformats.org/officeDocument/2006/custom-properties" xmlns:vt="http://schemas.openxmlformats.org/officeDocument/2006/docPropsVTypes"/>
</file>