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7A54"/>
          <w:sz w:val="22"/>
          <w:szCs w:val="22"/>
        </w:rPr>
        <w:t xml:space="preserve">CENTRAL ANALYTICS  —  USE CASE DOCUMENT</w:t>
      </w:r>
    </w:p>
    <w:p>
      <w:pPr>
        <w:spacing w:after="0" w:before="60"/>
        <w:jc w:val="center"/>
      </w:pPr>
      <w:r>
        <w:rPr>
          <w:color w:val="2E5496"/>
          <w:sz w:val="18"/>
          <w:szCs w:val="18"/>
        </w:rPr>
        <w:t xml:space="preserve">Prepared to the standard Use Case documentation template</w:t>
      </w:r>
    </w:p>
    <w:p>
      <w:pPr>
        <w:spacing w:after="0" w:before="520"/>
        <w:jc w:val="center"/>
      </w:pPr>
      <w:r>
        <w:rPr>
          <w:b/>
          <w:bCs/>
          <w:color w:val="1F3864"/>
          <w:sz w:val="40"/>
          <w:szCs w:val="40"/>
        </w:rPr>
        <w:t xml:space="preserve">AI for Property-Level Catastrophe Risk</w:t>
      </w:r>
    </w:p>
    <w:p>
      <w:pPr>
        <w:spacing w:after="0" w:before="10"/>
        <w:jc w:val="center"/>
      </w:pPr>
      <w:r>
        <w:rPr>
          <w:b/>
          <w:bCs/>
          <w:color w:val="1F3864"/>
          <w:sz w:val="40"/>
          <w:szCs w:val="40"/>
        </w:rPr>
        <w:t xml:space="preserve">&amp; Insurance Penetration in High-Risk Areas</w:t>
      </w:r>
    </w:p>
    <w:p>
      <w:pPr>
        <w:spacing w:after="0" w:before="40"/>
        <w:jc w:val="center"/>
      </w:pPr>
      <w:r>
        <w:rPr>
          <w:i/>
          <w:iCs/>
          <w:color w:val="2E5496"/>
          <w:sz w:val="21"/>
          <w:szCs w:val="21"/>
        </w:rPr>
        <w:t xml:space="preserve">Building-by-building risk scoring and automatic payouts to make</w:t>
      </w:r>
    </w:p>
    <w:p>
      <w:pPr>
        <w:spacing w:after="0" w:before="10"/>
        <w:jc w:val="center"/>
      </w:pPr>
      <w:r>
        <w:rPr>
          <w:i/>
          <w:iCs/>
          <w:color w:val="2E5496"/>
          <w:sz w:val="21"/>
          <w:szCs w:val="21"/>
        </w:rPr>
        <w:t xml:space="preserve">high nat-cat areas insurable — with a focus on flood and disaster cover in North &amp; Northeast India</w:t>
      </w:r>
    </w:p>
    <w:p>
      <w:pPr>
        <w:spacing w:after="0" w:before="700"/>
        <w:jc w:val="center"/>
      </w:pPr>
      <w:r>
        <w:rPr>
          <w:color w:val="222222"/>
          <w:sz w:val="20"/>
          <w:szCs w:val="20"/>
        </w:rPr>
        <w:t xml:space="preserve">This document reviews what is being done globally today, and how the same approach applies to the initiative.</w:t>
      </w:r>
    </w:p>
    <w:p>
      <w:pPr>
        <w:spacing w:after="0" w:before="820"/>
        <w:jc w:val="center"/>
      </w:pPr>
      <w:r>
        <w:rPr>
          <w:color w:val="777777"/>
          <w:sz w:val="17"/>
          <w:szCs w:val="17"/>
        </w:rPr>
        <w:t xml:space="preserve">Data verified as of August 2026 — links in Section 6</w:t>
      </w:r>
    </w:p>
    <w:p>
      <w:pPr>
        <w:spacing w:after="0" w:before="20"/>
        <w:jc w:val="center"/>
      </w:pPr>
      <w:r>
        <w:rPr>
          <w:color w:val="777777"/>
          <w:sz w:val="17"/>
          <w:szCs w:val="17"/>
        </w:rPr>
        <w:t xml:space="preserve">Internal Review  |  August 2026</w:t>
      </w:r>
    </w:p>
    <w:p>
      <w:r>
        <w:br w:type="page"/>
      </w:r>
    </w:p>
    <w:p>
      <w:pPr>
        <w:spacing w:after="120"/>
      </w:pPr>
      <w:r>
        <w:rPr>
          <w:b/>
          <w:bCs/>
          <w:color w:val="1F3864"/>
          <w:sz w:val="28"/>
          <w:szCs w:val="28"/>
        </w:rPr>
        <w:t xml:space="preserve">Document Template — Sections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7526"/>
      </w:tblGrid>
      <w:tr>
        <w:trPr>
          <w:tblHeader/>
        </w:trPr>
        <w:tc>
          <w:tcPr>
            <w:tcW w:type="dxa" w:w="1500"/>
            <w:shd w:fill="1F3864" w:color="auto" w:val="clear"/>
            <w:tcMar>
              <w:top w:type="dxa" w:w="60"/>
              <w:left w:type="dxa" w:w="90"/>
              <w:bottom w:type="dxa" w:w="60"/>
              <w:right w:type="dxa" w:w="90"/>
            </w:tcMar>
          </w:tcPr>
          <w:p>
            <w:pPr>
              <w:spacing w:after="0" w:line="250"/>
              <w:jc w:val="left"/>
            </w:pPr>
            <w:r>
              <w:rPr>
                <w:b/>
                <w:bCs/>
                <w:color w:val="FFFFFF"/>
                <w:sz w:val="18"/>
                <w:szCs w:val="18"/>
              </w:rPr>
              <w:t xml:space="preserve">Section</w:t>
            </w:r>
          </w:p>
        </w:tc>
        <w:tc>
          <w:tcPr>
            <w:tcW w:type="dxa" w:w="7526"/>
            <w:shd w:fill="1F3864" w:color="auto" w:val="clear"/>
            <w:tcMar>
              <w:top w:type="dxa" w:w="60"/>
              <w:left w:type="dxa" w:w="90"/>
              <w:bottom w:type="dxa" w:w="60"/>
              <w:right w:type="dxa" w:w="90"/>
            </w:tcMar>
          </w:tcPr>
          <w:p>
            <w:pPr>
              <w:spacing w:after="0" w:line="250"/>
              <w:jc w:val="left"/>
            </w:pPr>
            <w:r>
              <w:rPr>
                <w:b/>
                <w:bCs/>
                <w:color w:val="FFFFFF"/>
                <w:sz w:val="18"/>
                <w:szCs w:val="18"/>
              </w:rPr>
              <w:t xml:space="preserve">Template</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w:t>
            </w:r>
          </w:p>
        </w:tc>
        <w:tc>
          <w:tcPr>
            <w:tcW w:type="dxa" w:w="75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Business Challenge</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w:t>
            </w:r>
          </w:p>
        </w:tc>
        <w:tc>
          <w:tcPr>
            <w:tcW w:type="dxa" w:w="75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Data Foundations</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w:t>
            </w:r>
          </w:p>
        </w:tc>
        <w:tc>
          <w:tcPr>
            <w:tcW w:type="dxa" w:w="75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Analytics Approach</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4</w:t>
            </w:r>
          </w:p>
        </w:tc>
        <w:tc>
          <w:tcPr>
            <w:tcW w:type="dxa" w:w="75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Example</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5</w:t>
            </w:r>
          </w:p>
        </w:tc>
        <w:tc>
          <w:tcPr>
            <w:tcW w:type="dxa" w:w="75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Impact</w:t>
            </w:r>
          </w:p>
        </w:tc>
      </w:tr>
      <w:tr>
        <w:tc>
          <w:tcPr>
            <w:tcW w:type="dxa" w:w="15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6</w:t>
            </w:r>
          </w:p>
        </w:tc>
        <w:tc>
          <w:tcPr>
            <w:tcW w:type="dxa" w:w="75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Case Study Link</w:t>
            </w:r>
          </w:p>
        </w:tc>
      </w:tr>
      <w:tr>
        <w:tc>
          <w:tcPr>
            <w:tcW w:type="dxa" w:w="15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7</w:t>
            </w:r>
          </w:p>
        </w:tc>
        <w:tc>
          <w:tcPr>
            <w:tcW w:type="dxa" w:w="75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Relevance to Insurance</w:t>
            </w:r>
          </w:p>
        </w:tc>
      </w:tr>
    </w:tbl>
    <w:p>
      <w:pPr>
        <w:spacing w:after="160"/>
      </w:pPr>
    </w:p>
    <w:p>
      <w:pPr>
        <w:spacing w:after="120"/>
      </w:pPr>
      <w:r>
        <w:rPr>
          <w:b/>
          <w:bCs/>
          <w:color w:val="1F3864"/>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1. Business Challenge</w:t>
      </w:r>
    </w:p>
    <w:p>
      <w:pPr>
        <w:spacing w:after="130" w:line="276"/>
        <w:jc w:val="both"/>
      </w:pPr>
      <w:r>
        <w:rPr>
          <w:color w:val="222222"/>
          <w:sz w:val="21"/>
          <w:szCs w:val="21"/>
        </w:rPr>
        <w:t xml:space="preserve">In the places that need cover most, insurance reaches the fewest people. India’s </w:t>
      </w:r>
      <w:r>
        <w:rPr>
          <w:b/>
          <w:bCs/>
          <w:color w:val="222222"/>
          <w:sz w:val="21"/>
          <w:szCs w:val="21"/>
        </w:rPr>
        <w:t xml:space="preserve">non-life insurance covers only about 1.0% of GDP</w:t>
      </w:r>
      <w:r>
        <w:rPr>
          <w:color w:val="222222"/>
          <w:sz w:val="21"/>
          <w:szCs w:val="21"/>
        </w:rPr>
        <w:t xml:space="preserve">, and each person spends roughly </w:t>
      </w:r>
      <w:r>
        <w:rPr>
          <w:b/>
          <w:bCs/>
          <w:color w:val="222222"/>
          <w:sz w:val="21"/>
          <w:szCs w:val="21"/>
        </w:rPr>
        <w:t xml:space="preserve">$25 a year</w:t>
      </w:r>
      <w:r>
        <w:rPr>
          <w:color w:val="222222"/>
          <w:sz w:val="21"/>
          <w:szCs w:val="21"/>
        </w:rPr>
        <w:t xml:space="preserve"> on it, against about </w:t>
      </w:r>
      <w:r>
        <w:rPr>
          <w:b/>
          <w:bCs/>
          <w:color w:val="222222"/>
          <w:sz w:val="21"/>
          <w:szCs w:val="21"/>
        </w:rPr>
        <w:t xml:space="preserve">$555 worldwide.</w:t>
      </w:r>
      <w:r>
        <w:rPr>
          <w:color w:val="222222"/>
          <w:sz w:val="21"/>
          <w:szCs w:val="21"/>
        </w:rPr>
        <w:t xml:space="preserve"> For disasters the gap is worse still: Swiss Re estimates that </w:t>
      </w:r>
      <w:r>
        <w:rPr>
          <w:b/>
          <w:bCs/>
          <w:color w:val="222222"/>
          <w:sz w:val="21"/>
          <w:szCs w:val="21"/>
        </w:rPr>
        <w:t xml:space="preserve">about 93% of India’s natural-disaster losses are uninsured</w:t>
      </w:r>
      <w:r>
        <w:rPr>
          <w:color w:val="222222"/>
          <w:sz w:val="21"/>
          <w:szCs w:val="21"/>
        </w:rPr>
        <w:t xml:space="preserve">, and that </w:t>
      </w:r>
      <w:r>
        <w:rPr>
          <w:b/>
          <w:bCs/>
          <w:color w:val="222222"/>
          <w:sz w:val="21"/>
          <w:szCs w:val="21"/>
        </w:rPr>
        <w:t xml:space="preserve">roughly $32.94 billion (₹2.7 lakh crore) of disaster losses went uninsured between 2018 and 2022.</w:t>
      </w:r>
    </w:p>
    <w:p>
      <w:pPr>
        <w:spacing w:after="130" w:line="276"/>
        <w:jc w:val="both"/>
      </w:pPr>
      <w:r>
        <w:rPr>
          <w:color w:val="222222"/>
          <w:sz w:val="21"/>
          <w:szCs w:val="21"/>
        </w:rPr>
        <w:t xml:space="preserve">North and Northeast India show the problem sharply. Assam floods almost every year — </w:t>
      </w:r>
      <w:r>
        <w:rPr>
          <w:b/>
          <w:bCs/>
          <w:color w:val="222222"/>
          <w:sz w:val="21"/>
          <w:szCs w:val="21"/>
        </w:rPr>
        <w:t xml:space="preserve">about 2.45 million people were affected across 30 districts in 2024</w:t>
      </w:r>
      <w:r>
        <w:rPr>
          <w:color w:val="222222"/>
          <w:sz w:val="21"/>
          <w:szCs w:val="21"/>
        </w:rPr>
        <w:t xml:space="preserve"> — and the mountains add sudden events, like the </w:t>
      </w:r>
      <w:r>
        <w:rPr>
          <w:b/>
          <w:bCs/>
          <w:color w:val="222222"/>
          <w:sz w:val="21"/>
          <w:szCs w:val="21"/>
        </w:rPr>
        <w:t xml:space="preserve">October 2023 glacial-lake flood in Sikkim that destroyed the 1,200 MW Teesta III dam.</w:t>
      </w:r>
      <w:r>
        <w:rPr>
          <w:color w:val="222222"/>
          <w:sz w:val="21"/>
          <w:szCs w:val="21"/>
        </w:rPr>
        <w:t xml:space="preserve"> Yet cover barely reaches these areas.</w:t>
      </w:r>
    </w:p>
    <w:p>
      <w:pPr>
        <w:pStyle w:val="Heading2"/>
        <w:spacing w:after="90" w:before="220"/>
      </w:pPr>
      <w:r>
        <w:rPr>
          <w:b/>
          <w:bCs/>
          <w:color w:val="2E5496"/>
          <w:sz w:val="25"/>
          <w:szCs w:val="25"/>
        </w:rPr>
        <w:t xml:space="preserve">1.1 The real reason cover is missing</w:t>
      </w:r>
    </w:p>
    <w:p>
      <w:pPr>
        <w:spacing w:after="130" w:line="276"/>
        <w:jc w:val="both"/>
      </w:pPr>
      <w:r>
        <w:rPr>
          <w:color w:val="222222"/>
          <w:sz w:val="21"/>
          <w:szCs w:val="21"/>
        </w:rPr>
        <w:t xml:space="preserve">It is tempting to blame low awareness, but the deeper reasons are on the insurer’s side. Two problems block cover in high natural-catastrophe (“nat-cat”) areas:</w:t>
      </w:r>
    </w:p>
    <w:p>
      <w:pPr>
        <w:pStyle w:val="ListParagraph"/>
        <w:numPr>
          <w:ilvl w:val="0"/>
          <w:numId w:val="2"/>
        </w:numPr>
        <w:spacing w:after="70" w:line="272"/>
        <w:jc w:val="both"/>
      </w:pPr>
      <w:r>
        <w:rPr>
          <w:b/>
          <w:bCs/>
          <w:color w:val="222222"/>
          <w:sz w:val="21"/>
          <w:szCs w:val="21"/>
        </w:rPr>
        <w:t xml:space="preserve">Insurers cannot price a single building in a high-risk zone.</w:t>
      </w:r>
      <w:r>
        <w:rPr>
          <w:color w:val="222222"/>
          <w:sz w:val="21"/>
          <w:szCs w:val="21"/>
        </w:rPr>
        <w:t xml:space="preserve"> Traditional pricing works off a broad flood zone or a district average. That is too blunt to underwrite confidently, so insurers avoid these areas altogether.</w:t>
      </w:r>
    </w:p>
    <w:p>
      <w:pPr>
        <w:pStyle w:val="ListParagraph"/>
        <w:numPr>
          <w:ilvl w:val="0"/>
          <w:numId w:val="2"/>
        </w:numPr>
        <w:spacing w:after="70" w:line="272"/>
        <w:jc w:val="both"/>
      </w:pPr>
      <w:r>
        <w:rPr>
          <w:b/>
          <w:bCs/>
          <w:color w:val="222222"/>
          <w:sz w:val="21"/>
          <w:szCs w:val="21"/>
        </w:rPr>
        <w:t xml:space="preserve">Claims are too slow and costly for small policies.</w:t>
      </w:r>
      <w:r>
        <w:rPr>
          <w:color w:val="222222"/>
          <w:sz w:val="21"/>
          <w:szCs w:val="21"/>
        </w:rPr>
        <w:t xml:space="preserve"> Sending a surveyor to a remote, flooded village makes a small policy uneconomic — and slow payouts destroy trust.</w:t>
      </w:r>
    </w:p>
    <w:p>
      <w:pPr>
        <w:spacing w:after="130" w:line="276"/>
        <w:jc w:val="both"/>
      </w:pPr>
      <w:r>
        <w:rPr>
          <w:b/>
          <w:bCs/>
          <w:color w:val="222222"/>
          <w:sz w:val="21"/>
          <w:szCs w:val="21"/>
        </w:rPr>
        <w:t xml:space="preserve">So the challenge this initiative addresses is twofold:</w:t>
      </w:r>
      <w:r>
        <w:rPr>
          <w:color w:val="222222"/>
          <w:sz w:val="21"/>
          <w:szCs w:val="21"/>
        </w:rPr>
        <w:t xml:space="preserve"> give the insurer the ability to </w:t>
      </w:r>
      <w:r>
        <w:rPr>
          <w:b/>
          <w:bCs/>
          <w:color w:val="222222"/>
          <w:sz w:val="21"/>
          <w:szCs w:val="21"/>
        </w:rPr>
        <w:t xml:space="preserve">score and price risk building-by-building</w:t>
      </w:r>
      <w:r>
        <w:rPr>
          <w:color w:val="222222"/>
          <w:sz w:val="21"/>
          <w:szCs w:val="21"/>
        </w:rPr>
        <w:t xml:space="preserve"> in high-cat areas, and </w:t>
      </w:r>
      <w:r>
        <w:rPr>
          <w:b/>
          <w:bCs/>
          <w:color w:val="222222"/>
          <w:sz w:val="21"/>
          <w:szCs w:val="21"/>
        </w:rPr>
        <w:t xml:space="preserve">pay automatically and fast</w:t>
      </w:r>
      <w:r>
        <w:rPr>
          <w:color w:val="222222"/>
          <w:sz w:val="21"/>
          <w:szCs w:val="21"/>
        </w:rPr>
        <w:t xml:space="preserve"> so small cover becomes viable. Solve both, and cover becomes available where it was not — which is what lifts penetration. The rest of this document shows how the world is already doing exactly this, and how it applies here.</w:t>
      </w:r>
    </w:p>
    <w:p>
      <w:pPr>
        <w:pStyle w:val="Heading1"/>
        <w:spacing w:after="140" w:before="320"/>
      </w:pPr>
      <w:r>
        <w:rPr>
          <w:b/>
          <w:bCs/>
          <w:color w:val="1F3864"/>
          <w:sz w:val="30"/>
          <w:szCs w:val="30"/>
        </w:rPr>
        <w:t xml:space="preserve">2. Data Foundations</w:t>
      </w:r>
    </w:p>
    <w:p>
      <w:pPr>
        <w:spacing w:after="130" w:line="276"/>
        <w:jc w:val="both"/>
      </w:pPr>
      <w:r>
        <w:rPr>
          <w:color w:val="222222"/>
          <w:sz w:val="21"/>
          <w:szCs w:val="21"/>
        </w:rPr>
        <w:t xml:space="preserve">The good news: most of the data needed already exists, much of it free or cheap from Indian agencies. The table below maps each input to its source and how to get it. The one true gap — building-level loss history — is covered right after.</w:t>
      </w:r>
    </w:p>
    <w:p>
      <w:pPr>
        <w:spacing w:after="30"/>
      </w:pP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1650"/>
        <w:gridCol w:w="2100"/>
        <w:gridCol w:w="2650"/>
        <w:gridCol w:w="2626"/>
      </w:tblGrid>
      <w:tr>
        <w:trPr>
          <w:tblHeader/>
        </w:trPr>
        <w:tc>
          <w:tcPr>
            <w:tcW w:type="dxa" w:w="1650"/>
            <w:shd w:fill="1F3864" w:color="auto" w:val="clear"/>
            <w:tcMar>
              <w:top w:type="dxa" w:w="60"/>
              <w:left w:type="dxa" w:w="90"/>
              <w:bottom w:type="dxa" w:w="60"/>
              <w:right w:type="dxa" w:w="90"/>
            </w:tcMar>
          </w:tcPr>
          <w:p>
            <w:pPr>
              <w:spacing w:after="0" w:line="250"/>
              <w:jc w:val="left"/>
            </w:pPr>
            <w:r>
              <w:rPr>
                <w:b/>
                <w:bCs/>
                <w:color w:val="FFFFFF"/>
                <w:sz w:val="18"/>
                <w:szCs w:val="18"/>
              </w:rPr>
              <w:t xml:space="preserve">Data input</w:t>
            </w:r>
          </w:p>
        </w:tc>
        <w:tc>
          <w:tcPr>
            <w:tcW w:type="dxa" w:w="2100"/>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 / owner</w:t>
            </w:r>
          </w:p>
        </w:tc>
        <w:tc>
          <w:tcPr>
            <w:tcW w:type="dxa" w:w="2650"/>
            <w:shd w:fill="1F3864" w:color="auto" w:val="clear"/>
            <w:tcMar>
              <w:top w:type="dxa" w:w="60"/>
              <w:left w:type="dxa" w:w="90"/>
              <w:bottom w:type="dxa" w:w="60"/>
              <w:right w:type="dxa" w:w="90"/>
            </w:tcMar>
          </w:tcPr>
          <w:p>
            <w:pPr>
              <w:spacing w:after="0" w:line="250"/>
              <w:jc w:val="left"/>
            </w:pPr>
            <w:r>
              <w:rPr>
                <w:b/>
                <w:bCs/>
                <w:color w:val="FFFFFF"/>
                <w:sz w:val="18"/>
                <w:szCs w:val="18"/>
              </w:rPr>
              <w:t xml:space="preserve">How to access (2026)</w:t>
            </w:r>
          </w:p>
        </w:tc>
        <w:tc>
          <w:tcPr>
            <w:tcW w:type="dxa" w:w="2626"/>
            <w:shd w:fill="1F3864" w:color="auto" w:val="clear"/>
            <w:tcMar>
              <w:top w:type="dxa" w:w="60"/>
              <w:left w:type="dxa" w:w="90"/>
              <w:bottom w:type="dxa" w:w="60"/>
              <w:right w:type="dxa" w:w="90"/>
            </w:tcMar>
          </w:tcPr>
          <w:p>
            <w:pPr>
              <w:spacing w:after="0" w:line="250"/>
              <w:jc w:val="left"/>
            </w:pPr>
            <w:r>
              <w:rPr>
                <w:b/>
                <w:bCs/>
                <w:color w:val="FFFFFF"/>
                <w:sz w:val="18"/>
                <w:szCs w:val="18"/>
              </w:rPr>
              <w:t xml:space="preserve">The catch</w:t>
            </w:r>
          </w:p>
        </w:tc>
      </w:tr>
      <w:tr>
        <w:tc>
          <w:tcPr>
            <w:tcW w:type="dxa" w:w="1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Satellite &amp; radar flood maps</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NRSC/ISRO (Bhuvan, NDEM); ESA Copernicus Sentinel-1 SAR (free)</w:t>
            </w:r>
          </w:p>
        </w:tc>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(register to download); NDEM login-gated; Sentinel-1 fully open</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Full NDEM access is government-only — route via a state disaster authority</w:t>
            </w:r>
          </w:p>
        </w:tc>
      </w:tr>
      <w:tr>
        <w:tc>
          <w:tcPr>
            <w:tcW w:type="dxa" w:w="1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Rainfall &amp; forecasts</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 Meteorological Department (IMD)</w:t>
            </w:r>
          </w:p>
        </w:tc>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IMD Data Supply Portal (dsp.imdpune.gov.in)</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Commercial use chargeable + 18% GST</w:t>
            </w:r>
          </w:p>
        </w:tc>
      </w:tr>
      <w:tr>
        <w:tc>
          <w:tcPr>
            <w:tcW w:type="dxa" w:w="1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River levels &amp; flow</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Central Water Commission (CWC); India-WRIS</w:t>
            </w:r>
          </w:p>
        </w:tc>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FloodWatch India app; India-WRIS portal (download + API)</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Real-time quality varies; a formal CWC deal makes a trigger solid</w:t>
            </w:r>
          </w:p>
        </w:tc>
      </w:tr>
      <w:tr>
        <w:tc>
          <w:tcPr>
            <w:tcW w:type="dxa" w:w="1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7-day flood forecasts</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Google Flood Hub + CWC</w:t>
            </w:r>
          </w:p>
        </w:tc>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 Forecasting API — free (CC BY 4.0, waitlist)</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Forecast, not proof of loss — use for warning, not the trigger</w:t>
            </w:r>
          </w:p>
        </w:tc>
      </w:tr>
      <w:tr>
        <w:tc>
          <w:tcPr>
            <w:tcW w:type="dxa" w:w="1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Elevation / terrain</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 CartoDEM 30m (free); high-res LiDAR (not open)</w:t>
            </w:r>
          </w:p>
        </w:tc>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 Bhoonidhi / data.gov.in</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Steep NE terrain needs finer LiDAR via an NRSC/state deal</w:t>
            </w:r>
          </w:p>
        </w:tc>
      </w:tr>
      <w:tr>
        <w:tc>
          <w:tcPr>
            <w:tcW w:type="dxa" w:w="1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Glacial-lake (GLOF) hazard</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ISRO/NRSC inventory (28,043 lakes); NDMA high-risk list (189)</w:t>
            </w:r>
          </w:p>
        </w:tc>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Bhuvan (National Hydrology Project); NDMA reports</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Excellent, authoritative data</w:t>
            </w:r>
          </w:p>
        </w:tc>
      </w:tr>
      <w:tr>
        <w:tc>
          <w:tcPr>
            <w:tcW w:type="dxa" w:w="1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Building-level property data</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Commercial AI property intelligence (see §2.1)</w:t>
            </w:r>
          </w:p>
        </w:tc>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Vendor licence / API</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 coverage is thinner than US/EU — build/partner locally</w:t>
            </w:r>
          </w:p>
        </w:tc>
      </w:tr>
      <w:tr>
        <w:tc>
          <w:tcPr>
            <w:tcW w:type="dxa" w:w="1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Past loss records (₹)</w:t>
            </w:r>
          </w:p>
        </w:tc>
        <w:tc>
          <w:tcPr>
            <w:tcW w:type="dxa" w:w="21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IIB, GIC Re, ASDMA, EM-DAT — all partial</w:t>
            </w:r>
          </w:p>
        </w:tc>
        <w:tc>
          <w:tcPr>
            <w:tcW w:type="dxa" w:w="2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No complete public source — substitute with cat models</w:t>
            </w:r>
          </w:p>
        </w:tc>
        <w:tc>
          <w:tcPr>
            <w:tcW w:type="dxa" w:w="2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real gap (see below)</w:t>
            </w:r>
          </w:p>
        </w:tc>
      </w:tr>
      <w:tr>
        <w:tc>
          <w:tcPr>
            <w:tcW w:type="dxa" w:w="1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Payout rails</w:t>
            </w:r>
          </w:p>
        </w:tc>
        <w:tc>
          <w:tcPr>
            <w:tcW w:type="dxa" w:w="21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NPCI (UPI), Aadhaar/DBT, Jan Dhan</w:t>
            </w:r>
          </w:p>
        </w:tc>
        <w:tc>
          <w:tcPr>
            <w:tcW w:type="dxa" w:w="2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Standard national payment plumbing</w:t>
            </w:r>
          </w:p>
        </w:tc>
        <w:tc>
          <w:tcPr>
            <w:tcW w:type="dxa" w:w="2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Proven in India — low friction</w:t>
            </w:r>
          </w:p>
        </w:tc>
      </w:tr>
    </w:tbl>
    <w:p>
      <w:pPr>
        <w:spacing w:after="70"/>
      </w:pPr>
    </w:p>
    <w:p>
      <w:pPr>
        <w:pStyle w:val="Heading2"/>
        <w:spacing w:after="90" w:before="220"/>
      </w:pPr>
      <w:r>
        <w:rPr>
          <w:b/>
          <w:bCs/>
          <w:color w:val="2E5496"/>
          <w:sz w:val="25"/>
          <w:szCs w:val="25"/>
        </w:rPr>
        <w:t xml:space="preserve">2.1 The one real gap — and how the world fills it</w:t>
      </w:r>
    </w:p>
    <w:p>
      <w:pPr>
        <w:spacing w:after="130" w:line="276"/>
        <w:jc w:val="both"/>
      </w:pPr>
      <w:r>
        <w:rPr>
          <w:color w:val="222222"/>
          <w:sz w:val="21"/>
          <w:szCs w:val="21"/>
        </w:rPr>
        <w:t xml:space="preserve">India has </w:t>
      </w:r>
      <w:r>
        <w:rPr>
          <w:b/>
          <w:bCs/>
          <w:color w:val="222222"/>
          <w:sz w:val="21"/>
          <w:szCs w:val="21"/>
        </w:rPr>
        <w:t xml:space="preserve">no public, building-by-building record of past flood losses in rupees.</w:t>
      </w:r>
      <w:r>
        <w:rPr>
          <w:color w:val="222222"/>
          <w:sz w:val="21"/>
          <w:szCs w:val="21"/>
        </w:rPr>
        <w:t xml:space="preserve"> The pieces that exist are partial: the Insurance Information Bureau’s latest public fire-loss report is from FY2019-20; GIC Re holds no national catastrophe-loss database; Assam’s disaster authority publishes physical damage but not rupee losses per building; and EM-DAT records India floods only at country level.</w:t>
      </w:r>
    </w:p>
    <w:p>
      <w:pPr>
        <w:spacing w:after="130" w:line="276"/>
        <w:jc w:val="both"/>
      </w:pPr>
      <w:r>
        <w:rPr>
          <w:color w:val="222222"/>
          <w:sz w:val="21"/>
          <w:szCs w:val="21"/>
        </w:rPr>
        <w:t xml:space="preserve">Globally, insurers close this gap two ways — both directly usable here: </w:t>
      </w:r>
      <w:r>
        <w:rPr>
          <w:b/>
          <w:bCs/>
          <w:color w:val="222222"/>
          <w:sz w:val="21"/>
          <w:szCs w:val="21"/>
        </w:rPr>
        <w:t xml:space="preserve">(a) AI property intelligence</w:t>
      </w:r>
      <w:r>
        <w:rPr>
          <w:color w:val="222222"/>
          <w:sz w:val="21"/>
          <w:szCs w:val="21"/>
        </w:rPr>
        <w:t xml:space="preserve"> that reads satellite and aerial imagery to score each building (for example Cape Analytics, now part of Moody’s), and </w:t>
      </w:r>
      <w:r>
        <w:rPr>
          <w:b/>
          <w:bCs/>
          <w:color w:val="222222"/>
          <w:sz w:val="21"/>
          <w:szCs w:val="21"/>
        </w:rPr>
        <w:t xml:space="preserve">(b) probabilistic catastrophe models</w:t>
      </w:r>
      <w:r>
        <w:rPr>
          <w:color w:val="222222"/>
          <w:sz w:val="21"/>
          <w:szCs w:val="21"/>
        </w:rPr>
        <w:t xml:space="preserve"> that simulate tens of thousands of events where real loss history is thin (RMSI India FloodRisk 2.0, Moody’s RMS India Inland Flood, Fathom). The plan is to use IMD rainfall and CWC river levels as legal triggers, free Sentinel-1 radar to confirm each event, and a commercial model to price — with conservative loading for uncertainty.</w:t>
      </w:r>
    </w:p>
    <w:p>
      <w:pPr>
        <w:pStyle w:val="Heading1"/>
        <w:spacing w:after="140" w:before="320"/>
      </w:pPr>
      <w:r>
        <w:rPr>
          <w:b/>
          <w:bCs/>
          <w:color w:val="1F3864"/>
          <w:sz w:val="30"/>
          <w:szCs w:val="30"/>
        </w:rPr>
        <w:t xml:space="preserve">3. Analytics Approach</w:t>
      </w:r>
    </w:p>
    <w:p>
      <w:pPr>
        <w:spacing w:after="130" w:line="276"/>
        <w:jc w:val="both"/>
      </w:pPr>
      <w:r>
        <w:rPr>
          <w:color w:val="222222"/>
          <w:sz w:val="21"/>
          <w:szCs w:val="21"/>
        </w:rPr>
        <w:t xml:space="preserve">The approach joins three AI layers into one chain — risk to payout. Each layer is already proven somewhere in the world; the work is combining them for the Indian context.</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050"/>
        <w:gridCol w:w="4050"/>
        <w:gridCol w:w="2926"/>
      </w:tblGrid>
      <w:tr>
        <w:trPr>
          <w:tblHeader/>
        </w:trPr>
        <w:tc>
          <w:tcPr>
            <w:tcW w:type="dxa" w:w="2050"/>
            <w:shd w:fill="1F3864" w:color="auto" w:val="clear"/>
            <w:tcMar>
              <w:top w:type="dxa" w:w="60"/>
              <w:left w:type="dxa" w:w="90"/>
              <w:bottom w:type="dxa" w:w="60"/>
              <w:right w:type="dxa" w:w="90"/>
            </w:tcMar>
          </w:tcPr>
          <w:p>
            <w:pPr>
              <w:spacing w:after="0" w:line="250"/>
              <w:jc w:val="left"/>
            </w:pPr>
            <w:r>
              <w:rPr>
                <w:b/>
                <w:bCs/>
                <w:color w:val="FFFFFF"/>
                <w:sz w:val="18"/>
                <w:szCs w:val="18"/>
              </w:rPr>
              <w:t xml:space="preserve">Layer</w:t>
            </w:r>
          </w:p>
        </w:tc>
        <w:tc>
          <w:tcPr>
            <w:tcW w:type="dxa" w:w="4050"/>
            <w:shd w:fill="1F3864" w:color="auto" w:val="clear"/>
            <w:tcMar>
              <w:top w:type="dxa" w:w="60"/>
              <w:left w:type="dxa" w:w="90"/>
              <w:bottom w:type="dxa" w:w="60"/>
              <w:right w:type="dxa" w:w="90"/>
            </w:tcMar>
          </w:tcPr>
          <w:p>
            <w:pPr>
              <w:spacing w:after="0" w:line="250"/>
              <w:jc w:val="left"/>
            </w:pPr>
            <w:r>
              <w:rPr>
                <w:b/>
                <w:bCs/>
                <w:color w:val="FFFFFF"/>
                <w:sz w:val="18"/>
                <w:szCs w:val="18"/>
              </w:rPr>
              <w:t xml:space="preserve">What the AI does</w:t>
            </w:r>
          </w:p>
        </w:tc>
        <w:tc>
          <w:tcPr>
            <w:tcW w:type="dxa" w:w="2926"/>
            <w:shd w:fill="1F3864" w:color="auto" w:val="clear"/>
            <w:tcMar>
              <w:top w:type="dxa" w:w="60"/>
              <w:left w:type="dxa" w:w="90"/>
              <w:bottom w:type="dxa" w:w="60"/>
              <w:right w:type="dxa" w:w="90"/>
            </w:tcMar>
          </w:tcPr>
          <w:p>
            <w:pPr>
              <w:spacing w:after="0" w:line="250"/>
              <w:jc w:val="left"/>
            </w:pPr>
            <w:r>
              <w:rPr>
                <w:b/>
                <w:bCs/>
                <w:color w:val="FFFFFF"/>
                <w:sz w:val="18"/>
                <w:szCs w:val="18"/>
              </w:rPr>
              <w:t xml:space="preserve">Global proof it works</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1. Property-level risk score</w:t>
            </w:r>
          </w:p>
        </w:tc>
        <w:tc>
          <w:tcPr>
            <w:tcW w:type="dxa" w:w="4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Computer vision + machine learning read satellite/aerial imagery and hazard data to score each building’s risk</w:t>
            </w:r>
          </w:p>
        </w:tc>
        <w:tc>
          <w:tcPr>
            <w:tcW w:type="dxa" w:w="2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Cape Analytics scores risk at the individual address, back-tested on insurers’ claims data</w:t>
            </w:r>
          </w:p>
        </w:tc>
      </w:tr>
      <w:tr>
        <w:tc>
          <w:tcPr>
            <w:tcW w:type="dxa" w:w="2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 Parametric trigger design</w:t>
            </w:r>
          </w:p>
        </w:tc>
        <w:tc>
          <w:tcPr>
            <w:tcW w:type="dxa" w:w="40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Set payout rules from measured hazard (rainfall, river level, flood depth), using several measures together to cut “basis risk”</w:t>
            </w:r>
          </w:p>
        </w:tc>
        <w:tc>
          <w:tcPr>
            <w:tcW w:type="dxa" w:w="29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SEADRIF’s 2025 Lao PDR policy uses nationally-reported impact data as the trigger to reduce basis risk</w:t>
            </w:r>
          </w:p>
        </w:tc>
      </w:tr>
      <w:tr>
        <w:tc>
          <w:tcPr>
            <w:tcW w:type="dxa" w:w="2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 Automatic event confirmation</w:t>
            </w:r>
          </w:p>
        </w:tc>
        <w:tc>
          <w:tcPr>
            <w:tcW w:type="dxa" w:w="40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Satellite radar (SAR) confirms flood extent and depth per building within hours, triggering instant payout</w:t>
            </w:r>
          </w:p>
        </w:tc>
        <w:tc>
          <w:tcPr>
            <w:tcW w:type="dxa" w:w="29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ICEYE maps flood depth at building level within 24 hours of an event</w:t>
            </w:r>
          </w:p>
        </w:tc>
      </w:tr>
    </w:tbl>
    <w:p>
      <w:pPr>
        <w:spacing w:after="60"/>
      </w:pPr>
    </w:p>
    <w:p>
      <w:pPr>
        <w:spacing w:after="130" w:line="276"/>
        <w:jc w:val="both"/>
      </w:pPr>
      <w:r>
        <w:rPr>
          <w:b/>
          <w:bCs/>
          <w:color w:val="222222"/>
          <w:sz w:val="21"/>
          <w:szCs w:val="21"/>
        </w:rPr>
        <w:t xml:space="preserve">Basis risk — a payout missing a real loss — is the number-one thing to manage.</w:t>
      </w:r>
      <w:r>
        <w:rPr>
          <w:color w:val="222222"/>
          <w:sz w:val="21"/>
          <w:szCs w:val="21"/>
        </w:rPr>
        <w:t xml:space="preserve"> It is what broke Nagaland’s first scheme in 2021 (the trigger was set too high and it paid nothing). The fix used worldwide is to combine multiple measured triggers, confirm events with independent satellite data, and back-test triggers against past events before launch.</w:t>
      </w:r>
    </w:p>
    <w:p>
      <w:r>
        <w:br w:type="page"/>
      </w:r>
    </w:p>
    <w:p>
      <w:pPr>
        <w:pStyle w:val="Heading1"/>
        <w:spacing w:after="140" w:before="320"/>
      </w:pPr>
      <w:r>
        <w:rPr>
          <w:b/>
          <w:bCs/>
          <w:color w:val="1F3864"/>
          <w:sz w:val="30"/>
          <w:szCs w:val="30"/>
        </w:rPr>
        <w:t xml:space="preserve">4. Example — What Is Being Done Globally</w:t>
      </w:r>
    </w:p>
    <w:p>
      <w:pPr>
        <w:spacing w:after="130" w:line="276"/>
        <w:jc w:val="both"/>
      </w:pPr>
      <w:r>
        <w:rPr>
          <w:color w:val="222222"/>
          <w:sz w:val="21"/>
          <w:szCs w:val="21"/>
        </w:rPr>
        <w:t xml:space="preserve">This is the core of the case: building-by-building risk pricing and fast parametric payouts are </w:t>
      </w:r>
      <w:r>
        <w:rPr>
          <w:b/>
          <w:bCs/>
          <w:color w:val="222222"/>
          <w:sz w:val="21"/>
          <w:szCs w:val="21"/>
        </w:rPr>
        <w:t xml:space="preserve">already live around the world</w:t>
      </w:r>
      <w:r>
        <w:rPr>
          <w:color w:val="222222"/>
          <w:sz w:val="21"/>
          <w:szCs w:val="21"/>
        </w:rPr>
        <w:t xml:space="preserve"> in exactly the high-cat settings this initiative targets. The clearest examples:</w:t>
      </w:r>
    </w:p>
    <w:p>
      <w:pPr>
        <w:pStyle w:val="Heading2"/>
        <w:spacing w:after="90" w:before="220"/>
      </w:pPr>
      <w:r>
        <w:rPr>
          <w:b/>
          <w:bCs/>
          <w:color w:val="2E5496"/>
          <w:sz w:val="25"/>
          <w:szCs w:val="25"/>
        </w:rPr>
        <w:t xml:space="preserve">4.1 Building-level risk pricing</w:t>
      </w:r>
    </w:p>
    <w:p>
      <w:pPr>
        <w:pStyle w:val="ListParagraph"/>
        <w:numPr>
          <w:ilvl w:val="0"/>
          <w:numId w:val="2"/>
        </w:numPr>
        <w:spacing w:after="70" w:line="272"/>
        <w:jc w:val="both"/>
      </w:pPr>
      <w:r>
        <w:rPr>
          <w:b/>
          <w:bCs/>
          <w:color w:val="222222"/>
          <w:sz w:val="21"/>
          <w:szCs w:val="21"/>
        </w:rPr>
        <w:t xml:space="preserve">US flood insurance — FEMA “Risk Rating 2.0”.</w:t>
      </w:r>
      <w:r>
        <w:rPr>
          <w:color w:val="222222"/>
          <w:sz w:val="21"/>
          <w:szCs w:val="21"/>
        </w:rPr>
        <w:t xml:space="preserve"> Since April 2023, the US National Flood Insurance Program prices </w:t>
      </w:r>
      <w:r>
        <w:rPr>
          <w:b/>
          <w:bCs/>
          <w:color w:val="222222"/>
          <w:sz w:val="21"/>
          <w:szCs w:val="21"/>
        </w:rPr>
        <w:t xml:space="preserve">each building individually</w:t>
      </w:r>
      <w:r>
        <w:rPr>
          <w:color w:val="222222"/>
          <w:sz w:val="21"/>
          <w:szCs w:val="21"/>
        </w:rPr>
        <w:t xml:space="preserve"> — using structure-specific data like elevation, distance to water, flood frequency and rebuild cost — instead of a blanket flood-zone rate. It covers roughly </w:t>
      </w:r>
      <w:r>
        <w:rPr>
          <w:b/>
          <w:bCs/>
          <w:color w:val="222222"/>
          <w:sz w:val="21"/>
          <w:szCs w:val="21"/>
        </w:rPr>
        <w:t xml:space="preserve">5 million policies.</w:t>
      </w:r>
    </w:p>
    <w:p>
      <w:pPr>
        <w:pStyle w:val="ListParagraph"/>
        <w:numPr>
          <w:ilvl w:val="0"/>
          <w:numId w:val="2"/>
        </w:numPr>
        <w:spacing w:after="70" w:line="272"/>
        <w:jc w:val="both"/>
      </w:pPr>
      <w:r>
        <w:rPr>
          <w:b/>
          <w:bCs/>
          <w:color w:val="222222"/>
          <w:sz w:val="21"/>
          <w:szCs w:val="21"/>
        </w:rPr>
        <w:t xml:space="preserve">AI property intelligence — Cape Analytics (now Moody’s).</w:t>
      </w:r>
      <w:r>
        <w:rPr>
          <w:color w:val="222222"/>
          <w:sz w:val="21"/>
          <w:szCs w:val="21"/>
        </w:rPr>
        <w:t xml:space="preserve"> Cape uses computer vision on geospatial imagery to give </w:t>
      </w:r>
      <w:r>
        <w:rPr>
          <w:b/>
          <w:bCs/>
          <w:color w:val="222222"/>
          <w:sz w:val="21"/>
          <w:szCs w:val="21"/>
        </w:rPr>
        <w:t xml:space="preserve">instant, address-specific risk</w:t>
      </w:r>
      <w:r>
        <w:rPr>
          <w:color w:val="222222"/>
          <w:sz w:val="21"/>
          <w:szCs w:val="21"/>
        </w:rPr>
        <w:t xml:space="preserve"> for a property, validated against insurers’ own claims data. Moody’s acquired it in early 2025 and paired it with its RMS catastrophe models — letting insurers underwrite property-by-property in areas they once avoided.</w:t>
      </w:r>
    </w:p>
    <w:p>
      <w:pPr>
        <w:pStyle w:val="Heading2"/>
        <w:spacing w:after="90" w:before="220"/>
      </w:pPr>
      <w:r>
        <w:rPr>
          <w:b/>
          <w:bCs/>
          <w:color w:val="2E5496"/>
          <w:sz w:val="25"/>
          <w:szCs w:val="25"/>
        </w:rPr>
        <w:t xml:space="preserve">4.2 Satellite-driven parametric payouts</w:t>
      </w:r>
    </w:p>
    <w:p>
      <w:pPr>
        <w:pStyle w:val="ListParagraph"/>
        <w:numPr>
          <w:ilvl w:val="0"/>
          <w:numId w:val="2"/>
        </w:numPr>
        <w:spacing w:after="70" w:line="272"/>
        <w:jc w:val="both"/>
      </w:pPr>
      <w:r>
        <w:rPr>
          <w:b/>
          <w:bCs/>
          <w:color w:val="222222"/>
          <w:sz w:val="21"/>
          <w:szCs w:val="21"/>
        </w:rPr>
        <w:t xml:space="preserve">ICEYE (radar satellites).</w:t>
      </w:r>
      <w:r>
        <w:rPr>
          <w:color w:val="222222"/>
          <w:sz w:val="21"/>
          <w:szCs w:val="21"/>
        </w:rPr>
        <w:t xml:space="preserve"> ICEYE maps flood and storm damage at </w:t>
      </w:r>
      <w:r>
        <w:rPr>
          <w:b/>
          <w:bCs/>
          <w:color w:val="222222"/>
          <w:sz w:val="21"/>
          <w:szCs w:val="21"/>
        </w:rPr>
        <w:t xml:space="preserve">building level within 24 hours</w:t>
      </w:r>
      <w:r>
        <w:rPr>
          <w:color w:val="222222"/>
          <w:sz w:val="21"/>
          <w:szCs w:val="21"/>
        </w:rPr>
        <w:t xml:space="preserve">, measuring water depth per structure. It has analysed </w:t>
      </w:r>
      <w:r>
        <w:rPr>
          <w:b/>
          <w:bCs/>
          <w:color w:val="222222"/>
          <w:sz w:val="21"/>
          <w:szCs w:val="21"/>
        </w:rPr>
        <w:t xml:space="preserve">150+ global flood events since 2021.</w:t>
      </w:r>
      <w:r>
        <w:rPr>
          <w:color w:val="222222"/>
          <w:sz w:val="21"/>
          <w:szCs w:val="21"/>
        </w:rPr>
        <w:t xml:space="preserve"> Insurers use this to confirm events and pay fast — e.g. a </w:t>
      </w:r>
      <w:r>
        <w:rPr>
          <w:b/>
          <w:bCs/>
          <w:color w:val="222222"/>
          <w:sz w:val="21"/>
          <w:szCs w:val="21"/>
        </w:rPr>
        <w:t xml:space="preserve">Liberty Mutual Re building-level parametric wildfire product</w:t>
      </w:r>
      <w:r>
        <w:rPr>
          <w:color w:val="222222"/>
          <w:sz w:val="21"/>
          <w:szCs w:val="21"/>
        </w:rPr>
        <w:t xml:space="preserve"> (US/Australia, 2026), and a </w:t>
      </w:r>
      <w:r>
        <w:rPr>
          <w:b/>
          <w:bCs/>
          <w:color w:val="222222"/>
          <w:sz w:val="21"/>
          <w:szCs w:val="21"/>
        </w:rPr>
        <w:t xml:space="preserve">Swiss Re + ICEYE pilot with New York City</w:t>
      </w:r>
      <w:r>
        <w:rPr>
          <w:color w:val="222222"/>
          <w:sz w:val="21"/>
          <w:szCs w:val="21"/>
        </w:rPr>
        <w:t xml:space="preserve"> giving quick post-flood payouts to lower-income neighbourhoods.</w:t>
      </w:r>
    </w:p>
    <w:p>
      <w:pPr>
        <w:pStyle w:val="ListParagraph"/>
        <w:numPr>
          <w:ilvl w:val="0"/>
          <w:numId w:val="2"/>
        </w:numPr>
        <w:spacing w:after="70" w:line="272"/>
        <w:jc w:val="both"/>
      </w:pPr>
      <w:r>
        <w:rPr>
          <w:b/>
          <w:bCs/>
          <w:color w:val="222222"/>
          <w:sz w:val="21"/>
          <w:szCs w:val="21"/>
        </w:rPr>
        <w:t xml:space="preserve">Fast parametric products.</w:t>
      </w:r>
      <w:r>
        <w:rPr>
          <w:color w:val="222222"/>
          <w:sz w:val="21"/>
          <w:szCs w:val="21"/>
        </w:rPr>
        <w:t xml:space="preserve"> Swiss Re’s “STORM” promises </w:t>
      </w:r>
      <w:r>
        <w:rPr>
          <w:b/>
          <w:bCs/>
          <w:color w:val="222222"/>
          <w:sz w:val="21"/>
          <w:szCs w:val="21"/>
        </w:rPr>
        <w:t xml:space="preserve">payment within 14 days of a hurricane’s landfall</w:t>
      </w:r>
      <w:r>
        <w:rPr>
          <w:color w:val="222222"/>
          <w:sz w:val="21"/>
          <w:szCs w:val="21"/>
        </w:rPr>
        <w:t xml:space="preserve">; Aon, Floodbase and Swiss Re launched a parametric storm-surge product in 2025; Descartes Underwriting has crossed </w:t>
      </w:r>
      <w:r>
        <w:rPr>
          <w:b/>
          <w:bCs/>
          <w:color w:val="222222"/>
          <w:sz w:val="21"/>
          <w:szCs w:val="21"/>
        </w:rPr>
        <w:t xml:space="preserve">$200 million</w:t>
      </w:r>
      <w:r>
        <w:rPr>
          <w:color w:val="222222"/>
          <w:sz w:val="21"/>
          <w:szCs w:val="21"/>
        </w:rPr>
        <w:t xml:space="preserve"> in parametric premium.</w:t>
      </w:r>
    </w:p>
    <w:p>
      <w:pPr>
        <w:pStyle w:val="Heading2"/>
        <w:spacing w:after="90" w:before="220"/>
      </w:pPr>
      <w:r>
        <w:rPr>
          <w:b/>
          <w:bCs/>
          <w:color w:val="2E5496"/>
          <w:sz w:val="25"/>
          <w:szCs w:val="25"/>
        </w:rPr>
        <w:t xml:space="preserve">4.3 Making high-risk areas insurable through pooling</w:t>
      </w:r>
    </w:p>
    <w:p>
      <w:pPr>
        <w:pStyle w:val="ListParagraph"/>
        <w:numPr>
          <w:ilvl w:val="0"/>
          <w:numId w:val="2"/>
        </w:numPr>
        <w:spacing w:after="70" w:line="272"/>
        <w:jc w:val="both"/>
      </w:pPr>
      <w:r>
        <w:rPr>
          <w:b/>
          <w:bCs/>
          <w:color w:val="222222"/>
          <w:sz w:val="21"/>
          <w:szCs w:val="21"/>
        </w:rPr>
        <w:t xml:space="preserve">Flood Re (UK).</w:t>
      </w:r>
      <w:r>
        <w:rPr>
          <w:color w:val="222222"/>
          <w:sz w:val="21"/>
          <w:szCs w:val="21"/>
        </w:rPr>
        <w:t xml:space="preserve"> A reinsurance pool, funded by a small levy on all home insurance, that lets insurers offer affordable cover on high-flood-risk homes. It </w:t>
      </w:r>
      <w:r>
        <w:rPr>
          <w:b/>
          <w:bCs/>
          <w:color w:val="222222"/>
          <w:sz w:val="21"/>
          <w:szCs w:val="21"/>
        </w:rPr>
        <w:t xml:space="preserve">roughly halves</w:t>
      </w:r>
      <w:r>
        <w:rPr>
          <w:color w:val="222222"/>
          <w:sz w:val="21"/>
          <w:szCs w:val="21"/>
        </w:rPr>
        <w:t xml:space="preserve"> the premium on flooded properties and is transitioning the market to risk-reflective pricing by 2039.</w:t>
      </w:r>
    </w:p>
    <w:p>
      <w:pPr>
        <w:pStyle w:val="ListParagraph"/>
        <w:numPr>
          <w:ilvl w:val="0"/>
          <w:numId w:val="2"/>
        </w:numPr>
        <w:spacing w:after="70" w:line="272"/>
        <w:jc w:val="both"/>
      </w:pPr>
      <w:r>
        <w:rPr>
          <w:b/>
          <w:bCs/>
          <w:color w:val="222222"/>
          <w:sz w:val="21"/>
          <w:szCs w:val="21"/>
        </w:rPr>
        <w:t xml:space="preserve">Government parametric pools.</w:t>
      </w:r>
      <w:r>
        <w:rPr>
          <w:color w:val="222222"/>
          <w:sz w:val="21"/>
          <w:szCs w:val="21"/>
        </w:rPr>
        <w:t xml:space="preserve"> CCRIF (Caribbean/Central America), African Risk Capacity (ARC), and SEADRIF (Southeast Asia) pay governments fast after disasters. </w:t>
      </w:r>
      <w:r>
        <w:rPr>
          <w:b/>
          <w:bCs/>
          <w:color w:val="222222"/>
          <w:sz w:val="21"/>
          <w:szCs w:val="21"/>
        </w:rPr>
        <w:t xml:space="preserve">India’s own Nagaland scheme</w:t>
      </w:r>
      <w:r>
        <w:rPr>
          <w:color w:val="222222"/>
          <w:sz w:val="21"/>
          <w:szCs w:val="21"/>
        </w:rPr>
        <w:t xml:space="preserve"> — run by SBI General with Munich Re — already paid its first claim of </w:t>
      </w:r>
      <w:r>
        <w:rPr>
          <w:b/>
          <w:bCs/>
          <w:color w:val="222222"/>
          <w:sz w:val="21"/>
          <w:szCs w:val="21"/>
        </w:rPr>
        <w:t xml:space="preserve">about ₹1.06 crore in March 2025</w:t>
      </w:r>
      <w:r>
        <w:rPr>
          <w:color w:val="222222"/>
          <w:sz w:val="21"/>
          <w:szCs w:val="21"/>
        </w:rPr>
        <w:t xml:space="preserve">, digitally, with no field visit.</w:t>
      </w:r>
    </w:p>
    <w:p>
      <w:pPr>
        <w:pStyle w:val="Heading1"/>
        <w:spacing w:after="140" w:before="320"/>
      </w:pPr>
      <w:r>
        <w:rPr>
          <w:b/>
          <w:bCs/>
          <w:color w:val="1F3864"/>
          <w:sz w:val="30"/>
          <w:szCs w:val="30"/>
        </w:rPr>
        <w:t xml:space="preserve">5. Impact — The Numbers</w:t>
      </w:r>
    </w:p>
    <w:p>
      <w:pPr>
        <w:spacing w:after="130" w:line="276"/>
        <w:jc w:val="both"/>
      </w:pPr>
      <w:r>
        <w:rPr>
          <w:color w:val="222222"/>
          <w:sz w:val="21"/>
          <w:szCs w:val="21"/>
        </w:rPr>
        <w:t xml:space="preserve">These programmes show measurable results: more people covered, faster payouts, and better pricing — the exact outcomes this initiative targets.</w:t>
      </w:r>
    </w:p>
    <w:p>
      <w:pPr>
        <w:spacing w:after="30"/>
      </w:pPr>
    </w:p>
    <w:tbl>
      <w:tblPr>
        <w:tblW w:type="dxa" w:w="8026"/>
        <w:tblBorders>
          <w:top w:val="single" w:color="AAAAAA" w:sz="2"/>
          <w:left w:val="single" w:color="AAAAAA" w:sz="2"/>
          <w:bottom w:val="single" w:color="AAAAAA" w:sz="2"/>
          <w:right w:val="single" w:color="AAAAAA" w:sz="2"/>
          <w:insideH w:val="single" w:color="CCCCCC" w:sz="1"/>
          <w:insideV w:val="single" w:color="CCCCCC" w:sz="1"/>
        </w:tblBorders>
      </w:tblPr>
      <w:tblGrid>
        <w:gridCol w:w="2150"/>
        <w:gridCol w:w="4650"/>
        <w:gridCol w:w="1226"/>
      </w:tblGrid>
      <w:tr>
        <w:trPr>
          <w:tblHeader/>
        </w:trPr>
        <w:tc>
          <w:tcPr>
            <w:tcW w:type="dxa" w:w="2150"/>
            <w:shd w:fill="1F3864" w:color="auto" w:val="clear"/>
            <w:tcMar>
              <w:top w:type="dxa" w:w="60"/>
              <w:left w:type="dxa" w:w="90"/>
              <w:bottom w:type="dxa" w:w="60"/>
              <w:right w:type="dxa" w:w="90"/>
            </w:tcMar>
          </w:tcPr>
          <w:p>
            <w:pPr>
              <w:spacing w:after="0" w:line="250"/>
              <w:jc w:val="left"/>
            </w:pPr>
            <w:r>
              <w:rPr>
                <w:b/>
                <w:bCs/>
                <w:color w:val="FFFFFF"/>
                <w:sz w:val="18"/>
                <w:szCs w:val="18"/>
              </w:rPr>
              <w:t xml:space="preserve">Programme / tool</w:t>
            </w:r>
          </w:p>
        </w:tc>
        <w:tc>
          <w:tcPr>
            <w:tcW w:type="dxa" w:w="4650"/>
            <w:shd w:fill="1F3864" w:color="auto" w:val="clear"/>
            <w:tcMar>
              <w:top w:type="dxa" w:w="60"/>
              <w:left w:type="dxa" w:w="90"/>
              <w:bottom w:type="dxa" w:w="60"/>
              <w:right w:type="dxa" w:w="90"/>
            </w:tcMar>
          </w:tcPr>
          <w:p>
            <w:pPr>
              <w:spacing w:after="0" w:line="250"/>
              <w:jc w:val="left"/>
            </w:pPr>
            <w:r>
              <w:rPr>
                <w:b/>
                <w:bCs/>
                <w:color w:val="FFFFFF"/>
                <w:sz w:val="18"/>
                <w:szCs w:val="18"/>
              </w:rPr>
              <w:t xml:space="preserve">Measured impact</w:t>
            </w:r>
          </w:p>
        </w:tc>
        <w:tc>
          <w:tcPr>
            <w:tcW w:type="dxa" w:w="1226"/>
            <w:shd w:fill="1F3864" w:color="auto" w:val="clear"/>
            <w:tcMar>
              <w:top w:type="dxa" w:w="60"/>
              <w:left w:type="dxa" w:w="90"/>
              <w:bottom w:type="dxa" w:w="60"/>
              <w:right w:type="dxa" w:w="90"/>
            </w:tcMar>
          </w:tcPr>
          <w:p>
            <w:pPr>
              <w:spacing w:after="0" w:line="250"/>
              <w:jc w:val="left"/>
            </w:pPr>
            <w:r>
              <w:rPr>
                <w:b/>
                <w:bCs/>
                <w:color w:val="FFFFFF"/>
                <w:sz w:val="18"/>
                <w:szCs w:val="18"/>
              </w:rPr>
              <w:t xml:space="preserve">Source year</w:t>
            </w:r>
          </w:p>
        </w:tc>
      </w:tr>
      <w:tr>
        <w:tc>
          <w:tcPr>
            <w:tcW w:type="dxa" w:w="2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Flood Re (UK)</w:t>
            </w:r>
          </w:p>
        </w:tc>
        <w:tc>
          <w:tcPr>
            <w:tcW w:type="dxa" w:w="4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346,200 policies ceded in 2024/25 (record +20%); 660,000+ households helped to date; ~halves the premium on flooded homes; 4 in 5 prior-claim households saw prices fall</w:t>
            </w:r>
          </w:p>
        </w:tc>
        <w:tc>
          <w:tcPr>
            <w:tcW w:type="dxa" w:w="1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2025</w:t>
            </w:r>
          </w:p>
        </w:tc>
      </w:tr>
      <w:tr>
        <w:tc>
          <w:tcPr>
            <w:tcW w:type="dxa" w:w="2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FEMA Risk Rating 2.0 (US)</w:t>
            </w:r>
          </w:p>
        </w:tc>
        <w:tc>
          <w:tcPr>
            <w:tcW w:type="dxa" w:w="4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~5 million policies now priced building-by-building. Honest caveat: one study found risk-based pricing caused an 11–39% drop in new policies where premiums rose — accuracy without subsidy can hurt uptake</w:t>
            </w:r>
          </w:p>
        </w:tc>
        <w:tc>
          <w:tcPr>
            <w:tcW w:type="dxa" w:w="1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2023–25</w:t>
            </w:r>
          </w:p>
        </w:tc>
      </w:tr>
      <w:tr>
        <w:tc>
          <w:tcPr>
            <w:tcW w:type="dxa" w:w="2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CCRIF (Caribbean)</w:t>
            </w:r>
          </w:p>
        </w:tc>
        <w:tc>
          <w:tcPr>
            <w:tcW w:type="dxa" w:w="4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Since 2007: 40+ payouts totalling ~$156M; ~$84.5M paid to 7 members in a single year; 35 members; ~$1.44bn cover; payouts within 14 days</w:t>
            </w:r>
          </w:p>
        </w:tc>
        <w:tc>
          <w:tcPr>
            <w:tcW w:type="dxa" w:w="1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2025</w:t>
            </w:r>
          </w:p>
        </w:tc>
      </w:tr>
      <w:tr>
        <w:tc>
          <w:tcPr>
            <w:tcW w:type="dxa" w:w="2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African Risk Capacity</w:t>
            </w:r>
          </w:p>
        </w:tc>
        <w:tc>
          <w:tcPr>
            <w:tcW w:type="dxa" w:w="4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Protects 26.4 million+ people across 39 African Union states</w:t>
            </w:r>
          </w:p>
        </w:tc>
        <w:tc>
          <w:tcPr>
            <w:tcW w:type="dxa" w:w="1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2026</w:t>
            </w:r>
          </w:p>
        </w:tc>
      </w:tr>
      <w:tr>
        <w:tc>
          <w:tcPr>
            <w:tcW w:type="dxa" w:w="2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SEADRIF (Lao PDR)</w:t>
            </w:r>
          </w:p>
        </w:tc>
        <w:tc>
          <w:tcPr>
            <w:tcW w:type="dxa" w:w="4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$2M paid just 6 days after the disaster office’s impact report</w:t>
            </w:r>
          </w:p>
        </w:tc>
        <w:tc>
          <w:tcPr>
            <w:tcW w:type="dxa" w:w="1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2025</w:t>
            </w:r>
          </w:p>
        </w:tc>
      </w:tr>
      <w:tr>
        <w:tc>
          <w:tcPr>
            <w:tcW w:type="dxa" w:w="2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ICEYE (satellite)</w:t>
            </w:r>
          </w:p>
        </w:tc>
        <w:tc>
          <w:tcPr>
            <w:tcW w:type="dxa" w:w="4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Building-level flood depth within 24 hours; 150+ flood events analysed since 2021</w:t>
            </w:r>
          </w:p>
        </w:tc>
        <w:tc>
          <w:tcPr>
            <w:tcW w:type="dxa" w:w="1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2025–26</w:t>
            </w:r>
          </w:p>
        </w:tc>
      </w:tr>
      <w:tr>
        <w:tc>
          <w:tcPr>
            <w:tcW w:type="dxa" w:w="2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Microinsurance (global)</w:t>
            </w:r>
          </w:p>
        </w:tc>
        <w:tc>
          <w:tcPr>
            <w:tcW w:type="dxa" w:w="4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330 million people covered across 36 countries; $5.8bn premiums</w:t>
            </w:r>
          </w:p>
        </w:tc>
        <w:tc>
          <w:tcPr>
            <w:tcW w:type="dxa" w:w="1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2022</w:t>
            </w:r>
          </w:p>
        </w:tc>
      </w:tr>
      <w:tr>
        <w:tc>
          <w:tcPr>
            <w:tcW w:type="dxa" w:w="21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Parametric market (global)</w:t>
            </w:r>
          </w:p>
        </w:tc>
        <w:tc>
          <w:tcPr>
            <w:tcW w:type="dxa" w:w="465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~$23.85bn in 2026, growing ~12.8%/yr; Asia-Pacific fastest-growing</w:t>
            </w:r>
          </w:p>
        </w:tc>
        <w:tc>
          <w:tcPr>
            <w:tcW w:type="dxa" w:w="12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2026</w:t>
            </w:r>
          </w:p>
        </w:tc>
      </w:tr>
      <w:tr>
        <w:tc>
          <w:tcPr>
            <w:tcW w:type="dxa" w:w="21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Nagaland (India)</w:t>
            </w:r>
          </w:p>
        </w:tc>
        <w:tc>
          <w:tcPr>
            <w:tcW w:type="dxa" w:w="465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First state parametric payout: ~₹1.06 crore, digital, no field visit</w:t>
            </w:r>
          </w:p>
        </w:tc>
        <w:tc>
          <w:tcPr>
            <w:tcW w:type="dxa" w:w="12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2025</w:t>
            </w:r>
          </w:p>
        </w:tc>
      </w:tr>
    </w:tbl>
    <w:p>
      <w:pPr>
        <w:spacing w:after="70"/>
      </w:pPr>
    </w:p>
    <w:tbl>
      <w:tblPr>
        <w:tblW w:type="dxa" w:w="9026"/>
        <w:tblBorders>
          <w:top w:val="none"/>
          <w:left w:val="single" w:color="1F7A54" w:sz="18"/>
          <w:bottom w:val="none"/>
          <w:right w:val="none"/>
          <w:insideH w:val="none"/>
          <w:insideV w:val="none"/>
        </w:tblBorders>
      </w:tblPr>
      <w:tblGrid>
        <w:gridCol w:w="9026"/>
      </w:tblGrid>
      <w:tr>
        <w:tc>
          <w:tcPr>
            <w:tcW w:type="dxa" w:w="9026"/>
            <w:shd w:fill="E2EFDA" w:color="auto" w:val="clear"/>
            <w:tcMar>
              <w:top w:type="dxa" w:w="120"/>
              <w:left w:type="dxa" w:w="160"/>
              <w:bottom w:type="dxa" w:w="120"/>
              <w:right w:type="dxa" w:w="140"/>
            </w:tcMar>
          </w:tcPr>
          <w:p>
            <w:pPr>
              <w:spacing w:after="60"/>
            </w:pPr>
            <w:r>
              <w:rPr>
                <w:b/>
                <w:bCs/>
                <w:color w:val="1F3864"/>
                <w:sz w:val="20"/>
                <w:szCs w:val="20"/>
              </w:rPr>
              <w:t xml:space="preserve">The single most important lesson</w:t>
            </w:r>
          </w:p>
          <w:p>
            <w:pPr>
              <w:spacing w:after="0" w:line="264"/>
            </w:pPr>
            <w:r>
              <w:rPr>
                <w:color w:val="222222"/>
                <w:sz w:val="21"/>
                <w:szCs w:val="21"/>
              </w:rPr>
              <w:t xml:space="preserve">Building-level pricing and pooling do </w:t>
            </w:r>
            <w:r>
              <w:rPr>
                <w:b/>
                <w:bCs/>
                <w:color w:val="222222"/>
                <w:sz w:val="21"/>
                <w:szCs w:val="21"/>
              </w:rPr>
              <w:t xml:space="preserve">opposite</w:t>
            </w:r>
            <w:r>
              <w:rPr>
                <w:color w:val="222222"/>
                <w:sz w:val="21"/>
                <w:szCs w:val="21"/>
              </w:rPr>
              <w:t xml:space="preserve"> things to penetration, and you need both. Accurate per-building pricing (FEMA Risk Rating 2.0) makes underwriting possible but, on its own, can price risky homes </w:t>
            </w:r>
            <w:r>
              <w:rPr>
                <w:b/>
                <w:bCs/>
                <w:color w:val="222222"/>
                <w:sz w:val="21"/>
                <w:szCs w:val="21"/>
              </w:rPr>
              <w:t xml:space="preserve">out</w:t>
            </w:r>
            <w:r>
              <w:rPr>
                <w:color w:val="222222"/>
                <w:sz w:val="21"/>
                <w:szCs w:val="21"/>
              </w:rPr>
              <w:t xml:space="preserve"> of cover. Pooling and subsidy (Flood Re) and fast parametric payouts (CCRIF, ICEYE) bring them </w:t>
            </w:r>
            <w:r>
              <w:rPr>
                <w:b/>
                <w:bCs/>
                <w:color w:val="222222"/>
                <w:sz w:val="21"/>
                <w:szCs w:val="21"/>
              </w:rPr>
              <w:t xml:space="preserve">back in.</w:t>
            </w:r>
            <w:r>
              <w:rPr>
                <w:color w:val="222222"/>
                <w:sz w:val="21"/>
                <w:szCs w:val="21"/>
              </w:rPr>
              <w:t xml:space="preserve"> So the winning design is: </w:t>
            </w:r>
            <w:r>
              <w:rPr>
                <w:b/>
                <w:bCs/>
                <w:color w:val="222222"/>
                <w:sz w:val="21"/>
                <w:szCs w:val="21"/>
              </w:rPr>
              <w:t xml:space="preserve">score risk precisely, then pool/subsidise it and pay automatically</w:t>
            </w:r>
            <w:r>
              <w:rPr>
                <w:color w:val="222222"/>
                <w:sz w:val="21"/>
                <w:szCs w:val="21"/>
              </w:rPr>
              <w:t xml:space="preserve"> — not one without the other.</w:t>
            </w:r>
          </w:p>
        </w:tc>
      </w:tr>
    </w:tbl>
    <w:p>
      <w:pPr>
        <w:pStyle w:val="Heading1"/>
        <w:spacing w:after="140" w:before="320"/>
      </w:pPr>
      <w:r>
        <w:rPr>
          <w:b/>
          <w:bCs/>
          <w:color w:val="1F3864"/>
          <w:sz w:val="30"/>
          <w:szCs w:val="30"/>
        </w:rPr>
        <w:t xml:space="preserve">6. Case Study Link</w:t>
      </w:r>
    </w:p>
    <w:p>
      <w:pPr>
        <w:spacing w:after="120" w:line="276"/>
        <w:jc w:val="both"/>
      </w:pPr>
      <w:r>
        <w:rPr>
          <w:color w:val="222222"/>
          <w:sz w:val="21"/>
          <w:szCs w:val="21"/>
        </w:rPr>
        <w:t xml:space="preserve">Primary sources for the examples and numbers above (all verified August 2026):</w:t>
      </w:r>
    </w:p>
    <w:p>
      <w:pPr>
        <w:spacing w:after="80"/>
      </w:pPr>
      <w:r>
        <w:rPr>
          <w:b/>
          <w:bCs/>
          <w:color w:val="2E5496"/>
          <w:sz w:val="21"/>
          <w:szCs w:val="21"/>
        </w:rPr>
        <w:t xml:space="preserve">Building-level risk pricing</w:t>
      </w:r>
    </w:p>
    <w:p>
      <w:pPr>
        <w:pStyle w:val="ListParagraph"/>
        <w:numPr>
          <w:ilvl w:val="0"/>
          <w:numId w:val="2"/>
        </w:numPr>
        <w:spacing w:after="70" w:line="258"/>
      </w:pPr>
      <w:r>
        <w:rPr>
          <w:color w:val="222222"/>
          <w:sz w:val="19"/>
          <w:szCs w:val="19"/>
        </w:rPr>
        <w:t xml:space="preserve">FEMA Risk Rating 2.0 — building-specific flood pricing — </w:t>
      </w:r>
      <w:hyperlink w:history="1" r:id="rIdjb134qxhr2eizczxgmxgr">
        <w:r>
          <w:rPr>
            <w:color w:val="1155CC"/>
            <w:sz w:val="17"/>
            <w:szCs w:val="17"/>
            <w:u w:val="single"/>
          </w:rPr>
          <w:t xml:space="preserve">https://www.fema.gov/flood-insurance/risk-rating</w:t>
        </w:r>
      </w:hyperlink>
    </w:p>
    <w:p>
      <w:pPr>
        <w:pStyle w:val="ListParagraph"/>
        <w:numPr>
          <w:ilvl w:val="0"/>
          <w:numId w:val="2"/>
        </w:numPr>
        <w:spacing w:after="70" w:line="258"/>
      </w:pPr>
      <w:r>
        <w:rPr>
          <w:color w:val="222222"/>
          <w:sz w:val="19"/>
          <w:szCs w:val="19"/>
        </w:rPr>
        <w:t xml:space="preserve">Effect of risk-based pricing on flood-insurance uptake (11–39% decline study) — </w:t>
      </w:r>
      <w:hyperlink w:history="1" r:id="rIdqjttmzm5v4sjpxkjgwj-j">
        <w:r>
          <w:rPr>
            <w:color w:val="1155CC"/>
            <w:sz w:val="17"/>
            <w:szCs w:val="17"/>
            <w:u w:val="single"/>
          </w:rPr>
          <w:t xml:space="preserve">https://journalofcrr.com/research/03-07-gourevitch-et-al/</w:t>
        </w:r>
      </w:hyperlink>
    </w:p>
    <w:p>
      <w:pPr>
        <w:pStyle w:val="ListParagraph"/>
        <w:numPr>
          <w:ilvl w:val="0"/>
          <w:numId w:val="2"/>
        </w:numPr>
        <w:spacing w:after="70" w:line="258"/>
      </w:pPr>
      <w:r>
        <w:rPr>
          <w:color w:val="222222"/>
          <w:sz w:val="19"/>
          <w:szCs w:val="19"/>
        </w:rPr>
        <w:t xml:space="preserve">Moody’s acquires CAPE Analytics — address-level AI property risk — </w:t>
      </w:r>
      <w:hyperlink w:history="1" r:id="rIdhc0lkddtylkmwvly832pu">
        <w:r>
          <w:rPr>
            <w:color w:val="1155CC"/>
            <w:sz w:val="17"/>
            <w:szCs w:val="17"/>
            <w:u w:val="single"/>
          </w:rPr>
          <w:t xml:space="preserve">https://www.insurancejournal.com/news/national/2025/01/13/807956.htm</w:t>
        </w:r>
      </w:hyperlink>
    </w:p>
    <w:p>
      <w:pPr>
        <w:spacing w:after="80" w:before="90"/>
      </w:pPr>
      <w:r>
        <w:rPr>
          <w:b/>
          <w:bCs/>
          <w:color w:val="2E5496"/>
          <w:sz w:val="21"/>
          <w:szCs w:val="21"/>
        </w:rPr>
        <w:t xml:space="preserve">Satellite-driven parametric</w:t>
      </w:r>
    </w:p>
    <w:p>
      <w:pPr>
        <w:pStyle w:val="ListParagraph"/>
        <w:numPr>
          <w:ilvl w:val="0"/>
          <w:numId w:val="2"/>
        </w:numPr>
        <w:spacing w:after="70" w:line="258"/>
      </w:pPr>
      <w:r>
        <w:rPr>
          <w:color w:val="222222"/>
          <w:sz w:val="19"/>
          <w:szCs w:val="19"/>
        </w:rPr>
        <w:t xml:space="preserve">ICEYE — building-level flood insights for insurers — </w:t>
      </w:r>
      <w:hyperlink w:history="1" r:id="rIdy_fkllwr3mjuzjmyfyj9d">
        <w:r>
          <w:rPr>
            <w:color w:val="1155CC"/>
            <w:sz w:val="17"/>
            <w:szCs w:val="17"/>
            <w:u w:val="single"/>
          </w:rPr>
          <w:t xml:space="preserve">https://www.iceye.com/solutions/insurance/flood-insights</w:t>
        </w:r>
      </w:hyperlink>
    </w:p>
    <w:p>
      <w:pPr>
        <w:pStyle w:val="ListParagraph"/>
        <w:numPr>
          <w:ilvl w:val="0"/>
          <w:numId w:val="2"/>
        </w:numPr>
        <w:spacing w:after="70" w:line="258"/>
      </w:pPr>
      <w:r>
        <w:rPr>
          <w:color w:val="222222"/>
          <w:sz w:val="19"/>
          <w:szCs w:val="19"/>
        </w:rPr>
        <w:t xml:space="preserve">Liberty Mutual Re + ICEYE — building-level parametric wildfire — </w:t>
      </w:r>
      <w:hyperlink w:history="1" r:id="rId7t2hha5jk34uyynyoxnns">
        <w:r>
          <w:rPr>
            <w:color w:val="1155CC"/>
            <w:sz w:val="17"/>
            <w:szCs w:val="17"/>
            <w:u w:val="single"/>
          </w:rPr>
          <w:t xml:space="preserve">https://www.globalreinsurance.com/home/lsm-iceye-launch-parametric-wildfire-cover-using-satellite-data/1458839.article</w:t>
        </w:r>
      </w:hyperlink>
    </w:p>
    <w:p>
      <w:pPr>
        <w:pStyle w:val="ListParagraph"/>
        <w:numPr>
          <w:ilvl w:val="0"/>
          <w:numId w:val="2"/>
        </w:numPr>
        <w:spacing w:after="70" w:line="258"/>
      </w:pPr>
      <w:r>
        <w:rPr>
          <w:color w:val="222222"/>
          <w:sz w:val="19"/>
          <w:szCs w:val="19"/>
        </w:rPr>
        <w:t xml:space="preserve">ICEYE + UNDP — parametric flood cover for Ghana — </w:t>
      </w:r>
      <w:hyperlink w:history="1" r:id="rIdx0fmpgzlqdhqdin-kmwar">
        <w:r>
          <w:rPr>
            <w:color w:val="1155CC"/>
            <w:sz w:val="17"/>
            <w:szCs w:val="17"/>
            <w:u w:val="single"/>
          </w:rPr>
          <w:t xml:space="preserve">https://www.iceye.com/newsroom/press-releases/iceye-supports-insurance-industry-and-undp-led-initiative-to-increase-flood-resilience-in-ghana</w:t>
        </w:r>
      </w:hyperlink>
    </w:p>
    <w:p>
      <w:pPr>
        <w:spacing w:after="80" w:before="90"/>
      </w:pPr>
      <w:r>
        <w:rPr>
          <w:b/>
          <w:bCs/>
          <w:color w:val="2E5496"/>
          <w:sz w:val="21"/>
          <w:szCs w:val="21"/>
        </w:rPr>
        <w:t xml:space="preserve">Pooling &amp; penetration programmes</w:t>
      </w:r>
    </w:p>
    <w:p>
      <w:pPr>
        <w:pStyle w:val="ListParagraph"/>
        <w:numPr>
          <w:ilvl w:val="0"/>
          <w:numId w:val="2"/>
        </w:numPr>
        <w:spacing w:after="70" w:line="258"/>
      </w:pPr>
      <w:r>
        <w:rPr>
          <w:color w:val="222222"/>
          <w:sz w:val="19"/>
          <w:szCs w:val="19"/>
        </w:rPr>
        <w:t xml:space="preserve">Flood Re — record policies ceded 2024/25 — </w:t>
      </w:r>
      <w:hyperlink w:history="1" r:id="rIddfeyjnct0tcvhtiz7xrp6">
        <w:r>
          <w:rPr>
            <w:color w:val="1155CC"/>
            <w:sz w:val="17"/>
            <w:szCs w:val="17"/>
            <w:u w:val="single"/>
          </w:rPr>
          <w:t xml:space="preserve">https://www.reinsurancene.ws/policies-ceded-to-flood-re-hit-record-high-in-2024-25/</w:t>
        </w:r>
      </w:hyperlink>
    </w:p>
    <w:p>
      <w:pPr>
        <w:pStyle w:val="ListParagraph"/>
        <w:numPr>
          <w:ilvl w:val="0"/>
          <w:numId w:val="2"/>
        </w:numPr>
        <w:spacing w:after="70" w:line="258"/>
      </w:pPr>
      <w:r>
        <w:rPr>
          <w:color w:val="222222"/>
          <w:sz w:val="19"/>
          <w:szCs w:val="19"/>
        </w:rPr>
        <w:t xml:space="preserve">CCRIF SPC — regional risk pools and payouts — </w:t>
      </w:r>
      <w:hyperlink w:history="1" r:id="rIdrcjncx3gaca8dsfeq9eco">
        <w:r>
          <w:rPr>
            <w:color w:val="1155CC"/>
            <w:sz w:val="17"/>
            <w:szCs w:val="17"/>
            <w:u w:val="single"/>
          </w:rPr>
          <w:t xml:space="preserve">https://www.ccrif.org/news/driving-climate-resilience-through-innovation-regional-risk-pools-advance-global-action-ahead</w:t>
        </w:r>
      </w:hyperlink>
    </w:p>
    <w:p>
      <w:pPr>
        <w:pStyle w:val="ListParagraph"/>
        <w:numPr>
          <w:ilvl w:val="0"/>
          <w:numId w:val="2"/>
        </w:numPr>
        <w:spacing w:after="70" w:line="258"/>
      </w:pPr>
      <w:r>
        <w:rPr>
          <w:color w:val="222222"/>
          <w:sz w:val="19"/>
          <w:szCs w:val="19"/>
        </w:rPr>
        <w:t xml:space="preserve">Nagaland parametric — first payout ₹1.06 crore — </w:t>
      </w:r>
      <w:hyperlink w:history="1" r:id="rIdrkio9nlp9utjqrsns3r0j">
        <w:r>
          <w:rPr>
            <w:color w:val="1155CC"/>
            <w:sz w:val="17"/>
            <w:szCs w:val="17"/>
            <w:u w:val="single"/>
          </w:rPr>
          <w:t xml:space="preserve">https://asiainsurancepost.com/archives/64480</w:t>
        </w:r>
      </w:hyperlink>
    </w:p>
    <w:p>
      <w:pPr>
        <w:spacing w:after="80" w:before="90"/>
      </w:pPr>
      <w:r>
        <w:rPr>
          <w:b/>
          <w:bCs/>
          <w:color w:val="2E5496"/>
          <w:sz w:val="21"/>
          <w:szCs w:val="21"/>
        </w:rPr>
        <w:t xml:space="preserve">India context &amp; data</w:t>
      </w:r>
    </w:p>
    <w:p>
      <w:pPr>
        <w:pStyle w:val="ListParagraph"/>
        <w:numPr>
          <w:ilvl w:val="0"/>
          <w:numId w:val="2"/>
        </w:numPr>
        <w:spacing w:after="70" w:line="258"/>
      </w:pPr>
      <w:r>
        <w:rPr>
          <w:color w:val="222222"/>
          <w:sz w:val="19"/>
          <w:szCs w:val="19"/>
        </w:rPr>
        <w:t xml:space="preserve">Swiss Re — ~93% uninsured; $32.94bn uninsured losses 2018–22 — </w:t>
      </w:r>
      <w:hyperlink w:history="1" r:id="rIdcwnnhdajdjl94h6xx2ial">
        <w:r>
          <w:rPr>
            <w:color w:val="1155CC"/>
            <w:sz w:val="17"/>
            <w:szCs w:val="17"/>
            <w:u w:val="single"/>
          </w:rPr>
          <w:t xml:space="preserve">https://rmaindia.org/uninsured-losses-of-32-94-billion-in-india-due-to-natural-disasters-in-five-years-swiss-re/</w:t>
        </w:r>
      </w:hyperlink>
    </w:p>
    <w:p>
      <w:pPr>
        <w:pStyle w:val="ListParagraph"/>
        <w:numPr>
          <w:ilvl w:val="0"/>
          <w:numId w:val="2"/>
        </w:numPr>
        <w:spacing w:after="70" w:line="258"/>
      </w:pPr>
      <w:r>
        <w:rPr>
          <w:color w:val="222222"/>
          <w:sz w:val="19"/>
          <w:szCs w:val="19"/>
        </w:rPr>
        <w:t xml:space="preserve">Google Flood Hub — all-India coverage with CWC — </w:t>
      </w:r>
      <w:hyperlink w:history="1" r:id="rIdyaigeuydqedl7r06smmwf">
        <w:r>
          <w:rPr>
            <w:color w:val="1155CC"/>
            <w:sz w:val="17"/>
            <w:szCs w:val="17"/>
            <w:u w:val="single"/>
          </w:rPr>
          <w:t xml:space="preserve">https://indiaai.gov.in/news/google-s-flood-forecasting-initiative-extends-to-the-whole-of-india-and-bangladesh</w:t>
        </w:r>
      </w:hyperlink>
    </w:p>
    <w:p>
      <w:pPr>
        <w:pStyle w:val="ListParagraph"/>
        <w:numPr>
          <w:ilvl w:val="0"/>
          <w:numId w:val="2"/>
        </w:numPr>
        <w:spacing w:after="70" w:line="258"/>
      </w:pPr>
      <w:r>
        <w:rPr>
          <w:color w:val="222222"/>
          <w:sz w:val="19"/>
          <w:szCs w:val="19"/>
        </w:rPr>
        <w:t xml:space="preserve">Assam flood impact 2024 — PreventionWeb — </w:t>
      </w:r>
      <w:hyperlink w:history="1" r:id="rId7p7nlzfbpuhgvdbcu5xul">
        <w:r>
          <w:rPr>
            <w:color w:val="1155CC"/>
            <w:sz w:val="17"/>
            <w:szCs w:val="17"/>
            <w:u w:val="single"/>
          </w:rPr>
          <w:t xml:space="preserve">https://www.preventionweb.net/news/india-whats-really-behind-assams-worsening-floods</w:t>
        </w:r>
      </w:hyperlink>
    </w:p>
    <w:p>
      <w:r>
        <w:br w:type="page"/>
      </w:r>
    </w:p>
    <w:p>
      <w:pPr>
        <w:pStyle w:val="Heading1"/>
        <w:spacing w:after="140" w:before="320"/>
      </w:pPr>
      <w:r>
        <w:rPr>
          <w:b/>
          <w:bCs/>
          <w:color w:val="1F3864"/>
          <w:sz w:val="30"/>
          <w:szCs w:val="30"/>
        </w:rPr>
        <w:t xml:space="preserve">7. Relevance to Insurance</w:t>
      </w:r>
    </w:p>
    <w:p>
      <w:pPr>
        <w:pStyle w:val="Heading2"/>
        <w:spacing w:after="90" w:before="220"/>
      </w:pPr>
      <w:r>
        <w:rPr>
          <w:b/>
          <w:bCs/>
          <w:color w:val="2E5496"/>
          <w:sz w:val="25"/>
          <w:szCs w:val="25"/>
        </w:rPr>
        <w:t xml:space="preserve">7.1 Why this matters for us</w:t>
      </w:r>
    </w:p>
    <w:p>
      <w:pPr>
        <w:spacing w:after="130" w:line="276"/>
        <w:jc w:val="both"/>
      </w:pPr>
      <w:r>
        <w:rPr>
          <w:color w:val="222222"/>
          <w:sz w:val="21"/>
          <w:szCs w:val="21"/>
        </w:rPr>
        <w:t xml:space="preserve">The global evidence proves the model works — and India is the largest untapped version of it. With </w:t>
      </w:r>
      <w:r>
        <w:rPr>
          <w:b/>
          <w:bCs/>
          <w:color w:val="222222"/>
          <w:sz w:val="21"/>
          <w:szCs w:val="21"/>
        </w:rPr>
        <w:t xml:space="preserve">93% of disaster losses uninsured</w:t>
      </w:r>
      <w:r>
        <w:rPr>
          <w:color w:val="222222"/>
          <w:sz w:val="21"/>
          <w:szCs w:val="21"/>
        </w:rPr>
        <w:t xml:space="preserve">, the market is enormous and no competitor owns it at the point of need. A rival, </w:t>
      </w:r>
      <w:r>
        <w:rPr>
          <w:b/>
          <w:bCs/>
          <w:color w:val="222222"/>
          <w:sz w:val="21"/>
          <w:szCs w:val="21"/>
        </w:rPr>
        <w:t xml:space="preserve">SBI General, already moved first in Nagaland</w:t>
      </w:r>
      <w:r>
        <w:rPr>
          <w:color w:val="222222"/>
          <w:sz w:val="21"/>
          <w:szCs w:val="21"/>
        </w:rPr>
        <w:t xml:space="preserve">, so the window to lead is now. We are also well placed: Bajaj already launched a parametric product (“ClimateSafe,” 2025) and runs weather-based crop insurance with trigger-based payouts — the same machinery this needs — and is becoming wholly Bajaj-owned, giving full control.</w:t>
      </w:r>
    </w:p>
    <w:p>
      <w:pPr>
        <w:pStyle w:val="Heading2"/>
        <w:spacing w:after="90" w:before="220"/>
      </w:pPr>
      <w:r>
        <w:rPr>
          <w:b/>
          <w:bCs/>
          <w:color w:val="2E5496"/>
          <w:sz w:val="25"/>
          <w:szCs w:val="25"/>
        </w:rPr>
        <w:t xml:space="preserve">7.2 How the global approach maps to us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26"/>
      </w:tblGrid>
      <w:tr>
        <w:trPr>
          <w:tblHeader/>
        </w:trPr>
        <w:tc>
          <w:tcPr>
            <w:tcW w:type="dxa" w:w="3400"/>
            <w:shd w:fill="1F3864" w:color="auto" w:val="clear"/>
            <w:tcMar>
              <w:top w:type="dxa" w:w="60"/>
              <w:left w:type="dxa" w:w="90"/>
              <w:bottom w:type="dxa" w:w="60"/>
              <w:right w:type="dxa" w:w="90"/>
            </w:tcMar>
          </w:tcPr>
          <w:p>
            <w:pPr>
              <w:spacing w:after="0" w:line="250"/>
              <w:jc w:val="left"/>
            </w:pPr>
            <w:r>
              <w:rPr>
                <w:b/>
                <w:bCs/>
                <w:color w:val="FFFFFF"/>
                <w:sz w:val="18"/>
                <w:szCs w:val="18"/>
              </w:rPr>
              <w:t xml:space="preserve">Global practice</w:t>
            </w:r>
          </w:p>
        </w:tc>
        <w:tc>
          <w:tcPr>
            <w:tcW w:type="dxa" w:w="5626"/>
            <w:shd w:fill="1F3864" w:color="auto" w:val="clear"/>
            <w:tcMar>
              <w:top w:type="dxa" w:w="60"/>
              <w:left w:type="dxa" w:w="90"/>
              <w:bottom w:type="dxa" w:w="60"/>
              <w:right w:type="dxa" w:w="90"/>
            </w:tcMar>
          </w:tcPr>
          <w:p>
            <w:pPr>
              <w:spacing w:after="0" w:line="250"/>
              <w:jc w:val="left"/>
            </w:pPr>
            <w:r>
              <w:rPr>
                <w:b/>
                <w:bCs/>
                <w:color w:val="FFFFFF"/>
                <w:sz w:val="18"/>
                <w:szCs w:val="18"/>
              </w:rPr>
              <w:t xml:space="preserve">Our application in North &amp; Northeast India</w:t>
            </w:r>
          </w:p>
        </w:tc>
      </w:tr>
      <w:tr>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Building-level AI risk scoring (Cape/Moody’s)</w:t>
            </w:r>
          </w:p>
        </w:tc>
        <w:tc>
          <w:tcPr>
            <w:tcW w:type="dxa" w:w="5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Score high-cat districts building-by-building using NRSC/Sentinel imagery + commercial cat models</w:t>
            </w:r>
          </w:p>
        </w:tc>
      </w:tr>
      <w:tr>
        <w:tc>
          <w:tcPr>
            <w:tcW w:type="dxa" w:w="34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Measured-hazard parametric triggers (SEADRIF)</w:t>
            </w:r>
          </w:p>
        </w:tc>
        <w:tc>
          <w:tcPr>
            <w:tcW w:type="dxa" w:w="5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Triggers from IMD rainfall + CWC river levels, confirmed by Sentinel-1 radar</w:t>
            </w:r>
          </w:p>
        </w:tc>
      </w:tr>
      <w:tr>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Satellite payout confirmation (ICEYE)</w:t>
            </w:r>
          </w:p>
        </w:tc>
        <w:tc>
          <w:tcPr>
            <w:tcW w:type="dxa" w:w="5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Auto-confirm floods and GLOF events; pay within days</w:t>
            </w:r>
          </w:p>
        </w:tc>
      </w:tr>
      <w:tr>
        <w:tc>
          <w:tcPr>
            <w:tcW w:type="dxa" w:w="34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Fast digital payout (CCRIF, Nagaland)</w:t>
            </w:r>
          </w:p>
        </w:tc>
        <w:tc>
          <w:tcPr>
            <w:tcW w:type="dxa" w:w="56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 via UPI / Aadhaar-DBT / Jan Dhan, as Nagaland already did</w:t>
            </w:r>
          </w:p>
        </w:tc>
      </w:tr>
      <w:tr>
        <w:tc>
          <w:tcPr>
            <w:tcW w:type="dxa" w:w="34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Pooling &amp; subsidy (Flood Re)</w:t>
            </w:r>
          </w:p>
        </w:tc>
        <w:tc>
          <w:tcPr>
            <w:tcW w:type="dxa" w:w="56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State governments as anchor premium-payers; keep cover affordable in danger zones</w:t>
            </w:r>
          </w:p>
        </w:tc>
      </w:tr>
    </w:tbl>
    <w:p>
      <w:pPr>
        <w:spacing w:after="60"/>
      </w:pPr>
    </w:p>
    <w:p>
      <w:pPr>
        <w:pStyle w:val="Heading2"/>
        <w:spacing w:after="90" w:before="220"/>
      </w:pPr>
      <w:r>
        <w:rPr>
          <w:b/>
          <w:bCs/>
          <w:color w:val="2E5496"/>
          <w:sz w:val="25"/>
          <w:szCs w:val="25"/>
        </w:rPr>
        <w:t xml:space="preserve">7.3 The design rule, and where to start</w:t>
      </w:r>
    </w:p>
    <w:p>
      <w:pPr>
        <w:spacing w:after="130" w:line="276"/>
        <w:jc w:val="both"/>
      </w:pPr>
      <w:r>
        <w:rPr>
          <w:color w:val="222222"/>
          <w:sz w:val="21"/>
          <w:szCs w:val="21"/>
        </w:rPr>
        <w:t xml:space="preserve">The clearest lesson from the global record is to </w:t>
      </w:r>
      <w:r>
        <w:rPr>
          <w:b/>
          <w:bCs/>
          <w:color w:val="222222"/>
          <w:sz w:val="21"/>
          <w:szCs w:val="21"/>
        </w:rPr>
        <w:t xml:space="preserve">combine precise pricing with pooling and instant payouts</w:t>
      </w:r>
      <w:r>
        <w:rPr>
          <w:color w:val="222222"/>
          <w:sz w:val="21"/>
          <w:szCs w:val="21"/>
        </w:rPr>
        <w:t xml:space="preserve"> — accuracy alone can price people out (as FEMA’s data shows), while pooling and speed bring them in. Applied here, that means state-anchored parametric cover, priced building-by-building, paid automatically.</w:t>
      </w:r>
    </w:p>
    <w:p>
      <w:pPr>
        <w:spacing w:after="130" w:line="276"/>
        <w:jc w:val="both"/>
      </w:pPr>
      <w:r>
        <w:rPr>
          <w:color w:val="222222"/>
          <w:sz w:val="21"/>
          <w:szCs w:val="21"/>
        </w:rPr>
        <w:t xml:space="preserve">The sharpest place to start is </w:t>
      </w:r>
      <w:r>
        <w:rPr>
          <w:b/>
          <w:bCs/>
          <w:color w:val="222222"/>
          <w:sz w:val="21"/>
          <w:szCs w:val="21"/>
        </w:rPr>
        <w:t xml:space="preserve">glacial-lake floods (GLOFs) around Sikkim and the Teesta valley</w:t>
      </w:r>
      <w:r>
        <w:rPr>
          <w:color w:val="222222"/>
          <w:sz w:val="21"/>
          <w:szCs w:val="21"/>
        </w:rPr>
        <w:t xml:space="preserve"> — a severe, under-served peril with excellent Indian hazard data (ISRO’s inventory of 28,043 lakes; NDMA’s 189 high-risk list) and a willing anchor buyer in the state disaster authorities — then a rainfall-index flood product for Assam, then wider scale. Two things must be solved early: </w:t>
      </w:r>
      <w:r>
        <w:rPr>
          <w:b/>
          <w:bCs/>
          <w:color w:val="222222"/>
          <w:sz w:val="21"/>
          <w:szCs w:val="21"/>
        </w:rPr>
        <w:t xml:space="preserve">basis risk</w:t>
      </w:r>
      <w:r>
        <w:rPr>
          <w:color w:val="222222"/>
          <w:sz w:val="21"/>
          <w:szCs w:val="21"/>
        </w:rPr>
        <w:t xml:space="preserve"> (manage it obsessively) and a </w:t>
      </w:r>
      <w:r>
        <w:rPr>
          <w:b/>
          <w:bCs/>
          <w:color w:val="222222"/>
          <w:sz w:val="21"/>
          <w:szCs w:val="21"/>
        </w:rPr>
        <w:t xml:space="preserve">rule for how states fund premiums</w:t>
      </w:r>
      <w:r>
        <w:rPr>
          <w:color w:val="222222"/>
          <w:sz w:val="21"/>
          <w:szCs w:val="21"/>
        </w:rPr>
        <w:t xml:space="preserve"> (pursue via IRDAI’s parametric route, the 2025 sandbox, and the 16th Finance Commission).</w:t>
      </w:r>
    </w:p>
    <w:tbl>
      <w:tblPr>
        <w:tblW w:type="dxa" w:w="9026"/>
        <w:tblBorders>
          <w:top w:val="none"/>
          <w:left w:val="single" w:color="2E5496" w:sz="18"/>
          <w:bottom w:val="none"/>
          <w:right w:val="none"/>
          <w:insideH w:val="none"/>
          <w:insideV w:val="none"/>
        </w:tblBorders>
      </w:tblPr>
      <w:tblGrid>
        <w:gridCol w:w="9026"/>
      </w:tblGrid>
      <w:tr>
        <w:tc>
          <w:tcPr>
            <w:tcW w:type="dxa" w:w="9026"/>
            <w:shd w:fill="DDE8EE" w:color="auto" w:val="clear"/>
            <w:tcMar>
              <w:top w:type="dxa" w:w="120"/>
              <w:left w:type="dxa" w:w="160"/>
              <w:bottom w:type="dxa" w:w="120"/>
              <w:right w:type="dxa" w:w="140"/>
            </w:tcMar>
          </w:tcPr>
          <w:p>
            <w:pPr>
              <w:spacing w:after="60"/>
            </w:pPr>
            <w:r>
              <w:rPr>
                <w:b/>
                <w:bCs/>
                <w:color w:val="1F3864"/>
                <w:sz w:val="20"/>
                <w:szCs w:val="20"/>
              </w:rPr>
              <w:t xml:space="preserve">One-line takeaway</w:t>
            </w:r>
          </w:p>
          <w:p>
            <w:pPr>
              <w:spacing w:after="0" w:line="264"/>
            </w:pPr>
            <w:r>
              <w:rPr>
                <w:b/>
                <w:bCs/>
                <w:color w:val="222222"/>
                <w:sz w:val="21"/>
                <w:szCs w:val="21"/>
              </w:rPr>
              <w:t xml:space="preserve">The technology to price and insure high-cat areas building-by-building already works worldwide. The opportunity is to be the first to bring the full chain — AI risk scoring, fair parametric triggers, and automatic payouts — to India’s most flood-exposed region, with states as the anchor buyers.</w:t>
            </w:r>
          </w:p>
        </w:tc>
      </w:tr>
    </w:tbl>
    <w:p>
      <w:pPr>
        <w:pStyle w:val="Heading1"/>
        <w:spacing w:after="140" w:before="320"/>
      </w:pPr>
      <w:r>
        <w:rPr>
          <w:b/>
          <w:bCs/>
          <w:color w:val="1F3864"/>
          <w:sz w:val="30"/>
          <w:szCs w:val="30"/>
        </w:rPr>
        <w:t xml:space="preserve">Appendix — Key Terms</w:t>
      </w:r>
    </w:p>
    <w:tbl>
      <w:tblPr>
        <w:tblW w:type="dxa" w:w="9026"/>
        <w:tblBorders>
          <w:top w:val="single" w:color="AAAAAA" w:sz="2"/>
          <w:left w:val="single" w:color="AAAAAA" w:sz="2"/>
          <w:bottom w:val="single" w:color="AAAAAA" w:sz="2"/>
          <w:right w:val="single" w:color="AAAAAA" w:sz="2"/>
          <w:insideH w:val="single" w:color="CCCCCC" w:sz="1"/>
          <w:insideV w:val="single" w:color="CCCCCC" w:sz="1"/>
        </w:tblBorders>
      </w:tblPr>
      <w:tblGrid>
        <w:gridCol w:w="2700"/>
        <w:gridCol w:w="6326"/>
      </w:tblGrid>
      <w:tr>
        <w:trPr>
          <w:tblHeader/>
        </w:trPr>
        <w:tc>
          <w:tcPr>
            <w:tcW w:type="dxa" w:w="2700"/>
            <w:shd w:fill="1F3864" w:color="auto" w:val="clear"/>
            <w:tcMar>
              <w:top w:type="dxa" w:w="60"/>
              <w:left w:type="dxa" w:w="90"/>
              <w:bottom w:type="dxa" w:w="60"/>
              <w:right w:type="dxa" w:w="90"/>
            </w:tcMar>
          </w:tcPr>
          <w:p>
            <w:pPr>
              <w:spacing w:after="0" w:line="250"/>
              <w:jc w:val="left"/>
            </w:pPr>
            <w:r>
              <w:rPr>
                <w:b/>
                <w:bCs/>
                <w:color w:val="FFFFFF"/>
                <w:sz w:val="18"/>
                <w:szCs w:val="18"/>
              </w:rPr>
              <w:t xml:space="preserve">Term</w:t>
            </w:r>
          </w:p>
        </w:tc>
        <w:tc>
          <w:tcPr>
            <w:tcW w:type="dxa" w:w="6326"/>
            <w:shd w:fill="1F3864" w:color="auto" w:val="clear"/>
            <w:tcMar>
              <w:top w:type="dxa" w:w="60"/>
              <w:left w:type="dxa" w:w="90"/>
              <w:bottom w:type="dxa" w:w="60"/>
              <w:right w:type="dxa" w:w="90"/>
            </w:tcMar>
          </w:tcPr>
          <w:p>
            <w:pPr>
              <w:spacing w:after="0" w:line="250"/>
              <w:jc w:val="left"/>
            </w:pPr>
            <w:r>
              <w:rPr>
                <w:b/>
                <w:bCs/>
                <w:color w:val="FFFFFF"/>
                <w:sz w:val="18"/>
                <w:szCs w:val="18"/>
              </w:rPr>
              <w:t xml:space="preserve">Meaning</w:t>
            </w:r>
          </w:p>
        </w:tc>
      </w:tr>
      <w:tr>
        <w:tc>
          <w:tcPr>
            <w:tcW w:type="dxa" w:w="2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Parametric insurance</w:t>
            </w:r>
          </w:p>
        </w:tc>
        <w:tc>
          <w:tcPr>
            <w:tcW w:type="dxa" w:w="6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Pays a set amount when a measured trigger is crossed — no surveyor, fast payout</w:t>
            </w:r>
          </w:p>
        </w:tc>
      </w:tr>
      <w:tr>
        <w:tc>
          <w:tcPr>
            <w:tcW w:type="dxa" w:w="2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Basis risk</w:t>
            </w:r>
          </w:p>
        </w:tc>
        <w:tc>
          <w:tcPr>
            <w:tcW w:type="dxa" w:w="6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The gap between the payout and the real loss — the key risk to manage</w:t>
            </w:r>
          </w:p>
        </w:tc>
      </w:tr>
      <w:tr>
        <w:tc>
          <w:tcPr>
            <w:tcW w:type="dxa" w:w="2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Property-/building-level pricing</w:t>
            </w:r>
          </w:p>
        </w:tc>
        <w:tc>
          <w:tcPr>
            <w:tcW w:type="dxa" w:w="6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Risk priced for each individual structure, not a whole zone</w:t>
            </w:r>
          </w:p>
        </w:tc>
      </w:tr>
      <w:tr>
        <w:tc>
          <w:tcPr>
            <w:tcW w:type="dxa" w:w="2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GLOF</w:t>
            </w:r>
          </w:p>
        </w:tc>
        <w:tc>
          <w:tcPr>
            <w:tcW w:type="dxa" w:w="6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Glacial Lake Outburst Flood — a mountain lake bursting (e.g. Sikkim 2023)</w:t>
            </w:r>
          </w:p>
        </w:tc>
      </w:tr>
      <w:tr>
        <w:tc>
          <w:tcPr>
            <w:tcW w:type="dxa" w:w="2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SAR</w:t>
            </w:r>
          </w:p>
        </w:tc>
        <w:tc>
          <w:tcPr>
            <w:tcW w:type="dxa" w:w="6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Synthetic Aperture Radar — satellite radar that sees through cloud and dark</w:t>
            </w:r>
          </w:p>
        </w:tc>
      </w:tr>
      <w:tr>
        <w:tc>
          <w:tcPr>
            <w:tcW w:type="dxa" w:w="2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NRSC / ISRO / IMD / CWC</w:t>
            </w:r>
          </w:p>
        </w:tc>
        <w:tc>
          <w:tcPr>
            <w:tcW w:type="dxa" w:w="6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India’s remote-sensing, space, weather and water agencies (data sources)</w:t>
            </w:r>
          </w:p>
        </w:tc>
      </w:tr>
      <w:tr>
        <w:tc>
          <w:tcPr>
            <w:tcW w:type="dxa" w:w="2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NDMA / SDMA / ASDMA</w:t>
            </w:r>
          </w:p>
        </w:tc>
        <w:tc>
          <w:tcPr>
            <w:tcW w:type="dxa" w:w="6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National / State / Assam disaster management authorities</w:t>
            </w:r>
          </w:p>
        </w:tc>
      </w:tr>
      <w:tr>
        <w:tc>
          <w:tcPr>
            <w:tcW w:type="dxa" w:w="2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IRDAI</w:t>
            </w:r>
          </w:p>
        </w:tc>
        <w:tc>
          <w:tcPr>
            <w:tcW w:type="dxa" w:w="6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Insurance Regulatory and Development Authority of India</w:t>
            </w:r>
          </w:p>
        </w:tc>
      </w:tr>
      <w:tr>
        <w:tc>
          <w:tcPr>
            <w:tcW w:type="dxa" w:w="2700"/>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CCRIF / ARC / SEADRIF</w:t>
            </w:r>
          </w:p>
        </w:tc>
        <w:tc>
          <w:tcPr>
            <w:tcW w:type="dxa" w:w="6326"/>
            <w:shd w:fill="FFFFFF" w:color="auto" w:val="clear"/>
            <w:tcMar>
              <w:top w:type="dxa" w:w="60"/>
              <w:left w:type="dxa" w:w="90"/>
              <w:bottom w:type="dxa" w:w="60"/>
              <w:right w:type="dxa" w:w="90"/>
            </w:tcMar>
          </w:tcPr>
          <w:p>
            <w:pPr>
              <w:spacing w:after="0" w:line="250"/>
              <w:jc w:val="left"/>
            </w:pPr>
            <w:r>
              <w:rPr>
                <w:b w:val="false"/>
                <w:bCs w:val="false"/>
                <w:color w:val="222222"/>
                <w:sz w:val="18"/>
                <w:szCs w:val="18"/>
              </w:rPr>
              <w:t xml:space="preserve">Caribbean / African / Southeast-Asian government catastrophe-insurance pools</w:t>
            </w:r>
          </w:p>
        </w:tc>
      </w:tr>
      <w:tr>
        <w:tc>
          <w:tcPr>
            <w:tcW w:type="dxa" w:w="2700"/>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UPI / DBT / Jan Dhan</w:t>
            </w:r>
          </w:p>
        </w:tc>
        <w:tc>
          <w:tcPr>
            <w:tcW w:type="dxa" w:w="6326"/>
            <w:shd w:fill="F2F2F2" w:color="auto" w:val="clear"/>
            <w:tcMar>
              <w:top w:type="dxa" w:w="60"/>
              <w:left w:type="dxa" w:w="90"/>
              <w:bottom w:type="dxa" w:w="60"/>
              <w:right w:type="dxa" w:w="90"/>
            </w:tcMar>
          </w:tcPr>
          <w:p>
            <w:pPr>
              <w:spacing w:after="0" w:line="250"/>
              <w:jc w:val="left"/>
            </w:pPr>
            <w:r>
              <w:rPr>
                <w:b w:val="false"/>
                <w:bCs w:val="false"/>
                <w:color w:val="222222"/>
                <w:sz w:val="18"/>
                <w:szCs w:val="18"/>
              </w:rPr>
              <w:t xml:space="preserve">India’s payments network / direct benefit transfer / basic bank accounts (payout rails)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r>
      <w:rPr>
        <w:color w:val="999999"/>
        <w:sz w:val="15"/>
        <w:szCs w:val="15"/>
      </w:rPr>
      <w:t xml:space="preserve"> of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8EE" w:sz="4" w:space="6"/>
      </w:pBdr>
      <w:jc w:val="right"/>
    </w:pPr>
    <w:r>
      <w:rPr>
        <w:color w:val="999999"/>
        <w:sz w:val="15"/>
        <w:szCs w:val="15"/>
      </w:rPr>
      <w:t xml:space="preserve">Use Case  •  Property-Level CAT Risk &amp; Penetration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7A54"/>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b134qxhr2eizczxgmxgr" Type="http://schemas.openxmlformats.org/officeDocument/2006/relationships/hyperlink" Target="https://www.fema.gov/flood-insurance/risk-rating" TargetMode="External"/><Relationship Id="rIdqjttmzm5v4sjpxkjgwj-j" Type="http://schemas.openxmlformats.org/officeDocument/2006/relationships/hyperlink" Target="https://journalofcrr.com/research/03-07-gourevitch-et-al/" TargetMode="External"/><Relationship Id="rIdhc0lkddtylkmwvly832pu" Type="http://schemas.openxmlformats.org/officeDocument/2006/relationships/hyperlink" Target="https://www.insurancejournal.com/news/national/2025/01/13/807956.htm" TargetMode="External"/><Relationship Id="rIdy_fkllwr3mjuzjmyfyj9d" Type="http://schemas.openxmlformats.org/officeDocument/2006/relationships/hyperlink" Target="https://www.iceye.com/solutions/insurance/flood-insights" TargetMode="External"/><Relationship Id="rId7t2hha5jk34uyynyoxnns" Type="http://schemas.openxmlformats.org/officeDocument/2006/relationships/hyperlink" Target="https://www.globalreinsurance.com/home/lsm-iceye-launch-parametric-wildfire-cover-using-satellite-data/1458839.article" TargetMode="External"/><Relationship Id="rIdx0fmpgzlqdhqdin-kmwar" Type="http://schemas.openxmlformats.org/officeDocument/2006/relationships/hyperlink" Target="https://www.iceye.com/newsroom/press-releases/iceye-supports-insurance-industry-and-undp-led-initiative-to-increase-flood-resilience-in-ghana" TargetMode="External"/><Relationship Id="rIddfeyjnct0tcvhtiz7xrp6" Type="http://schemas.openxmlformats.org/officeDocument/2006/relationships/hyperlink" Target="https://www.reinsurancene.ws/policies-ceded-to-flood-re-hit-record-high-in-2024-25/" TargetMode="External"/><Relationship Id="rIdrcjncx3gaca8dsfeq9eco" Type="http://schemas.openxmlformats.org/officeDocument/2006/relationships/hyperlink" Target="https://www.ccrif.org/news/driving-climate-resilience-through-innovation-regional-risk-pools-advance-global-action-ahead" TargetMode="External"/><Relationship Id="rIdrkio9nlp9utjqrsns3r0j" Type="http://schemas.openxmlformats.org/officeDocument/2006/relationships/hyperlink" Target="https://asiainsurancepost.com/archives/64480" TargetMode="External"/><Relationship Id="rIdcwnnhdajdjl94h6xx2ial" Type="http://schemas.openxmlformats.org/officeDocument/2006/relationships/hyperlink" Target="https://rmaindia.org/uninsured-losses-of-32-94-billion-in-india-due-to-natural-disasters-in-five-years-swiss-re/" TargetMode="External"/><Relationship Id="rIdyaigeuydqedl7r06smmwf" Type="http://schemas.openxmlformats.org/officeDocument/2006/relationships/hyperlink" Target="https://indiaai.gov.in/news/google-s-flood-forecasting-initiative-extends-to-the-whole-of-india-and-bangladesh" TargetMode="External"/><Relationship Id="rId7p7nlzfbpuhgvdbcu5xul" Type="http://schemas.openxmlformats.org/officeDocument/2006/relationships/hyperlink" Target="https://www.preventionweb.net/news/india-whats-really-behind-assams-worsening-flood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 AI for Property-Level CAT Risk &amp; Insurance Penetration</dc:title>
  <dc:creator>Central Analytics</dc:creator>
  <dc:description>Use case document — property-level nat-cat risk scoring &amp; penetration, verified Aug 2026</dc:description>
  <cp:lastModifiedBy>Un-named</cp:lastModifiedBy>
  <cp:revision>1</cp:revision>
  <dcterms:created xsi:type="dcterms:W3CDTF">2026-08-25T07:22:42.409Z</dcterms:created>
  <dcterms:modified xsi:type="dcterms:W3CDTF">2026-08-25T07:22:42.410Z</dcterms:modified>
</cp:coreProperties>
</file>

<file path=docProps/custom.xml><?xml version="1.0" encoding="utf-8"?>
<Properties xmlns="http://schemas.openxmlformats.org/officeDocument/2006/custom-properties" xmlns:vt="http://schemas.openxmlformats.org/officeDocument/2006/docPropsVTypes"/>
</file>