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7A54"/>
          <w:sz w:val="22"/>
          <w:szCs w:val="22"/>
        </w:rPr>
        <w:t xml:space="preserve">CENTRAL ANALYTICS  —  USE CASE DOCUMENT</w:t>
      </w:r>
    </w:p>
    <w:p>
      <w:pPr>
        <w:spacing w:after="0" w:before="60"/>
        <w:jc w:val="center"/>
      </w:pPr>
      <w:r>
        <w:rPr>
          <w:color w:val="2E5496"/>
          <w:sz w:val="18"/>
          <w:szCs w:val="18"/>
        </w:rPr>
        <w:t xml:space="preserve">Prepared to the standard Use Case documentation template</w:t>
      </w:r>
    </w:p>
    <w:p>
      <w:pPr>
        <w:spacing w:after="0" w:before="520"/>
        <w:jc w:val="center"/>
      </w:pPr>
      <w:r>
        <w:rPr>
          <w:b/>
          <w:bCs/>
          <w:color w:val="1F3864"/>
          <w:sz w:val="38"/>
          <w:szCs w:val="38"/>
        </w:rPr>
        <w:t xml:space="preserve">AI Property Intelligence for Underwriting</w:t>
      </w:r>
    </w:p>
    <w:p>
      <w:pPr>
        <w:spacing w:after="0" w:before="10"/>
        <w:jc w:val="center"/>
      </w:pPr>
      <w:r>
        <w:rPr>
          <w:b/>
          <w:bCs/>
          <w:color w:val="222222"/>
          <w:sz w:val="30"/>
          <w:szCs w:val="30"/>
        </w:rPr>
        <w:t xml:space="preserve">Case Study: ZestyAI</w:t>
      </w:r>
    </w:p>
    <w:p>
      <w:pPr>
        <w:spacing w:after="0" w:before="40"/>
        <w:jc w:val="center"/>
      </w:pPr>
      <w:r>
        <w:rPr>
          <w:i/>
          <w:iCs/>
          <w:color w:val="2E5496"/>
          <w:sz w:val="21"/>
          <w:szCs w:val="21"/>
        </w:rPr>
        <w:t xml:space="preserve">Scoring every building for catastrophe and property risk — what ZestyAI does,</w:t>
      </w:r>
    </w:p>
    <w:p>
      <w:pPr>
        <w:spacing w:after="0" w:before="6"/>
        <w:jc w:val="center"/>
      </w:pPr>
      <w:r>
        <w:rPr>
          <w:i/>
          <w:iCs/>
          <w:color w:val="2E5496"/>
          <w:sz w:val="21"/>
          <w:szCs w:val="21"/>
        </w:rPr>
        <w:t xml:space="preserve">the data behind it, its impact, and how it could modernise Bajaj’s property underwriting</w:t>
      </w:r>
    </w:p>
    <w:p>
      <w:pPr>
        <w:spacing w:after="0" w:before="760"/>
        <w:jc w:val="center"/>
      </w:pPr>
      <w:r>
        <w:rPr>
          <w:color w:val="222222"/>
          <w:sz w:val="20"/>
          <w:szCs w:val="20"/>
        </w:rPr>
        <w:t xml:space="preserve">How AI turns aerial imagery into a risk score for every property — building by building</w:t>
      </w:r>
    </w:p>
    <w:p>
      <w:pPr>
        <w:spacing w:after="0" w:before="820"/>
        <w:jc w:val="center"/>
      </w:pPr>
      <w:r>
        <w:rPr>
          <w:color w:val="777777"/>
          <w:sz w:val="17"/>
          <w:szCs w:val="17"/>
        </w:rPr>
        <w:t xml:space="preserve">Data verified as of August 2026 — links in Section 6</w:t>
      </w:r>
    </w:p>
    <w:p>
      <w:pPr>
        <w:spacing w:after="0" w:before="20"/>
        <w:jc w:val="center"/>
      </w:pPr>
      <w:r>
        <w:rPr>
          <w:color w:val="777777"/>
          <w:sz w:val="17"/>
          <w:szCs w:val="17"/>
        </w:rPr>
        <w:t xml:space="preserve">Internal Review  |  August 2026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Document Template — Sections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Business Challenge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Foundations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Analytics Approach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Study Link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Relevance to Insurance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Business Challenge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Property insurers have traditionally priced risk using </w:t>
      </w:r>
      <w:r>
        <w:rPr>
          <w:b/>
          <w:bCs/>
          <w:color w:val="222222"/>
          <w:sz w:val="21"/>
          <w:szCs w:val="21"/>
        </w:rPr>
        <w:t xml:space="preserve">broad averages</w:t>
      </w:r>
      <w:r>
        <w:rPr>
          <w:color w:val="222222"/>
          <w:sz w:val="21"/>
          <w:szCs w:val="21"/>
        </w:rPr>
        <w:t xml:space="preserve"> — a postcode, a flood zone, a territory. But two houses on the same street can face very different risk: one has a new fire-resistant roof and clear space around it; its neighbour has an old roof, overhanging trees, and sits in a dip that floods. A postcode-level model treats them the same, so the insurer either </w:t>
      </w:r>
      <w:r>
        <w:rPr>
          <w:b/>
          <w:bCs/>
          <w:color w:val="222222"/>
          <w:sz w:val="21"/>
          <w:szCs w:val="21"/>
        </w:rPr>
        <w:t xml:space="preserve">over-charges the safe home, under-charges the risky one, or simply refuses to write the whole area.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As climate losses rise (wildfire, hail, wind, flood), this bluntness has become a crisis. In parts of the US, insurers </w:t>
      </w:r>
      <w:r>
        <w:rPr>
          <w:b/>
          <w:bCs/>
          <w:color w:val="222222"/>
          <w:sz w:val="21"/>
          <w:szCs w:val="21"/>
        </w:rPr>
        <w:t xml:space="preserve">stopped writing whole regions</w:t>
      </w:r>
      <w:r>
        <w:rPr>
          <w:color w:val="222222"/>
          <w:sz w:val="21"/>
          <w:szCs w:val="21"/>
        </w:rPr>
        <w:t xml:space="preserve"> because they could not price the risk. The challenge ZestyAI set out to solve: </w:t>
      </w:r>
      <w:r>
        <w:rPr>
          <w:b/>
          <w:bCs/>
          <w:color w:val="222222"/>
          <w:sz w:val="21"/>
          <w:szCs w:val="21"/>
        </w:rPr>
        <w:t xml:space="preserve">assess risk building-by-building — accurately enough to price fairly, automate underwriting, reward mitigation, and keep writing profitably in risky areas</w:t>
      </w:r>
      <w:r>
        <w:rPr>
          <w:color w:val="222222"/>
          <w:sz w:val="21"/>
          <w:szCs w:val="21"/>
        </w:rPr>
        <w:t xml:space="preserve"> instead of retreating from them. This is a challenge every property insurer faces, Bajaj included.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Data Foundations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ZestyAI’s edge starts with data scale. It has built </w:t>
      </w:r>
      <w:r>
        <w:rPr>
          <w:b/>
          <w:bCs/>
          <w:color w:val="222222"/>
          <w:sz w:val="21"/>
          <w:szCs w:val="21"/>
        </w:rPr>
        <w:t xml:space="preserve">200+ billion data points across roughly 150 million residential and commercial properties</w:t>
      </w:r>
      <w:r>
        <w:rPr>
          <w:color w:val="222222"/>
          <w:sz w:val="21"/>
          <w:szCs w:val="21"/>
        </w:rPr>
        <w:t xml:space="preserve">, with </w:t>
      </w:r>
      <w:r>
        <w:rPr>
          <w:b/>
          <w:bCs/>
          <w:color w:val="222222"/>
          <w:sz w:val="21"/>
          <w:szCs w:val="21"/>
        </w:rPr>
        <w:t xml:space="preserve">nearly 100% aerial-imagery coverage</w:t>
      </w:r>
      <w:r>
        <w:rPr>
          <w:color w:val="222222"/>
          <w:sz w:val="21"/>
          <w:szCs w:val="21"/>
        </w:rPr>
        <w:t xml:space="preserve"> of the continental US. The inputs it combines:</w:t>
      </w:r>
    </w:p>
    <w:p>
      <w:pPr>
        <w:spacing w:after="2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3400"/>
        <w:gridCol w:w="3526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input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  <w:tc>
          <w:tcPr>
            <w:tcW w:type="dxa" w:w="35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Aerial imagery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High-resolution top-down views of every property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Near-100% US coverage; the core raw material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Satellite imagery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Wider-area and repeat views; change over time</w:t>
            </w:r>
          </w:p>
        </w:tc>
        <w:tc>
          <w:tcPr>
            <w:tcW w:type="dxa" w:w="3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Partnership with EarthDaily Analytics (2025) for Earth-observation data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Building permits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Renovations, roof replacements, upgrades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Reveals recent changes imagery alone may miss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Tax assessment data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Building age, size, construction type</w:t>
            </w:r>
          </w:p>
        </w:tc>
        <w:tc>
          <w:tcPr>
            <w:tcW w:type="dxa" w:w="3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Structural and ownership attributes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Climatology &amp; hazard data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Local wildfire, hail, wind, flood exposure</w:t>
            </w:r>
          </w:p>
        </w:tc>
        <w:tc>
          <w:tcPr>
            <w:tcW w:type="dxa" w:w="3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Ties the structure to its environment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Historic losses / claims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Real-world outcomes to train and validate</w:t>
            </w:r>
          </w:p>
        </w:tc>
        <w:tc>
          <w:tcPr>
            <w:tcW w:type="dxa" w:w="35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Models are trained on actual claims, not theory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1F7A54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data lesson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ZestyAI’s moat is not one clever model — it is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near-complete imagery plus real claims history at national scale.</w:t>
            </w:r>
            <w:r>
              <w:rPr>
                <w:color w:val="222222"/>
                <w:sz w:val="21"/>
                <w:szCs w:val="21"/>
              </w:rPr>
              <w:t xml:space="preserve"> The models are only as good as this foundation. For anyone trying to copy the approach,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building (or buying) that data coverage is the hard part</w:t>
            </w:r>
            <w:r>
              <w:rPr>
                <w:color w:val="222222"/>
                <w:sz w:val="21"/>
                <w:szCs w:val="21"/>
              </w:rPr>
              <w:t xml:space="preserve">, not the algorithm.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Analytics Approach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ZestyAI uses </w:t>
      </w:r>
      <w:r>
        <w:rPr>
          <w:b/>
          <w:bCs/>
          <w:color w:val="222222"/>
          <w:sz w:val="21"/>
          <w:szCs w:val="21"/>
        </w:rPr>
        <w:t xml:space="preserve">computer vision and machine learning</w:t>
      </w:r>
      <w:r>
        <w:rPr>
          <w:color w:val="222222"/>
          <w:sz w:val="21"/>
          <w:szCs w:val="21"/>
        </w:rPr>
        <w:t xml:space="preserve"> to turn raw imagery into underwriting signals, then feeds those into peril-specific predictive models. The pipeline, in plain terms: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See the property.</w:t>
      </w:r>
      <w:r>
        <w:rPr>
          <w:color w:val="222222"/>
          <w:sz w:val="21"/>
          <w:szCs w:val="21"/>
        </w:rPr>
        <w:t xml:space="preserve"> Computer-vision models read aerial and satellite imagery to build a </w:t>
      </w:r>
      <w:r>
        <w:rPr>
          <w:b/>
          <w:bCs/>
          <w:color w:val="222222"/>
          <w:sz w:val="21"/>
          <w:szCs w:val="21"/>
        </w:rPr>
        <w:t xml:space="preserve">3D model of the roof</w:t>
      </w:r>
      <w:r>
        <w:rPr>
          <w:color w:val="222222"/>
          <w:sz w:val="21"/>
          <w:szCs w:val="21"/>
        </w:rPr>
        <w:t xml:space="preserve"> and read features like roof age and condition, construction materials, vegetation density around the home, and terrain.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Score each peril.</w:t>
      </w:r>
      <w:r>
        <w:rPr>
          <w:color w:val="222222"/>
          <w:sz w:val="21"/>
          <w:szCs w:val="21"/>
        </w:rPr>
        <w:t xml:space="preserve"> Separate models (wildfire, hail, wind, storm, water, flood) combine those property features with local climate and hazard data to predict, </w:t>
      </w:r>
      <w:r>
        <w:rPr>
          <w:b/>
          <w:bCs/>
          <w:color w:val="222222"/>
          <w:sz w:val="21"/>
          <w:szCs w:val="21"/>
        </w:rPr>
        <w:t xml:space="preserve">for that specific structure</w:t>
      </w:r>
      <w:r>
        <w:rPr>
          <w:color w:val="222222"/>
          <w:sz w:val="21"/>
          <w:szCs w:val="21"/>
        </w:rPr>
        <w:t xml:space="preserve">, how likely a loss is and how severe it would be.</w:t>
      </w:r>
    </w:p>
    <w:p>
      <w:pPr>
        <w:pStyle w:val="ListParagraph"/>
        <w:numPr>
          <w:ilvl w:val="0"/>
          <w:numId w:val="2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Deliver a usable score.</w:t>
      </w:r>
      <w:r>
        <w:rPr>
          <w:color w:val="222222"/>
          <w:sz w:val="21"/>
          <w:szCs w:val="21"/>
        </w:rPr>
        <w:t xml:space="preserve"> The result is a property-level risk score an underwriter or pricing engine can act on — delivered by API or file.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Two design choices stand out. First, ZestyAI </w:t>
      </w:r>
      <w:r>
        <w:rPr>
          <w:b/>
          <w:bCs/>
          <w:color w:val="222222"/>
          <w:sz w:val="21"/>
          <w:szCs w:val="21"/>
        </w:rPr>
        <w:t xml:space="preserve">separates roof age from roof condition</w:t>
      </w:r>
      <w:r>
        <w:rPr>
          <w:color w:val="222222"/>
          <w:sz w:val="21"/>
          <w:szCs w:val="21"/>
        </w:rPr>
        <w:t xml:space="preserve"> — treating them as two complementary signals rather than one — which sharpens hail and wind predictions. Second, and most importantly, the whole system is built to be </w:t>
      </w:r>
      <w:r>
        <w:rPr>
          <w:b/>
          <w:bCs/>
          <w:color w:val="222222"/>
          <w:sz w:val="21"/>
          <w:szCs w:val="21"/>
        </w:rPr>
        <w:t xml:space="preserve">explainable and regulator-ready</w:t>
      </w:r>
      <w:r>
        <w:rPr>
          <w:color w:val="222222"/>
          <w:sz w:val="21"/>
          <w:szCs w:val="21"/>
        </w:rPr>
        <w:t xml:space="preserve">: it ships methodology, variable-selection rationale, and statistical validation, and is continuously checked against real events after they happen. That transparency is what lets regulators approve it for pricing (Section 5).</w:t>
      </w:r>
    </w:p>
    <w:tbl>
      <w:tblPr>
        <w:tblW w:type="dxa" w:w="9026"/>
        <w:tblBorders>
          <w:top w:val="none"/>
          <w:left w:val="single" w:color="1F7A54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Why explainability matters here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A risk score that a regulator will not accept is commercially useless. ZestyAI’s biggest strategic choice was to make its AI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transparent and defensible</w:t>
            </w:r>
            <w:r>
              <w:rPr>
                <w:color w:val="222222"/>
                <w:sz w:val="21"/>
                <w:szCs w:val="21"/>
              </w:rPr>
              <w:t xml:space="preserve"> — not a black box. That is what turned a clever model into a tool insurers can actually price with.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Example — The Product Suite &amp; a Flagship Deployment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ZestyAI covers the major property perils with a family of property-level models, plus a general property-intelligence layer:</w:t>
      </w:r>
    </w:p>
    <w:p>
      <w:pPr>
        <w:spacing w:after="20"/>
      </w:pP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50"/>
        <w:gridCol w:w="3600"/>
        <w:gridCol w:w="3876"/>
      </w:tblGrid>
      <w:tr>
        <w:trPr>
          <w:tblHeader/>
        </w:trPr>
        <w:tc>
          <w:tcPr>
            <w:tcW w:type="dxa" w:w="15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Peril / purpose</w:t>
            </w:r>
          </w:p>
        </w:tc>
        <w:tc>
          <w:tcPr>
            <w:tcW w:type="dxa" w:w="38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Notable point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Z-FIRE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Wildfire — which homes survive or are lost</w:t>
            </w:r>
          </w:p>
        </w:tc>
        <w:tc>
          <w:tcPr>
            <w:tcW w:type="dxa" w:w="3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Flagship; analyses 2,000+ historical wildfires; roof, vegetation, terrain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Z-HAIL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Hail — frequency &amp; severity</w:t>
            </w:r>
          </w:p>
        </w:tc>
        <w:tc>
          <w:tcPr>
            <w:tcW w:type="dxa" w:w="38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3D roof + climatology; cumulative damage over time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Z-WIND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Wind / hurricane exposure</w:t>
            </w:r>
          </w:p>
        </w:tc>
        <w:tc>
          <w:tcPr>
            <w:tcW w:type="dxa" w:w="3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Predicts both claim frequency and loss severity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Z-STORM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Severe convective storm (hail + wind)</w:t>
            </w:r>
          </w:p>
        </w:tc>
        <w:tc>
          <w:tcPr>
            <w:tcW w:type="dxa" w:w="38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Combined-peril, structure-level scores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Z-WATER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Non-weather water damage (e.g. burst pipes)</w:t>
            </w:r>
          </w:p>
        </w:tc>
        <w:tc>
          <w:tcPr>
            <w:tcW w:type="dxa" w:w="3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Targets homes for mitigation (sensors, shut-off valves)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Z-FLOOD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Inland flood</w:t>
            </w:r>
          </w:p>
        </w:tc>
        <w:tc>
          <w:tcPr>
            <w:tcW w:type="dxa" w:w="38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Finds flood exposure even outside official FEMA flood zones</w:t>
            </w:r>
          </w:p>
        </w:tc>
      </w:tr>
      <w:tr>
        <w:tc>
          <w:tcPr>
            <w:tcW w:type="dxa" w:w="1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Z-PROPERTY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property intelligence (roof, structure)</w:t>
            </w:r>
          </w:p>
        </w:tc>
        <w:tc>
          <w:tcPr>
            <w:tcW w:type="dxa" w:w="38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3D roof modelling, roof age &amp; condition, parcel-level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ZORRO Discover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Agentic AI for rate-filing research</w:t>
            </w:r>
          </w:p>
        </w:tc>
        <w:tc>
          <w:tcPr>
            <w:tcW w:type="dxa" w:w="387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Cuts regulatory-filing research time by ~95%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4.1 Flagship deployment — wildfire in California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clearest real-world example is California wildfire. After insurers began retreating from the state, ZestyAI’s </w:t>
      </w:r>
      <w:r>
        <w:rPr>
          <w:b/>
          <w:bCs/>
          <w:color w:val="222222"/>
          <w:sz w:val="21"/>
          <w:szCs w:val="21"/>
        </w:rPr>
        <w:t xml:space="preserve">Z-FIRE became the first AI-based wildfire model approved as part of a carrier rate filing in California</w:t>
      </w:r>
      <w:r>
        <w:rPr>
          <w:color w:val="222222"/>
          <w:sz w:val="21"/>
          <w:szCs w:val="21"/>
        </w:rPr>
        <w:t xml:space="preserve">, and is now used by </w:t>
      </w:r>
      <w:r>
        <w:rPr>
          <w:b/>
          <w:bCs/>
          <w:color w:val="222222"/>
          <w:sz w:val="21"/>
          <w:szCs w:val="21"/>
        </w:rPr>
        <w:t xml:space="preserve">over a third of the California market — including the CA FAIR Plan</w:t>
      </w:r>
      <w:r>
        <w:rPr>
          <w:color w:val="222222"/>
          <w:sz w:val="21"/>
          <w:szCs w:val="21"/>
        </w:rPr>
        <w:t xml:space="preserve"> (the state’s insurer of last resort). Property-level scoring let carriers </w:t>
      </w:r>
      <w:r>
        <w:rPr>
          <w:b/>
          <w:bCs/>
          <w:color w:val="222222"/>
          <w:sz w:val="21"/>
          <w:szCs w:val="21"/>
        </w:rPr>
        <w:t xml:space="preserve">re-enter and keep writing</w:t>
      </w:r>
      <w:r>
        <w:rPr>
          <w:color w:val="222222"/>
          <w:sz w:val="21"/>
          <w:szCs w:val="21"/>
        </w:rPr>
        <w:t xml:space="preserve"> wildfire-exposed homes they could no longer price with old zone maps. Carriers such as Kingstone and Windward have since adopted Z-FIRE specifically to enter or expand in California.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Impact — The Numbers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ZestyAI’s results show both sides of the value: sharper accuracy, and — crucially — </w:t>
      </w:r>
      <w:r>
        <w:rPr>
          <w:b/>
          <w:bCs/>
          <w:color w:val="222222"/>
          <w:sz w:val="21"/>
          <w:szCs w:val="21"/>
        </w:rPr>
        <w:t xml:space="preserve">more coverage, not less.</w:t>
      </w:r>
    </w:p>
    <w:p>
      <w:pPr>
        <w:spacing w:after="20"/>
      </w:pPr>
    </w:p>
    <w:tbl>
      <w:tblPr>
        <w:tblW w:type="dxa" w:w="8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50"/>
        <w:gridCol w:w="4550"/>
        <w:gridCol w:w="1226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5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2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year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Adoption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Used by roughly half of the top 100 US insurers; incl. Travelers, Farmers, AAA, CA FAIR Plan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2025–26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Regulatory acceptance</w:t>
            </w:r>
          </w:p>
        </w:tc>
        <w:tc>
          <w:tcPr>
            <w:tcW w:type="dxa" w:w="4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 AI wildfire model in a CA rate filing; 200+ regulatory approvals across the suite (CA, CO, OR, MN, more)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2025–26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Accuracy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Predictions cited above 95% verified nationwide; Z-HAIL up to 58× more accurate than traditional models (IBHS-validated)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Return on investment</w:t>
            </w:r>
          </w:p>
        </w:tc>
        <w:tc>
          <w:tcPr>
            <w:tcW w:type="dxa" w:w="4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Partners cited at ~10× ROI (sharper pricing, better risk selection, efficiency)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2025–26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Coverage expansion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Helped insurers extend cover to 511,000+ properties previously deemed uninsurable</w:t>
            </w:r>
          </w:p>
        </w:tc>
        <w:tc>
          <w:tcPr>
            <w:tcW w:type="dxa" w:w="12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scale</w:t>
            </w:r>
          </w:p>
        </w:tc>
        <w:tc>
          <w:tcPr>
            <w:tcW w:type="dxa" w:w="45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150M+ properties; ~100% US aerial coverage; 200B+ data points</w:t>
            </w:r>
          </w:p>
        </w:tc>
        <w:tc>
          <w:tcPr>
            <w:tcW w:type="dxa" w:w="12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2025–26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none"/>
          <w:left w:val="single" w:color="1F7A54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 key insight</w:t>
            </w:r>
          </w:p>
          <w:p>
            <w:pPr>
              <w:spacing w:after="0" w:line="264"/>
            </w:pPr>
            <w:r>
              <w:rPr>
                <w:color w:val="222222"/>
                <w:sz w:val="21"/>
                <w:szCs w:val="21"/>
              </w:rPr>
              <w:t xml:space="preserve">The instinctive fear is that precise risk pricing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excludes</w:t>
            </w:r>
            <w:r>
              <w:rPr>
                <w:color w:val="222222"/>
                <w:sz w:val="21"/>
                <w:szCs w:val="21"/>
              </w:rPr>
              <w:t xml:space="preserve"> people — the risky home becomes uninsurable. ZestyAI’s record shows the opposite can be true: because carriers could finally price each structure accurately, they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wrote 500,000+ homes they would otherwise have refused.</w:t>
            </w:r>
            <w:r>
              <w:rPr>
                <w:color w:val="222222"/>
                <w:sz w:val="21"/>
                <w:szCs w:val="21"/>
              </w:rPr>
              <w:t xml:space="preserve"> Precision, done well,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expands</w:t>
            </w:r>
            <w:r>
              <w:rPr>
                <w:color w:val="222222"/>
                <w:sz w:val="21"/>
                <w:szCs w:val="21"/>
              </w:rPr>
              <w:t xml:space="preserve"> the market. And the enabler was not just the model — it was </w:t>
            </w:r>
            <w:r>
              <w:rPr>
                <w:b/>
                <w:bCs/>
                <w:color w:val="222222"/>
                <w:sz w:val="21"/>
                <w:szCs w:val="21"/>
              </w:rPr>
              <w:t xml:space="preserve">regulatory acceptance</w:t>
            </w:r>
            <w:r>
              <w:rPr>
                <w:color w:val="222222"/>
                <w:sz w:val="21"/>
                <w:szCs w:val="21"/>
              </w:rPr>
              <w:t xml:space="preserve">, which is the real moat.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Case Study Link</w:t>
      </w:r>
    </w:p>
    <w:p>
      <w:pPr>
        <w:spacing w:after="120" w:line="276"/>
        <w:jc w:val="both"/>
      </w:pPr>
      <w:r>
        <w:rPr>
          <w:color w:val="222222"/>
          <w:sz w:val="21"/>
          <w:szCs w:val="21"/>
        </w:rPr>
        <w:t xml:space="preserve">Primary sources (verified August 2026):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ZestyAI platform &amp; product suite (perils, coverage) — </w:t>
      </w:r>
      <w:hyperlink w:history="1" r:id="rIdi9ve07vgyv1kbpnc7pz4z">
        <w:r>
          <w:rPr>
            <w:color w:val="1155CC"/>
            <w:sz w:val="17"/>
            <w:szCs w:val="17"/>
            <w:u w:val="single"/>
          </w:rPr>
          <w:t xml:space="preserve">https://zesty.ai/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How the models work — data, roof age vs condition, explainability — </w:t>
      </w:r>
      <w:hyperlink w:history="1" r:id="rIdliifvkehayji0hapdd_9c">
        <w:r>
          <w:rPr>
            <w:color w:val="1155CC"/>
            <w:sz w:val="17"/>
            <w:szCs w:val="17"/>
            <w:u w:val="single"/>
          </w:rPr>
          <w:t xml:space="preserve">https://zesty.ai/news/model-deep-dive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Z-FIRE first AI wildfire model in a CA rate filing; CA FAIR Plan — </w:t>
      </w:r>
      <w:hyperlink w:history="1" r:id="rIde-sdmdnktota852nw-nwk">
        <w:r>
          <w:rPr>
            <w:color w:val="1155CC"/>
            <w:sz w:val="17"/>
            <w:szCs w:val="17"/>
            <w:u w:val="single"/>
          </w:rPr>
          <w:t xml:space="preserve">https://www.reinsurancene.ws/zestyais-z-fire-model-gains-approval-for-california-wildfire-risk-assessment/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511,000+ previously-uninsurable properties covered; $15M facility — </w:t>
      </w:r>
      <w:hyperlink w:history="1" r:id="rIdwkirockvckzzep530s2_q">
        <w:r>
          <w:rPr>
            <w:color w:val="1155CC"/>
            <w:sz w:val="17"/>
            <w:szCs w:val="17"/>
            <w:u w:val="single"/>
          </w:rPr>
          <w:t xml:space="preserve">https://www.insurancebusinessmag.com/us/news/catastrophe/zestyai-secures-15m-credit-facility-to-fuel-expansion-in-climate-risk-modeling-540590.aspx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200+ regulatory approvals; Windward CA entry via Z-FIRE — </w:t>
      </w:r>
      <w:hyperlink w:history="1" r:id="rIdyko_1onwtfbhx1re1tvzh">
        <w:r>
          <w:rPr>
            <w:color w:val="1155CC"/>
            <w:sz w:val="17"/>
            <w:szCs w:val="17"/>
            <w:u w:val="single"/>
          </w:rPr>
          <w:t xml:space="preserve">https://fintech.global/2026/05/28/zestyais-z-fire-powers-windwards-california-move/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ZestyAI + EarthDaily analytics partnership (imagery) — </w:t>
      </w:r>
      <w:hyperlink w:history="1" r:id="rIdaw-xlxbte5rg6ylj5obvx">
        <w:r>
          <w:rPr>
            <w:color w:val="1155CC"/>
            <w:sz w:val="17"/>
            <w:szCs w:val="17"/>
            <w:u w:val="single"/>
          </w:rPr>
          <w:t xml:space="preserve">https://fintech.global/2025/03/31/zestyai-and-earthdaily-launch-advanced-analytics-for-insurers-to-mitigate-climate-related-risks/</w:t>
        </w:r>
      </w:hyperlink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color w:val="222222"/>
          <w:sz w:val="19"/>
          <w:szCs w:val="19"/>
        </w:rPr>
        <w:t xml:space="preserve">Half of top-100 US insurers; 200B data points; Z-HAIL 58× (IBHS) — </w:t>
      </w:r>
      <w:hyperlink w:history="1" r:id="rIdd5kt2mi-_emqfqtc_ogpk">
        <w:r>
          <w:rPr>
            <w:color w:val="1155CC"/>
            <w:sz w:val="17"/>
            <w:szCs w:val="17"/>
            <w:u w:val="single"/>
          </w:rPr>
          <w:t xml:space="preserve">https://zesty.ai/news/refresher-insurance-meets-ai-peril-models</w:t>
        </w:r>
      </w:hyperlink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Relevance to Insurance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7.1 The opportunity for Bajaj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Bajaj writes home, property and commercial-property cover today largely on </w:t>
      </w:r>
      <w:r>
        <w:rPr>
          <w:b/>
          <w:bCs/>
          <w:color w:val="222222"/>
          <w:sz w:val="21"/>
          <w:szCs w:val="21"/>
        </w:rPr>
        <w:t xml:space="preserve">coarse factors</w:t>
      </w:r>
      <w:r>
        <w:rPr>
          <w:color w:val="222222"/>
          <w:sz w:val="21"/>
          <w:szCs w:val="21"/>
        </w:rPr>
        <w:t xml:space="preserve"> — location, sum insured, broad occupancy type. ZestyAI shows what a modern, </w:t>
      </w:r>
      <w:r>
        <w:rPr>
          <w:b/>
          <w:bCs/>
          <w:color w:val="222222"/>
          <w:sz w:val="21"/>
          <w:szCs w:val="21"/>
        </w:rPr>
        <w:t xml:space="preserve">property-level</w:t>
      </w:r>
      <w:r>
        <w:rPr>
          <w:color w:val="222222"/>
          <w:sz w:val="21"/>
          <w:szCs w:val="21"/>
        </w:rPr>
        <w:t xml:space="preserve"> approach looks like: score each building from imagery and data, automate the easy decisions, reward customers who reduce their risk, cut loss ratios, and — the headline lesson — </w:t>
      </w:r>
      <w:r>
        <w:rPr>
          <w:b/>
          <w:bCs/>
          <w:color w:val="222222"/>
          <w:sz w:val="21"/>
          <w:szCs w:val="21"/>
        </w:rPr>
        <w:t xml:space="preserve">write more business in risky areas rather than avoiding them.</w:t>
      </w:r>
      <w:r>
        <w:rPr>
          <w:color w:val="222222"/>
          <w:sz w:val="21"/>
          <w:szCs w:val="21"/>
        </w:rPr>
        <w:t xml:space="preserve"> For a growing Indian property book exposed to flood, cyclone, quake and fire, that is a direct upgrade.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7.2 How Bajaj could apply it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Property-level risk scoring</w:t>
      </w:r>
      <w:r>
        <w:rPr>
          <w:color w:val="222222"/>
          <w:sz w:val="21"/>
          <w:szCs w:val="21"/>
        </w:rPr>
        <w:t xml:space="preserve"> for home and commercial-property underwriting — roof, construction, age, surroundings, and hazard exposure per building, not per postcode.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Straight-through underwriting</w:t>
      </w:r>
      <w:r>
        <w:rPr>
          <w:color w:val="222222"/>
          <w:sz w:val="21"/>
          <w:szCs w:val="21"/>
        </w:rPr>
        <w:t xml:space="preserve"> — auto-accept clearly low-risk properties; route only genuine risks to a human; price mitigation (better roofs, flood barriers) fairly.</w:t>
      </w:r>
    </w:p>
    <w:p>
      <w:pPr>
        <w:pStyle w:val="ListParagraph"/>
        <w:numPr>
          <w:ilvl w:val="0"/>
          <w:numId w:val="3"/>
        </w:numPr>
        <w:spacing w:after="70" w:line="272"/>
        <w:jc w:val="both"/>
      </w:pPr>
      <w:r>
        <w:rPr>
          <w:b/>
          <w:bCs/>
          <w:color w:val="222222"/>
          <w:sz w:val="21"/>
          <w:szCs w:val="21"/>
        </w:rPr>
        <w:t xml:space="preserve">Portfolio view</w:t>
      </w:r>
      <w:r>
        <w:rPr>
          <w:color w:val="222222"/>
          <w:sz w:val="21"/>
          <w:szCs w:val="21"/>
        </w:rPr>
        <w:t xml:space="preserve"> — score the existing book to find hidden accumulation and mis-priced risk, and to guide reinsurance.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7.3 The data path for India — and the honest gap</w:t>
      </w:r>
    </w:p>
    <w:p>
      <w:pPr>
        <w:spacing w:after="130" w:line="276"/>
        <w:jc w:val="both"/>
      </w:pPr>
      <w:r>
        <w:rPr>
          <w:color w:val="222222"/>
          <w:sz w:val="21"/>
          <w:szCs w:val="21"/>
        </w:rPr>
        <w:t xml:space="preserve">The approach is transferable; the </w:t>
      </w:r>
      <w:r>
        <w:rPr>
          <w:b/>
          <w:bCs/>
          <w:color w:val="222222"/>
          <w:sz w:val="21"/>
          <w:szCs w:val="21"/>
        </w:rPr>
        <w:t xml:space="preserve">data is the hard part</w:t>
      </w:r>
      <w:r>
        <w:rPr>
          <w:color w:val="222222"/>
          <w:sz w:val="21"/>
          <w:szCs w:val="21"/>
        </w:rPr>
        <w:t xml:space="preserve"> (exactly as it is for ZestyAI). India’s building blocks: </w:t>
      </w:r>
      <w:r>
        <w:rPr>
          <w:b/>
          <w:bCs/>
          <w:color w:val="222222"/>
          <w:sz w:val="21"/>
          <w:szCs w:val="21"/>
        </w:rPr>
        <w:t xml:space="preserve">satellite and aerial imagery</w:t>
      </w:r>
      <w:r>
        <w:rPr>
          <w:color w:val="222222"/>
          <w:sz w:val="21"/>
          <w:szCs w:val="21"/>
        </w:rPr>
        <w:t xml:space="preserve"> (ISRO/NRSC plus commercial providers and drones), </w:t>
      </w:r>
      <w:r>
        <w:rPr>
          <w:b/>
          <w:bCs/>
          <w:color w:val="222222"/>
          <w:sz w:val="21"/>
          <w:szCs w:val="21"/>
        </w:rPr>
        <w:t xml:space="preserve">property and permit data</w:t>
      </w:r>
      <w:r>
        <w:rPr>
          <w:color w:val="222222"/>
          <w:sz w:val="21"/>
          <w:szCs w:val="21"/>
        </w:rPr>
        <w:t xml:space="preserve"> (municipal bodies), </w:t>
      </w:r>
      <w:r>
        <w:rPr>
          <w:b/>
          <w:bCs/>
          <w:color w:val="222222"/>
          <w:sz w:val="21"/>
          <w:szCs w:val="21"/>
        </w:rPr>
        <w:t xml:space="preserve">hazard data</w:t>
      </w:r>
      <w:r>
        <w:rPr>
          <w:color w:val="222222"/>
          <w:sz w:val="21"/>
          <w:szCs w:val="21"/>
        </w:rPr>
        <w:t xml:space="preserve"> (IMD, CWC, cat models), and Bajaj’s </w:t>
      </w:r>
      <w:r>
        <w:rPr>
          <w:b/>
          <w:bCs/>
          <w:color w:val="222222"/>
          <w:sz w:val="21"/>
          <w:szCs w:val="21"/>
        </w:rPr>
        <w:t xml:space="preserve">own claims history</w:t>
      </w:r>
      <w:r>
        <w:rPr>
          <w:color w:val="222222"/>
          <w:sz w:val="21"/>
          <w:szCs w:val="21"/>
        </w:rPr>
        <w:t xml:space="preserve"> plus IIB. The gap is real: India has </w:t>
      </w:r>
      <w:r>
        <w:rPr>
          <w:b/>
          <w:bCs/>
          <w:color w:val="222222"/>
          <w:sz w:val="21"/>
          <w:szCs w:val="21"/>
        </w:rPr>
        <w:t xml:space="preserve">nothing like ~100% high-resolution aerial coverage or a clean national property/claims dataset.</w:t>
      </w:r>
      <w:r>
        <w:rPr>
          <w:color w:val="222222"/>
          <w:sz w:val="21"/>
          <w:szCs w:val="21"/>
        </w:rPr>
        <w:t xml:space="preserve"> So the realistic start is narrower — Bajaj’s own book plus commercial imagery in chosen cities — built out over time, likely with a specialist partner.</w:t>
      </w:r>
    </w:p>
    <w:p>
      <w:pPr>
        <w:pStyle w:val="Heading2"/>
        <w:spacing w:after="90" w:before="220"/>
      </w:pPr>
      <w:r>
        <w:rPr>
          <w:b/>
          <w:bCs/>
          <w:color w:val="2E5496"/>
          <w:sz w:val="25"/>
          <w:szCs w:val="25"/>
        </w:rPr>
        <w:t xml:space="preserve">7.4 What to copy, and what to watch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copy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watch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Property-level scoring beats postcode averages — build to the individual structure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coverage is the real barrier in India — start narrow, expand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Train on real claims; validate after every event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Vendor-reported accuracy/ROI figures need independent testing on Bajaj data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Make the model explainable &amp; regulator-ready (IRDAI comfort)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“Black-box” models will struggle with regulators and customers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 precision to write MORE risk, not less — reward mitigation</w:t>
            </w:r>
          </w:p>
        </w:tc>
        <w:tc>
          <w:tcPr>
            <w:tcW w:type="dxa" w:w="45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Precise pricing can raise fairness/affordability questions — pair with mitigation &amp; options</w:t>
            </w:r>
          </w:p>
        </w:tc>
      </w:tr>
    </w:tbl>
    <w:p>
      <w:pPr>
        <w:spacing w:after="50"/>
      </w:pPr>
    </w:p>
    <w:tbl>
      <w:tblPr>
        <w:tblW w:type="dxa" w:w="9026"/>
        <w:tblBorders>
          <w:top w:val="none"/>
          <w:left w:val="single" w:color="2E5496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DDE8EE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One-line takeaway</w:t>
            </w:r>
          </w:p>
          <w:p>
            <w:pPr>
              <w:spacing w:after="0" w:line="264"/>
            </w:pPr>
            <w:r>
              <w:rPr>
                <w:b/>
                <w:bCs/>
                <w:color w:val="222222"/>
                <w:sz w:val="21"/>
                <w:szCs w:val="21"/>
              </w:rPr>
              <w:t xml:space="preserve">ZestyAI proves that AI can score property risk building-by-building, accurately and in a way regulators accept — and that doing so lets insurers write more, not less. For Bajaj, the prize is a modern property-underwriting engine; the challenge is building the imagery-and-claims data foundation that makes it work in India.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Appendix — Key Terms &amp; Notes</w:t>
      </w:r>
    </w:p>
    <w:tbl>
      <w:tblPr>
        <w:tblW w:type="dxa" w:w="902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0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Property-level scoring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risk score for each individual building, not a postcode/zone average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Computer vision</w:t>
            </w:r>
          </w:p>
        </w:tc>
        <w:tc>
          <w:tcPr>
            <w:tcW w:type="dxa" w:w="60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that “reads” images — here, aerial/satellite photos of roofs and land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Peril model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model for one hazard (wildfire, hail, wind, flood, etc.)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Z-FIRE / Z-HAIL / Z-FLOOD / Z-PROPERTY</w:t>
            </w:r>
          </w:p>
        </w:tc>
        <w:tc>
          <w:tcPr>
            <w:tcW w:type="dxa" w:w="60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ZestyAI’s wildfire / hail / flood / property-intelligence models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 FAIR Plan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California’s insurer of last resort for high-risk homes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Regulatory approval / filing</w:t>
            </w:r>
          </w:p>
        </w:tc>
        <w:tc>
          <w:tcPr>
            <w:tcW w:type="dxa" w:w="60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regulator accepting a model for use in pricing (rating)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Loss ratio</w:t>
            </w:r>
          </w:p>
        </w:tc>
        <w:tc>
          <w:tcPr>
            <w:tcW w:type="dxa" w:w="60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Claims paid as a share of premiums — lower is more profitable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IBHS</w:t>
            </w:r>
          </w:p>
        </w:tc>
        <w:tc>
          <w:tcPr>
            <w:tcW w:type="dxa" w:w="602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Insurance Institute for Business &amp; Home Safety — research body that validated Z-HAIL</w:t>
            </w:r>
          </w:p>
        </w:tc>
      </w:tr>
    </w:tbl>
    <w:p>
      <w:pPr>
        <w:spacing w:after="30"/>
      </w:pPr>
    </w:p>
    <w:p>
      <w:pPr>
        <w:spacing w:after="0" w:line="276"/>
        <w:jc w:val="both"/>
      </w:pPr>
      <w:r>
        <w:rPr>
          <w:color w:val="222222"/>
          <w:sz w:val="21"/>
          <w:szCs w:val="21"/>
        </w:rPr>
        <w:t xml:space="preserve">Note: several performance figures (95% accuracy, ~10× ROI, 511,000+ properties) are reported by ZestyAI or its partners; the Z-HAIL 58× accuracy claim is attributed to IBHS validation. Treat vendor-reported numbers as directional and test them on Bajaj’s own data before relying on them.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8EE" w:sz="4" w:space="6"/>
      </w:pBdr>
      <w:jc w:val="right"/>
    </w:pPr>
    <w:r>
      <w:rPr>
        <w:color w:val="999999"/>
        <w:sz w:val="15"/>
        <w:szCs w:val="15"/>
      </w:rPr>
      <w:t xml:space="preserve">Use Case  •  ZestyAI — AI Property Intelligence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7A5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9ve07vgyv1kbpnc7pz4z" Type="http://schemas.openxmlformats.org/officeDocument/2006/relationships/hyperlink" Target="https://zesty.ai/" TargetMode="External"/><Relationship Id="rIdliifvkehayji0hapdd_9c" Type="http://schemas.openxmlformats.org/officeDocument/2006/relationships/hyperlink" Target="https://zesty.ai/news/model-deep-dive" TargetMode="External"/><Relationship Id="rIde-sdmdnktota852nw-nwk" Type="http://schemas.openxmlformats.org/officeDocument/2006/relationships/hyperlink" Target="https://www.reinsurancene.ws/zestyais-z-fire-model-gains-approval-for-california-wildfire-risk-assessment/" TargetMode="External"/><Relationship Id="rIdwkirockvckzzep530s2_q" Type="http://schemas.openxmlformats.org/officeDocument/2006/relationships/hyperlink" Target="https://www.insurancebusinessmag.com/us/news/catastrophe/zestyai-secures-15m-credit-facility-to-fuel-expansion-in-climate-risk-modeling-540590.aspx" TargetMode="External"/><Relationship Id="rIdyko_1onwtfbhx1re1tvzh" Type="http://schemas.openxmlformats.org/officeDocument/2006/relationships/hyperlink" Target="https://fintech.global/2026/05/28/zestyais-z-fire-powers-windwards-california-move/" TargetMode="External"/><Relationship Id="rIdaw-xlxbte5rg6ylj5obvx" Type="http://schemas.openxmlformats.org/officeDocument/2006/relationships/hyperlink" Target="https://fintech.global/2025/03/31/zestyai-and-earthdaily-launch-advanced-analytics-for-insurers-to-mitigate-climate-related-risks/" TargetMode="External"/><Relationship Id="rIdd5kt2mi-_emqfqtc_ogpk" Type="http://schemas.openxmlformats.org/officeDocument/2006/relationships/hyperlink" Target="https://zesty.ai/news/refresher-insurance-meets-ai-peril-model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— ZestyAI (AI Property Intelligence for Underwriting)</dc:title>
  <dc:creator>Central Analytics</dc:creator>
  <dc:description>Use case document — ZestyAI case study, verified Aug 2026</dc:description>
  <cp:lastModifiedBy>Un-named</cp:lastModifiedBy>
  <cp:revision>1</cp:revision>
  <dcterms:created xsi:type="dcterms:W3CDTF">2026-08-26T07:40:23.942Z</dcterms:created>
  <dcterms:modified xsi:type="dcterms:W3CDTF">2026-08-26T07:40:23.943Z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