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C55A11"/>
          <w:sz w:val="26"/>
          <w:szCs w:val="26"/>
        </w:rPr>
        <w:t xml:space="preserve">BAJAJ ALLIANZ GENERAL INSURANCE</w:t>
      </w:r>
    </w:p>
    <w:p>
      <w:pPr>
        <w:spacing w:after="0" w:before="60"/>
        <w:jc w:val="center"/>
      </w:pPr>
      <w:r>
        <w:rPr>
          <w:color w:val="2E5496"/>
          <w:sz w:val="18"/>
          <w:szCs w:val="18"/>
        </w:rPr>
        <w:t xml:space="preserve">Strategy &amp; New Ventures — Confidential Proposal</w:t>
      </w:r>
    </w:p>
    <w:p>
      <w:pPr>
        <w:spacing w:after="0" w:before="520"/>
        <w:jc w:val="center"/>
      </w:pPr>
      <w:r>
        <w:rPr>
          <w:b/>
          <w:bCs/>
          <w:color w:val="1F3864"/>
          <w:sz w:val="60"/>
          <w:szCs w:val="60"/>
        </w:rPr>
        <w:t xml:space="preserve">Project ASSURE</w:t>
      </w:r>
    </w:p>
    <w:p>
      <w:pPr>
        <w:spacing w:after="0" w:before="40"/>
        <w:jc w:val="center"/>
      </w:pPr>
      <w:r>
        <w:rPr>
          <w:b/>
          <w:bCs/>
          <w:color w:val="222222"/>
          <w:sz w:val="30"/>
          <w:szCs w:val="30"/>
        </w:rPr>
        <w:t xml:space="preserve">AI-Assisted Detection of Uninsured Vehicles</w:t>
      </w:r>
    </w:p>
    <w:p>
      <w:pPr>
        <w:spacing w:after="0" w:before="30"/>
        <w:jc w:val="center"/>
      </w:pPr>
      <w:r>
        <w:rPr>
          <w:i/>
          <w:iCs/>
          <w:color w:val="2E5496"/>
          <w:sz w:val="21"/>
          <w:szCs w:val="21"/>
        </w:rPr>
        <w:t xml:space="preserve">Enabling the Supreme Court's insurance-enforcement mandate — and converting the moment of need</w:t>
      </w:r>
    </w:p>
    <w:p>
      <w:pPr>
        <w:spacing w:after="0" w:before="620"/>
        <w:jc w:val="center"/>
      </w:pPr>
      <w:r>
        <w:rPr>
          <w:color w:val="222222"/>
          <w:sz w:val="20"/>
          <w:szCs w:val="20"/>
        </w:rPr>
        <w:t xml:space="preserve">A Bajaj-owned platform that runs the court-ordered ANPR + IIB + VAHAN detection</w:t>
      </w:r>
    </w:p>
    <w:p>
      <w:pPr>
        <w:spacing w:after="0" w:before="20"/>
        <w:jc w:val="center"/>
      </w:pPr>
      <w:r>
        <w:rPr>
          <w:color w:val="222222"/>
          <w:sz w:val="20"/>
          <w:szCs w:val="20"/>
        </w:rPr>
        <w:t xml:space="preserve">pipeline, and operates an open, all-insurer marketplace on top of it.</w:t>
      </w:r>
    </w:p>
    <w:p>
      <w:pPr>
        <w:spacing w:after="0" w:before="820"/>
        <w:jc w:val="center"/>
      </w:pPr>
      <w:r>
        <w:rPr>
          <w:color w:val="777777"/>
          <w:sz w:val="17"/>
          <w:szCs w:val="17"/>
        </w:rPr>
        <w:t xml:space="preserve">Data verified as of August 2026 — see Appendix B for sources</w:t>
      </w:r>
    </w:p>
    <w:p>
      <w:pPr>
        <w:spacing w:after="0" w:before="20"/>
        <w:jc w:val="center"/>
      </w:pPr>
      <w:r>
        <w:rPr>
          <w:color w:val="777777"/>
          <w:sz w:val="17"/>
          <w:szCs w:val="17"/>
        </w:rPr>
        <w:t xml:space="preserve">Proposal Report  |  For Internal Review  |  August 2026</w:t>
      </w:r>
    </w:p>
    <w:p>
      <w:r>
        <w:br w:type="page"/>
      </w:r>
    </w:p>
    <w:p>
      <w:pPr>
        <w:spacing w:after="160"/>
      </w:pPr>
      <w:r>
        <w:rPr>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3864"/>
          <w:sz w:val="30"/>
          <w:szCs w:val="30"/>
        </w:rPr>
        <w:t xml:space="preserve">A Note on the Figures in This Document</w:t>
      </w:r>
    </w:p>
    <w:p>
      <w:pPr>
        <w:spacing w:after="130" w:line="276"/>
        <w:jc w:val="both"/>
      </w:pPr>
      <w:r>
        <w:rPr>
          <w:color w:val="222222"/>
          <w:sz w:val="21"/>
          <w:szCs w:val="21"/>
        </w:rPr>
        <w:t xml:space="preserve">Every statistic in this version has been </w:t>
      </w:r>
      <w:r>
        <w:rPr>
          <w:b/>
          <w:bCs/>
          <w:color w:val="222222"/>
          <w:sz w:val="21"/>
          <w:szCs w:val="21"/>
        </w:rPr>
        <w:t xml:space="preserve">verified against primary and reputable secondary sources as of August 2026</w:t>
      </w:r>
      <w:r>
        <w:rPr>
          <w:color w:val="222222"/>
          <w:sz w:val="21"/>
          <w:szCs w:val="21"/>
        </w:rPr>
        <w:t xml:space="preserve">, listed in full in </w:t>
      </w:r>
      <w:r>
        <w:rPr>
          <w:b/>
          <w:bCs/>
          <w:color w:val="222222"/>
          <w:sz w:val="21"/>
          <w:szCs w:val="21"/>
        </w:rPr>
        <w:t xml:space="preserve">Appendix B</w:t>
      </w:r>
      <w:r>
        <w:rPr>
          <w:color w:val="222222"/>
          <w:sz w:val="21"/>
          <w:szCs w:val="21"/>
        </w:rPr>
        <w:t xml:space="preserve">. Where a figure is derived, disputed, or still subject to implementation, it is flagged in place. Three items warrant caution up front: </w:t>
      </w:r>
      <w:r>
        <w:rPr>
          <w:b/>
          <w:bCs/>
          <w:color w:val="222222"/>
          <w:sz w:val="21"/>
          <w:szCs w:val="21"/>
        </w:rPr>
        <w:t xml:space="preserve">(a)</w:t>
      </w:r>
      <w:r>
        <w:rPr>
          <w:color w:val="222222"/>
          <w:sz w:val="21"/>
          <w:szCs w:val="21"/>
        </w:rPr>
        <w:t xml:space="preserve"> the headline “56% uninsured” denominator (30.48 crore) excludes Madhya Pradesh, Andhra Pradesh and Lakshadweep, so the absolute uninsured pool is likely larger; </w:t>
      </w:r>
      <w:r>
        <w:rPr>
          <w:b/>
          <w:bCs/>
          <w:color w:val="222222"/>
          <w:sz w:val="21"/>
          <w:szCs w:val="21"/>
        </w:rPr>
        <w:t xml:space="preserve">(b)</w:t>
      </w:r>
      <w:r>
        <w:rPr>
          <w:color w:val="222222"/>
          <w:sz w:val="21"/>
          <w:szCs w:val="21"/>
        </w:rPr>
        <w:t xml:space="preserve"> Bajaj Allianz’s motor premium in rupee terms is not officially broken out and is derived from its disclosed segment mix; and </w:t>
      </w:r>
      <w:r>
        <w:rPr>
          <w:b/>
          <w:bCs/>
          <w:color w:val="222222"/>
          <w:sz w:val="21"/>
          <w:szCs w:val="21"/>
        </w:rPr>
        <w:t xml:space="preserve">(c)</w:t>
      </w:r>
      <w:r>
        <w:rPr>
          <w:color w:val="222222"/>
          <w:sz w:val="21"/>
          <w:szCs w:val="21"/>
        </w:rPr>
        <w:t xml:space="preserve"> the Supreme Court directions that anchor this proposal were, as of the 4 August 2026 judgment, directions with compliance affidavits due mid-August 2026 — implementation should be tracked before being presented externally as fully in force.</w:t>
      </w:r>
    </w:p>
    <w:p>
      <w:pPr>
        <w:spacing w:after="40"/>
      </w:pPr>
    </w:p>
    <w:p>
      <w:pPr>
        <w:pStyle w:val="Heading1"/>
        <w:spacing w:after="140" w:before="320"/>
      </w:pPr>
      <w:r>
        <w:rPr>
          <w:b/>
          <w:bCs/>
          <w:color w:val="1F3864"/>
          <w:sz w:val="30"/>
          <w:szCs w:val="30"/>
        </w:rPr>
        <w:t xml:space="preserve">1. Executive Summary</w:t>
      </w:r>
    </w:p>
    <w:p>
      <w:pPr>
        <w:spacing w:after="130" w:line="276"/>
        <w:jc w:val="both"/>
      </w:pPr>
      <w:r>
        <w:rPr>
          <w:color w:val="222222"/>
          <w:sz w:val="21"/>
          <w:szCs w:val="21"/>
        </w:rPr>
        <w:t xml:space="preserve">In August 2026 this idea stopped being speculative. In </w:t>
      </w:r>
      <w:r>
        <w:rPr>
          <w:b/>
          <w:bCs/>
          <w:color w:val="222222"/>
          <w:sz w:val="21"/>
          <w:szCs w:val="21"/>
        </w:rPr>
        <w:t xml:space="preserve">National Insurance Co. Ltd. v. Smt. Thungala Dhana Laxmi &amp; Ors. (2026 INSC 793, 4 August 2026)</w:t>
      </w:r>
      <w:r>
        <w:rPr>
          <w:color w:val="222222"/>
          <w:sz w:val="21"/>
          <w:szCs w:val="21"/>
        </w:rPr>
        <w:t xml:space="preserve">, the Supreme Court recorded that </w:t>
      </w:r>
      <w:r>
        <w:rPr>
          <w:b/>
          <w:bCs/>
          <w:color w:val="222222"/>
          <w:sz w:val="21"/>
          <w:szCs w:val="21"/>
        </w:rPr>
        <w:t xml:space="preserve">roughly 56% of vehicles on Indian roads are uninsured — 16.54 crore of 30.48 crore</w:t>
      </w:r>
      <w:r>
        <w:rPr>
          <w:color w:val="222222"/>
          <w:sz w:val="21"/>
          <w:szCs w:val="21"/>
        </w:rPr>
        <w:t xml:space="preserve"> — and directed that </w:t>
      </w:r>
      <w:r>
        <w:rPr>
          <w:b/>
          <w:bCs/>
          <w:color w:val="222222"/>
          <w:sz w:val="21"/>
          <w:szCs w:val="21"/>
        </w:rPr>
        <w:t xml:space="preserve">ANPR cameras be integrated with the Insurance Information Bureau (IIB) and VAHAN databases to automatically generate e-challans against uninsured vehicles.</w:t>
      </w:r>
      <w:r>
        <w:rPr>
          <w:color w:val="222222"/>
          <w:sz w:val="21"/>
          <w:szCs w:val="21"/>
        </w:rPr>
        <w:t xml:space="preserve"> The Court went further: it floated a </w:t>
      </w:r>
      <w:r>
        <w:rPr>
          <w:b/>
          <w:bCs/>
          <w:color w:val="222222"/>
          <w:sz w:val="21"/>
          <w:szCs w:val="21"/>
        </w:rPr>
        <w:t xml:space="preserve">“no insurance, no fuel” pilot</w:t>
      </w:r>
      <w:r>
        <w:rPr>
          <w:color w:val="222222"/>
          <w:sz w:val="21"/>
          <w:szCs w:val="21"/>
        </w:rPr>
        <w:t xml:space="preserve">, directed that police be equipped with </w:t>
      </w:r>
      <w:r>
        <w:rPr>
          <w:b/>
          <w:bCs/>
          <w:color w:val="222222"/>
          <w:sz w:val="21"/>
          <w:szCs w:val="21"/>
        </w:rPr>
        <w:t xml:space="preserve">handheld devices linked to IIB and VAHAN</w:t>
      </w:r>
      <w:r>
        <w:rPr>
          <w:color w:val="222222"/>
          <w:sz w:val="21"/>
          <w:szCs w:val="21"/>
        </w:rPr>
        <w:t xml:space="preserve"> for real-time verification, and tightened mandatory cover rules. In short, </w:t>
      </w:r>
      <w:r>
        <w:rPr>
          <w:b/>
          <w:bCs/>
          <w:color w:val="222222"/>
          <w:sz w:val="21"/>
          <w:szCs w:val="21"/>
        </w:rPr>
        <w:t xml:space="preserve">the government has now been ordered to build exactly the detection pipeline this proposal describes.</w:t>
      </w:r>
    </w:p>
    <w:p>
      <w:pPr>
        <w:spacing w:after="130" w:line="276"/>
        <w:jc w:val="both"/>
      </w:pPr>
      <w:r>
        <w:rPr>
          <w:b/>
          <w:bCs/>
          <w:color w:val="222222"/>
          <w:sz w:val="21"/>
          <w:szCs w:val="21"/>
        </w:rPr>
        <w:t xml:space="preserve">Project ASSURE</w:t>
      </w:r>
      <w:r>
        <w:rPr>
          <w:color w:val="222222"/>
          <w:sz w:val="21"/>
          <w:szCs w:val="21"/>
        </w:rPr>
        <w:t xml:space="preserve"> is Bajaj Allianz’s opportunity to be the company that builds and runs it. The platform uses ANPR cameras at signals and toll plazas to read a plate, check insurance validity against IIB/VAHAN, and — for a confirmed lapse — trigger the </w:t>
      </w:r>
      <w:r>
        <w:rPr>
          <w:b/>
          <w:bCs/>
          <w:color w:val="222222"/>
          <w:sz w:val="21"/>
          <w:szCs w:val="21"/>
        </w:rPr>
        <w:t xml:space="preserve">official government e-challan / compliance notice.</w:t>
      </w:r>
      <w:r>
        <w:rPr>
          <w:color w:val="222222"/>
          <w:sz w:val="21"/>
          <w:szCs w:val="21"/>
        </w:rPr>
        <w:t xml:space="preserve"> Alongside that official notice, an </w:t>
      </w:r>
      <w:r>
        <w:rPr>
          <w:b/>
          <w:bCs/>
          <w:color w:val="222222"/>
          <w:sz w:val="21"/>
          <w:szCs w:val="21"/>
        </w:rPr>
        <w:t xml:space="preserve">open, all-insurer marketplace</w:t>
      </w:r>
      <w:r>
        <w:rPr>
          <w:color w:val="222222"/>
          <w:sz w:val="21"/>
          <w:szCs w:val="21"/>
        </w:rPr>
        <w:t xml:space="preserve"> lets any licensed insurer present a “get covered in minutes” offer to owners who choose to act. Bajaj earns three ways: as the </w:t>
      </w:r>
      <w:r>
        <w:rPr>
          <w:b/>
          <w:bCs/>
          <w:color w:val="222222"/>
          <w:sz w:val="21"/>
          <w:szCs w:val="21"/>
        </w:rPr>
        <w:t xml:space="preserve">enforcement-technology provider</w:t>
      </w:r>
      <w:r>
        <w:rPr>
          <w:color w:val="222222"/>
          <w:sz w:val="21"/>
          <w:szCs w:val="21"/>
        </w:rPr>
        <w:t xml:space="preserve"> to government, as the </w:t>
      </w:r>
      <w:r>
        <w:rPr>
          <w:b/>
          <w:bCs/>
          <w:color w:val="222222"/>
          <w:sz w:val="21"/>
          <w:szCs w:val="21"/>
        </w:rPr>
        <w:t xml:space="preserve">operator of the marketplace</w:t>
      </w:r>
      <w:r>
        <w:rPr>
          <w:color w:val="222222"/>
          <w:sz w:val="21"/>
          <w:szCs w:val="21"/>
        </w:rPr>
        <w:t xml:space="preserve"> (a take-rate on every insurer’s placement), and as the </w:t>
      </w:r>
      <w:r>
        <w:rPr>
          <w:b/>
          <w:bCs/>
          <w:color w:val="222222"/>
          <w:sz w:val="21"/>
          <w:szCs w:val="21"/>
        </w:rPr>
        <w:t xml:space="preserve">sharpest bidder on its own platform.</w:t>
      </w:r>
    </w:p>
    <w:tbl>
      <w:tblPr>
        <w:tblW w:type="dxa" w:w="9026"/>
        <w:tblBorders>
          <w:top w:val="none"/>
          <w:left w:val="single" w:color="C55A11" w:sz="18"/>
          <w:bottom w:val="none"/>
          <w:right w:val="none"/>
          <w:insideH w:val="none"/>
          <w:insideV w:val="none"/>
        </w:tblBorders>
      </w:tblPr>
      <w:tblGrid>
        <w:gridCol w:w="9026"/>
      </w:tblGrid>
      <w:tr>
        <w:tc>
          <w:tcPr>
            <w:tcW w:type="dxa" w:w="9026"/>
            <w:shd w:fill="FBE4D5" w:color="auto" w:val="clear"/>
            <w:tcMar>
              <w:top w:type="dxa" w:w="120"/>
              <w:left w:type="dxa" w:w="160"/>
              <w:bottom w:type="dxa" w:w="120"/>
              <w:right w:type="dxa" w:w="140"/>
            </w:tcMar>
          </w:tcPr>
          <w:p>
            <w:pPr>
              <w:spacing w:after="60"/>
            </w:pPr>
            <w:r>
              <w:rPr>
                <w:b/>
                <w:bCs/>
                <w:color w:val="1F3864"/>
                <w:sz w:val="20"/>
                <w:szCs w:val="20"/>
              </w:rPr>
              <w:t xml:space="preserve">The line we will not cross</w:t>
            </w:r>
          </w:p>
          <w:p>
            <w:pPr>
              <w:spacing w:after="0" w:line="264"/>
            </w:pPr>
            <w:r>
              <w:rPr>
                <w:color w:val="222222"/>
                <w:sz w:val="21"/>
                <w:szCs w:val="21"/>
              </w:rPr>
              <w:t xml:space="preserve">This proposal never disguises a commercial insurance advertisement as a government message. The compliance notice is issued by the </w:t>
            </w:r>
            <w:r>
              <w:rPr>
                <w:b/>
                <w:bCs/>
                <w:color w:val="222222"/>
                <w:sz w:val="21"/>
                <w:szCs w:val="21"/>
              </w:rPr>
              <w:t xml:space="preserve">State</w:t>
            </w:r>
            <w:r>
              <w:rPr>
                <w:color w:val="222222"/>
                <w:sz w:val="21"/>
                <w:szCs w:val="21"/>
              </w:rPr>
              <w:t xml:space="preserve">, under the Supreme Court’s mandate; the commercial offer is a </w:t>
            </w:r>
            <w:r>
              <w:rPr>
                <w:b/>
                <w:bCs/>
                <w:color w:val="222222"/>
                <w:sz w:val="21"/>
                <w:szCs w:val="21"/>
              </w:rPr>
              <w:t xml:space="preserve">clearly labelled, consented, open marketplace</w:t>
            </w:r>
            <w:r>
              <w:rPr>
                <w:color w:val="222222"/>
                <w:sz w:val="21"/>
                <w:szCs w:val="21"/>
              </w:rPr>
              <w:t xml:space="preserve"> that any insurer can compete in. Government speaks as government; insurers speak as insurers, on equal terms. This neutrality is not just ethical — post-judgment it is very likely a </w:t>
            </w:r>
            <w:r>
              <w:rPr>
                <w:b/>
                <w:bCs/>
                <w:color w:val="222222"/>
                <w:sz w:val="21"/>
                <w:szCs w:val="21"/>
              </w:rPr>
              <w:t xml:space="preserve">condition</w:t>
            </w:r>
            <w:r>
              <w:rPr>
                <w:color w:val="222222"/>
                <w:sz w:val="21"/>
                <w:szCs w:val="21"/>
              </w:rPr>
              <w:t xml:space="preserve"> of the government granting data access at all.</w:t>
            </w:r>
          </w:p>
        </w:tc>
      </w:tr>
    </w:tbl>
    <w:p>
      <w:pPr>
        <w:spacing w:after="130" w:line="276"/>
        <w:jc w:val="both"/>
      </w:pPr>
      <w:r>
        <w:rPr>
          <w:color w:val="222222"/>
          <w:sz w:val="21"/>
          <w:szCs w:val="21"/>
        </w:rPr>
        <w:t xml:space="preserve">The recommended structure has changed from the earlier draft in one important way: </w:t>
      </w:r>
      <w:r>
        <w:rPr>
          <w:b/>
          <w:bCs/>
          <w:color w:val="222222"/>
          <w:sz w:val="21"/>
          <w:szCs w:val="21"/>
        </w:rPr>
        <w:t xml:space="preserve">the offer layer is now an open marketplace, not a Bajaj exclusive.</w:t>
      </w:r>
      <w:r>
        <w:rPr>
          <w:color w:val="222222"/>
          <w:sz w:val="21"/>
          <w:szCs w:val="21"/>
        </w:rPr>
        <w:t xml:space="preserve"> The reasoning is in Section 9, but in brief — a government-linked enforcement channel cannot be seen to favour one insurer, and Bajaj captures more value owning the neutral rails (and out-competing on them) than by locking rivals out. The venture begins as a single-city pilot with a state government partner, gated on securing a lawful data pathway first.</w:t>
      </w:r>
    </w:p>
    <w:p>
      <w:pPr>
        <w:pStyle w:val="Heading1"/>
        <w:spacing w:after="140" w:before="320"/>
      </w:pPr>
      <w:r>
        <w:rPr>
          <w:b/>
          <w:bCs/>
          <w:color w:val="1F3864"/>
          <w:sz w:val="30"/>
          <w:szCs w:val="30"/>
        </w:rPr>
        <w:t xml:space="preserve">2. The Regulatory Catalyst (2026 INSC 793)</w:t>
      </w:r>
    </w:p>
    <w:p>
      <w:pPr>
        <w:spacing w:after="130" w:line="276"/>
        <w:jc w:val="both"/>
      </w:pPr>
      <w:r>
        <w:rPr>
          <w:color w:val="222222"/>
          <w:sz w:val="21"/>
          <w:szCs w:val="21"/>
        </w:rPr>
        <w:t xml:space="preserve">The 4 August 2026 Supreme Court judgment (bench of Justices Sanjay Karol and Prashant Kumar Mishra) is the single most important fact in this proposal. Its directions map almost one-to-one onto ASSURE:</w:t>
      </w:r>
    </w:p>
    <w:p>
      <w:pPr>
        <w:pStyle w:val="ListParagraph"/>
        <w:numPr>
          <w:ilvl w:val="0"/>
          <w:numId w:val="2"/>
        </w:numPr>
        <w:spacing w:after="70" w:line="272"/>
        <w:jc w:val="both"/>
      </w:pPr>
      <w:r>
        <w:rPr>
          <w:b/>
          <w:bCs/>
          <w:color w:val="222222"/>
          <w:sz w:val="21"/>
          <w:szCs w:val="21"/>
        </w:rPr>
        <w:t xml:space="preserve">ANPR + IIB + VAHAN integration</w:t>
      </w:r>
      <w:r>
        <w:rPr>
          <w:color w:val="222222"/>
          <w:sz w:val="21"/>
          <w:szCs w:val="21"/>
        </w:rPr>
        <w:t xml:space="preserve"> to auto-generate e-challans against uninsured vehicles — the core detection loop.</w:t>
      </w:r>
    </w:p>
    <w:p>
      <w:pPr>
        <w:pStyle w:val="ListParagraph"/>
        <w:numPr>
          <w:ilvl w:val="0"/>
          <w:numId w:val="2"/>
        </w:numPr>
        <w:spacing w:after="70" w:line="272"/>
        <w:jc w:val="both"/>
      </w:pPr>
      <w:r>
        <w:rPr>
          <w:color w:val="222222"/>
          <w:sz w:val="21"/>
          <w:szCs w:val="21"/>
        </w:rPr>
        <w:t xml:space="preserve">A </w:t>
      </w:r>
      <w:r>
        <w:rPr>
          <w:b/>
          <w:bCs/>
          <w:color w:val="222222"/>
          <w:sz w:val="21"/>
          <w:szCs w:val="21"/>
        </w:rPr>
        <w:t xml:space="preserve">“no insurance, no fuel” pilot</w:t>
      </w:r>
      <w:r>
        <w:rPr>
          <w:color w:val="222222"/>
          <w:sz w:val="21"/>
          <w:szCs w:val="21"/>
        </w:rPr>
        <w:t xml:space="preserve"> using ANPR at fuel stations (the Ministry of Petroleum raised no in-principle objection) — a second detection surface.</w:t>
      </w:r>
    </w:p>
    <w:p>
      <w:pPr>
        <w:pStyle w:val="ListParagraph"/>
        <w:numPr>
          <w:ilvl w:val="0"/>
          <w:numId w:val="2"/>
        </w:numPr>
        <w:spacing w:after="70" w:line="272"/>
        <w:jc w:val="both"/>
      </w:pPr>
      <w:r>
        <w:rPr>
          <w:b/>
          <w:bCs/>
          <w:color w:val="222222"/>
          <w:sz w:val="21"/>
          <w:szCs w:val="21"/>
        </w:rPr>
        <w:t xml:space="preserve">Police handheld devices / apps linked to IIB and VAHAN</w:t>
      </w:r>
      <w:r>
        <w:rPr>
          <w:color w:val="222222"/>
          <w:sz w:val="21"/>
          <w:szCs w:val="21"/>
        </w:rPr>
        <w:t xml:space="preserve"> for real-time, on-road insurance verification.</w:t>
      </w:r>
    </w:p>
    <w:p>
      <w:pPr>
        <w:pStyle w:val="ListParagraph"/>
        <w:numPr>
          <w:ilvl w:val="0"/>
          <w:numId w:val="2"/>
        </w:numPr>
        <w:spacing w:after="70" w:line="272"/>
        <w:jc w:val="both"/>
      </w:pPr>
      <w:r>
        <w:rPr>
          <w:color w:val="222222"/>
          <w:sz w:val="21"/>
          <w:szCs w:val="21"/>
        </w:rPr>
        <w:t xml:space="preserve">Extended mandatory third-party cover for new vehicles — </w:t>
      </w:r>
      <w:r>
        <w:rPr>
          <w:b/>
          <w:bCs/>
          <w:color w:val="222222"/>
          <w:sz w:val="21"/>
          <w:szCs w:val="21"/>
        </w:rPr>
        <w:t xml:space="preserve">four years for new cars, six years for new two-wheelers</w:t>
      </w:r>
      <w:r>
        <w:rPr>
          <w:color w:val="222222"/>
          <w:sz w:val="21"/>
          <w:szCs w:val="21"/>
        </w:rPr>
        <w:t xml:space="preserve"> (up from three and five) — plus a mandated </w:t>
      </w:r>
      <w:r>
        <w:rPr>
          <w:b/>
          <w:bCs/>
          <w:color w:val="222222"/>
          <w:sz w:val="21"/>
          <w:szCs w:val="21"/>
        </w:rPr>
        <w:t xml:space="preserve">four-layer policy structure</w:t>
      </w:r>
      <w:r>
        <w:rPr>
          <w:color w:val="222222"/>
          <w:sz w:val="21"/>
          <w:szCs w:val="21"/>
        </w:rPr>
        <w:t xml:space="preserve"> with a customer option form.</w:t>
      </w:r>
    </w:p>
    <w:p>
      <w:pPr>
        <w:spacing w:after="130" w:line="276"/>
        <w:jc w:val="both"/>
      </w:pPr>
      <w:r>
        <w:rPr>
          <w:color w:val="222222"/>
          <w:sz w:val="21"/>
          <w:szCs w:val="21"/>
        </w:rPr>
        <w:t xml:space="preserve">Crucially, electronic detection of uninsured vehicles has </w:t>
      </w:r>
      <w:r>
        <w:rPr>
          <w:b/>
          <w:bCs/>
          <w:color w:val="222222"/>
          <w:sz w:val="21"/>
          <w:szCs w:val="21"/>
        </w:rPr>
        <w:t xml:space="preserve">already begun in Odisha, West Bengal, Rajasthan, Gujarat, Himachal Pradesh, Chhattisgarh and Uttarakhand.</w:t>
      </w:r>
      <w:r>
        <w:rPr>
          <w:color w:val="222222"/>
          <w:sz w:val="21"/>
          <w:szCs w:val="21"/>
        </w:rPr>
        <w:t xml:space="preserve"> The direction of travel is set; the question is who supplies the technology and the conversion engine. That is the opening for Bajaj.</w:t>
      </w:r>
    </w:p>
    <w:tbl>
      <w:tblPr>
        <w:tblW w:type="dxa" w:w="9026"/>
        <w:tblBorders>
          <w:top w:val="none"/>
          <w:left w:val="single" w:color="548235" w:sz="18"/>
          <w:bottom w:val="none"/>
          <w:right w:val="none"/>
          <w:insideH w:val="none"/>
          <w:insideV w:val="none"/>
        </w:tblBorders>
      </w:tblPr>
      <w:tblGrid>
        <w:gridCol w:w="9026"/>
      </w:tblGrid>
      <w:tr>
        <w:tc>
          <w:tcPr>
            <w:tcW w:type="dxa" w:w="9026"/>
            <w:shd w:fill="E2EFDA" w:color="auto" w:val="clear"/>
            <w:tcMar>
              <w:top w:type="dxa" w:w="120"/>
              <w:left w:type="dxa" w:w="160"/>
              <w:bottom w:type="dxa" w:w="120"/>
              <w:right w:type="dxa" w:w="140"/>
            </w:tcMar>
          </w:tcPr>
          <w:p>
            <w:pPr>
              <w:spacing w:after="60"/>
            </w:pPr>
            <w:r>
              <w:rPr>
                <w:b/>
                <w:bCs/>
                <w:color w:val="1F3864"/>
                <w:sz w:val="20"/>
                <w:szCs w:val="20"/>
              </w:rPr>
              <w:t xml:space="preserve">Why this de-risks the idea</w:t>
            </w:r>
          </w:p>
          <w:p>
            <w:pPr>
              <w:spacing w:after="0" w:line="264"/>
            </w:pPr>
            <w:r>
              <w:rPr>
                <w:color w:val="222222"/>
                <w:sz w:val="21"/>
                <w:szCs w:val="21"/>
              </w:rPr>
              <w:t xml:space="preserve">The earlier draft’s biggest weakness was data access: a private insurer cannot simply buy a feed of uninsured plates. The judgment resolves this by making detection a </w:t>
            </w:r>
            <w:r>
              <w:rPr>
                <w:b/>
                <w:bCs/>
                <w:color w:val="222222"/>
                <w:sz w:val="21"/>
                <w:szCs w:val="21"/>
              </w:rPr>
              <w:t xml:space="preserve">government mandate</w:t>
            </w:r>
            <w:r>
              <w:rPr>
                <w:color w:val="222222"/>
                <w:sz w:val="21"/>
                <w:szCs w:val="21"/>
              </w:rPr>
              <w:t xml:space="preserve">. ASSURE is repositioned from a private data-mining product into the </w:t>
            </w:r>
            <w:r>
              <w:rPr>
                <w:b/>
                <w:bCs/>
                <w:color w:val="222222"/>
                <w:sz w:val="21"/>
                <w:szCs w:val="21"/>
              </w:rPr>
              <w:t xml:space="preserve">enabling technology layer for a court-ordered public programme</w:t>
            </w:r>
            <w:r>
              <w:rPr>
                <w:color w:val="222222"/>
                <w:sz w:val="21"/>
                <w:szCs w:val="21"/>
              </w:rPr>
              <w:t xml:space="preserve"> — a far stronger, more defensible, and more fundable posture.</w:t>
            </w:r>
          </w:p>
        </w:tc>
      </w:tr>
    </w:tbl>
    <w:p>
      <w:pPr>
        <w:spacing w:after="130" w:line="276"/>
        <w:jc w:val="both"/>
      </w:pPr>
      <w:r>
        <w:rPr>
          <w:b/>
          <w:bCs/>
          <w:color w:val="222222"/>
          <w:sz w:val="21"/>
          <w:szCs w:val="21"/>
        </w:rPr>
        <w:t xml:space="preserve">Caveat and action:</w:t>
      </w:r>
      <w:r>
        <w:rPr>
          <w:color w:val="222222"/>
          <w:sz w:val="21"/>
          <w:szCs w:val="21"/>
        </w:rPr>
        <w:t xml:space="preserve"> these were directions with compliance affidavits due in mid-August 2026 and the matter listed for further hearing on 18 August 2026. Final operational details and timelines remain to be confirmed. Track the compliance affidavits and any subsequent orders before external use.</w:t>
      </w:r>
    </w:p>
    <w:p>
      <w:pPr>
        <w:pStyle w:val="Heading1"/>
        <w:spacing w:after="140" w:before="320"/>
      </w:pPr>
      <w:r>
        <w:rPr>
          <w:b/>
          <w:bCs/>
          <w:color w:val="1F3864"/>
          <w:sz w:val="30"/>
          <w:szCs w:val="30"/>
        </w:rPr>
        <w:t xml:space="preserve">3. The Opportunity</w:t>
      </w:r>
    </w:p>
    <w:p>
      <w:pPr>
        <w:pStyle w:val="Heading2"/>
        <w:spacing w:after="90" w:before="220"/>
      </w:pPr>
      <w:r>
        <w:rPr>
          <w:b/>
          <w:bCs/>
          <w:color w:val="2E5496"/>
          <w:sz w:val="25"/>
          <w:szCs w:val="25"/>
        </w:rPr>
        <w:t xml:space="preserve">3.1 The uninsured-vehicle gap</w:t>
      </w:r>
    </w:p>
    <w:p>
      <w:pPr>
        <w:spacing w:after="130" w:line="276"/>
        <w:jc w:val="both"/>
      </w:pPr>
      <w:r>
        <w:rPr>
          <w:color w:val="222222"/>
          <w:sz w:val="21"/>
          <w:szCs w:val="21"/>
        </w:rPr>
        <w:t xml:space="preserve">The verified headline: </w:t>
      </w:r>
      <w:r>
        <w:rPr>
          <w:b/>
          <w:bCs/>
          <w:color w:val="222222"/>
          <w:sz w:val="21"/>
          <w:szCs w:val="21"/>
        </w:rPr>
        <w:t xml:space="preserve">~56% of vehicles are uninsured — 16.54 crore of 30.48 crore</w:t>
      </w:r>
      <w:r>
        <w:rPr>
          <w:color w:val="222222"/>
          <w:sz w:val="21"/>
          <w:szCs w:val="21"/>
        </w:rPr>
        <w:t xml:space="preserve"> (Parliamentary Standing Committee on Finance, 2024-25, adopted by the Supreme Court). Because that denominator excludes three states, and MoRTH’s own repository holds records for </w:t>
      </w:r>
      <w:r>
        <w:rPr>
          <w:b/>
          <w:bCs/>
          <w:color w:val="222222"/>
          <w:sz w:val="21"/>
          <w:szCs w:val="21"/>
        </w:rPr>
        <w:t xml:space="preserve">over 39 crore vehicles</w:t>
      </w:r>
      <w:r>
        <w:rPr>
          <w:color w:val="222222"/>
          <w:sz w:val="21"/>
          <w:szCs w:val="21"/>
        </w:rPr>
        <w:t xml:space="preserve">, the true uninsured pool is almost certainly </w:t>
      </w:r>
      <w:r>
        <w:rPr>
          <w:b/>
          <w:bCs/>
          <w:color w:val="222222"/>
          <w:sz w:val="21"/>
          <w:szCs w:val="21"/>
        </w:rPr>
        <w:t xml:space="preserve">larger</w:t>
      </w:r>
      <w:r>
        <w:rPr>
          <w:color w:val="222222"/>
          <w:sz w:val="21"/>
          <w:szCs w:val="21"/>
        </w:rPr>
        <w:t xml:space="preserve"> than 16.54 crore. The problem concentrates in </w:t>
      </w:r>
      <w:r>
        <w:rPr>
          <w:b/>
          <w:bCs/>
          <w:color w:val="222222"/>
          <w:sz w:val="21"/>
          <w:szCs w:val="21"/>
        </w:rPr>
        <w:t xml:space="preserve">two-wheelers</w:t>
      </w:r>
      <w:r>
        <w:rPr>
          <w:color w:val="222222"/>
          <w:sz w:val="21"/>
          <w:szCs w:val="21"/>
        </w:rPr>
        <w:t xml:space="preserve">, which are ~75% of the fleet and carry uninsured rates estimated at </w:t>
      </w:r>
      <w:r>
        <w:rPr>
          <w:b/>
          <w:bCs/>
          <w:color w:val="222222"/>
          <w:sz w:val="21"/>
          <w:szCs w:val="21"/>
        </w:rPr>
        <w:t xml:space="preserve">66–75%</w:t>
      </w:r>
      <w:r>
        <w:rPr>
          <w:color w:val="222222"/>
          <w:sz w:val="21"/>
          <w:szCs w:val="21"/>
        </w:rPr>
        <w:t xml:space="preserve">.</w:t>
      </w:r>
    </w:p>
    <w:p>
      <w:pPr>
        <w:spacing w:after="130" w:line="276"/>
        <w:jc w:val="both"/>
      </w:pPr>
      <w:r>
        <w:rPr>
          <w:color w:val="222222"/>
          <w:sz w:val="21"/>
          <w:szCs w:val="21"/>
        </w:rPr>
        <w:t xml:space="preserve">This is not a pricing problem — third-party premiums are modest and regulated — but a behaviour and awareness problem: lapsed renewals, low salience, and no friction to keep driving. The safety cost is stark: </w:t>
      </w:r>
      <w:r>
        <w:rPr>
          <w:b/>
          <w:bCs/>
          <w:color w:val="222222"/>
          <w:sz w:val="21"/>
          <w:szCs w:val="21"/>
        </w:rPr>
        <w:t xml:space="preserve">22% of road accidents involve uninsured vehicles</w:t>
      </w:r>
      <w:r>
        <w:rPr>
          <w:color w:val="222222"/>
          <w:sz w:val="21"/>
          <w:szCs w:val="21"/>
        </w:rPr>
        <w:t xml:space="preserve"> (e-DAR), and India recorded </w:t>
      </w:r>
      <w:r>
        <w:rPr>
          <w:b/>
          <w:bCs/>
          <w:color w:val="222222"/>
          <w:sz w:val="21"/>
          <w:szCs w:val="21"/>
        </w:rPr>
        <w:t xml:space="preserve">4,87,705 road accidents in 2024.</w:t>
      </w:r>
    </w:p>
    <w:p>
      <w:pPr>
        <w:pStyle w:val="Heading2"/>
        <w:spacing w:after="90" w:before="220"/>
      </w:pPr>
      <w:r>
        <w:rPr>
          <w:b/>
          <w:bCs/>
          <w:color w:val="2E5496"/>
          <w:sz w:val="25"/>
          <w:szCs w:val="25"/>
        </w:rPr>
        <w:t xml:space="preserve">3.2 The market at stake</w:t>
      </w: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3400"/>
        <w:gridCol w:w="2626"/>
      </w:tblGrid>
      <w:tr>
        <w:trPr>
          <w:tblHeader/>
        </w:trPr>
        <w:tc>
          <w:tcPr>
            <w:tcW w:type="dxa" w:w="3000"/>
            <w:shd w:fill="1F3864" w:color="auto" w:val="clear"/>
            <w:tcMar>
              <w:top w:type="dxa" w:w="60"/>
              <w:left w:type="dxa" w:w="90"/>
              <w:bottom w:type="dxa" w:w="60"/>
              <w:right w:type="dxa" w:w="90"/>
            </w:tcMar>
          </w:tcPr>
          <w:p>
            <w:pPr>
              <w:spacing w:after="0" w:line="250"/>
              <w:jc w:val="left"/>
            </w:pPr>
            <w:r>
              <w:rPr>
                <w:b/>
                <w:bCs/>
                <w:color w:val="FFFFFF"/>
                <w:sz w:val="18"/>
                <w:szCs w:val="18"/>
              </w:rPr>
              <w:t xml:space="preserve">Metric (most recent)</w:t>
            </w:r>
          </w:p>
        </w:tc>
        <w:tc>
          <w:tcPr>
            <w:tcW w:type="dxa" w:w="3400"/>
            <w:shd w:fill="1F3864" w:color="auto" w:val="clear"/>
            <w:tcMar>
              <w:top w:type="dxa" w:w="60"/>
              <w:left w:type="dxa" w:w="90"/>
              <w:bottom w:type="dxa" w:w="60"/>
              <w:right w:type="dxa" w:w="90"/>
            </w:tcMar>
          </w:tcPr>
          <w:p>
            <w:pPr>
              <w:spacing w:after="0" w:line="250"/>
              <w:jc w:val="left"/>
            </w:pPr>
            <w:r>
              <w:rPr>
                <w:b/>
                <w:bCs/>
                <w:color w:val="FFFFFF"/>
                <w:sz w:val="18"/>
                <w:szCs w:val="18"/>
              </w:rPr>
              <w:t xml:space="preserve">Value</w:t>
            </w:r>
          </w:p>
        </w:tc>
        <w:tc>
          <w:tcPr>
            <w:tcW w:type="dxa" w:w="2626"/>
            <w:shd w:fill="1F3864" w:color="auto" w:val="clear"/>
            <w:tcMar>
              <w:top w:type="dxa" w:w="60"/>
              <w:left w:type="dxa" w:w="90"/>
              <w:bottom w:type="dxa" w:w="60"/>
              <w:right w:type="dxa" w:w="90"/>
            </w:tcMar>
          </w:tcPr>
          <w:p>
            <w:pPr>
              <w:spacing w:after="0" w:line="250"/>
              <w:jc w:val="left"/>
            </w:pPr>
            <w:r>
              <w:rPr>
                <w:b/>
                <w:bCs/>
                <w:color w:val="FFFFFF"/>
                <w:sz w:val="18"/>
                <w:szCs w:val="18"/>
              </w:rPr>
              <w:t xml:space="preserve">Source / year</w:t>
            </w:r>
          </w:p>
        </w:tc>
      </w:tr>
      <w:tr>
        <w:tc>
          <w:tcPr>
            <w:tcW w:type="dxa" w:w="30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Non-life industry GDPI</w:t>
            </w:r>
          </w:p>
        </w:tc>
        <w:tc>
          <w:tcPr>
            <w:tcW w:type="dxa" w:w="34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₹3,07,611 crore (+6.19% YoY)</w:t>
            </w:r>
          </w:p>
        </w:tc>
        <w:tc>
          <w:tcPr>
            <w:tcW w:type="dxa" w:w="26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IRDAI / IBEF, FY25</w:t>
            </w:r>
          </w:p>
        </w:tc>
      </w:tr>
      <w:tr>
        <w:tc>
          <w:tcPr>
            <w:tcW w:type="dxa" w:w="30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Motor insurance segment</w:t>
            </w:r>
          </w:p>
        </w:tc>
        <w:tc>
          <w:tcPr>
            <w:tcW w:type="dxa" w:w="34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₹99,093 crore (+7.97%; 32% of non-life)</w:t>
            </w:r>
          </w:p>
        </w:tc>
        <w:tc>
          <w:tcPr>
            <w:tcW w:type="dxa" w:w="26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IRDAI Annual Report, FY25</w:t>
            </w:r>
          </w:p>
        </w:tc>
      </w:tr>
      <w:tr>
        <w:tc>
          <w:tcPr>
            <w:tcW w:type="dxa" w:w="30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Motor third-party premium</w:t>
            </w:r>
          </w:p>
        </w:tc>
        <w:tc>
          <w:tcPr>
            <w:tcW w:type="dxa" w:w="34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₹60,871.70 crore (~66% of motor)</w:t>
            </w:r>
          </w:p>
        </w:tc>
        <w:tc>
          <w:tcPr>
            <w:tcW w:type="dxa" w:w="26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IRDAI, FY25</w:t>
            </w:r>
          </w:p>
        </w:tc>
      </w:tr>
      <w:tr>
        <w:tc>
          <w:tcPr>
            <w:tcW w:type="dxa" w:w="30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Uninsured vehicles</w:t>
            </w:r>
          </w:p>
        </w:tc>
        <w:tc>
          <w:tcPr>
            <w:tcW w:type="dxa" w:w="34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~56% — 16.54 cr of 30.48 cr</w:t>
            </w:r>
          </w:p>
        </w:tc>
        <w:tc>
          <w:tcPr>
            <w:tcW w:type="dxa" w:w="26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Std. Committee on Finance 2024-25 / SC 2026</w:t>
            </w:r>
          </w:p>
        </w:tc>
      </w:tr>
      <w:tr>
        <w:tc>
          <w:tcPr>
            <w:tcW w:type="dxa" w:w="30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Penetration sensitivity</w:t>
            </w:r>
          </w:p>
        </w:tc>
        <w:tc>
          <w:tcPr>
            <w:tcW w:type="dxa" w:w="34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Every +0.25% penetration ≈ +₹350 cr industry GWP</w:t>
            </w:r>
          </w:p>
        </w:tc>
        <w:tc>
          <w:tcPr>
            <w:tcW w:type="dxa" w:w="26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General Insurance Council</w:t>
            </w:r>
          </w:p>
        </w:tc>
      </w:tr>
    </w:tbl>
    <w:p>
      <w:pPr>
        <w:spacing w:after="50"/>
      </w:pPr>
    </w:p>
    <w:p>
      <w:pPr>
        <w:spacing w:after="130" w:line="276"/>
        <w:jc w:val="both"/>
      </w:pPr>
      <w:r>
        <w:rPr>
          <w:color w:val="222222"/>
          <w:sz w:val="21"/>
          <w:szCs w:val="21"/>
        </w:rPr>
        <w:t xml:space="preserve">Even a low single-digit conversion of the uninsured pool represents </w:t>
      </w:r>
      <w:r>
        <w:rPr>
          <w:b/>
          <w:bCs/>
          <w:color w:val="222222"/>
          <w:sz w:val="21"/>
          <w:szCs w:val="21"/>
        </w:rPr>
        <w:t xml:space="preserve">millions of new policies</w:t>
      </w:r>
      <w:r>
        <w:rPr>
          <w:color w:val="222222"/>
          <w:sz w:val="21"/>
          <w:szCs w:val="21"/>
        </w:rPr>
        <w:t xml:space="preserve"> and thousands of crores in premium — a market no competitor has cracked at the point of need, because these owners are not in-market, have no buying trigger, and find the process intimidating. ASSURE manufactures the trigger lawfully, at the exact moment of maximum salience.</w:t>
      </w:r>
    </w:p>
    <w:p>
      <w:pPr>
        <w:pStyle w:val="Heading1"/>
        <w:spacing w:after="140" w:before="320"/>
      </w:pPr>
      <w:r>
        <w:rPr>
          <w:b/>
          <w:bCs/>
          <w:color w:val="1F3864"/>
          <w:sz w:val="30"/>
          <w:szCs w:val="30"/>
        </w:rPr>
        <w:t xml:space="preserve">4. The Concept: A Two-Layer Model</w:t>
      </w:r>
    </w:p>
    <w:p>
      <w:pPr>
        <w:spacing w:after="130" w:line="276"/>
        <w:jc w:val="both"/>
      </w:pPr>
      <w:r>
        <w:rPr>
          <w:color w:val="222222"/>
          <w:sz w:val="21"/>
          <w:szCs w:val="21"/>
        </w:rPr>
        <w:t xml:space="preserve">The design separates the </w:t>
      </w:r>
      <w:r>
        <w:rPr>
          <w:b/>
          <w:bCs/>
          <w:color w:val="222222"/>
          <w:sz w:val="21"/>
          <w:szCs w:val="21"/>
        </w:rPr>
        <w:t xml:space="preserve">public enforcement message</w:t>
      </w:r>
      <w:r>
        <w:rPr>
          <w:color w:val="222222"/>
          <w:sz w:val="21"/>
          <w:szCs w:val="21"/>
        </w:rPr>
        <w:t xml:space="preserve"> from the </w:t>
      </w:r>
      <w:r>
        <w:rPr>
          <w:b/>
          <w:bCs/>
          <w:color w:val="222222"/>
          <w:sz w:val="21"/>
          <w:szCs w:val="21"/>
        </w:rPr>
        <w:t xml:space="preserve">commercial marketplace</w:t>
      </w:r>
      <w:r>
        <w:rPr>
          <w:color w:val="222222"/>
          <w:sz w:val="21"/>
          <w:szCs w:val="21"/>
        </w:rPr>
        <w:t xml:space="preserve">. This separation is what makes the venture lawful, court-aligned, and durable.</w:t>
      </w: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1900"/>
        <w:gridCol w:w="2100"/>
        <w:gridCol w:w="3226"/>
        <w:gridCol w:w="1800"/>
      </w:tblGrid>
      <w:tr>
        <w:trPr>
          <w:tblHeader/>
        </w:trPr>
        <w:tc>
          <w:tcPr>
            <w:tcW w:type="dxa" w:w="1900"/>
            <w:shd w:fill="1F3864" w:color="auto" w:val="clear"/>
            <w:tcMar>
              <w:top w:type="dxa" w:w="60"/>
              <w:left w:type="dxa" w:w="90"/>
              <w:bottom w:type="dxa" w:w="60"/>
              <w:right w:type="dxa" w:w="90"/>
            </w:tcMar>
          </w:tcPr>
          <w:p>
            <w:pPr>
              <w:spacing w:after="0" w:line="250"/>
              <w:jc w:val="left"/>
            </w:pPr>
            <w:r>
              <w:rPr>
                <w:b/>
                <w:bCs/>
                <w:color w:val="FFFFFF"/>
                <w:sz w:val="18"/>
                <w:szCs w:val="18"/>
              </w:rPr>
              <w:t xml:space="preserve">Layer</w:t>
            </w:r>
          </w:p>
        </w:tc>
        <w:tc>
          <w:tcPr>
            <w:tcW w:type="dxa" w:w="2100"/>
            <w:shd w:fill="1F3864" w:color="auto" w:val="clear"/>
            <w:tcMar>
              <w:top w:type="dxa" w:w="60"/>
              <w:left w:type="dxa" w:w="90"/>
              <w:bottom w:type="dxa" w:w="60"/>
              <w:right w:type="dxa" w:w="90"/>
            </w:tcMar>
          </w:tcPr>
          <w:p>
            <w:pPr>
              <w:spacing w:after="0" w:line="250"/>
              <w:jc w:val="left"/>
            </w:pPr>
            <w:r>
              <w:rPr>
                <w:b/>
                <w:bCs/>
                <w:color w:val="FFFFFF"/>
                <w:sz w:val="18"/>
                <w:szCs w:val="18"/>
              </w:rPr>
              <w:t xml:space="preserve">Who speaks</w:t>
            </w:r>
          </w:p>
        </w:tc>
        <w:tc>
          <w:tcPr>
            <w:tcW w:type="dxa" w:w="3226"/>
            <w:shd w:fill="1F3864" w:color="auto" w:val="clear"/>
            <w:tcMar>
              <w:top w:type="dxa" w:w="60"/>
              <w:left w:type="dxa" w:w="90"/>
              <w:bottom w:type="dxa" w:w="60"/>
              <w:right w:type="dxa" w:w="90"/>
            </w:tcMar>
          </w:tcPr>
          <w:p>
            <w:pPr>
              <w:spacing w:after="0" w:line="250"/>
              <w:jc w:val="left"/>
            </w:pPr>
            <w:r>
              <w:rPr>
                <w:b/>
                <w:bCs/>
                <w:color w:val="FFFFFF"/>
                <w:sz w:val="18"/>
                <w:szCs w:val="18"/>
              </w:rPr>
              <w:t xml:space="preserve">Content</w:t>
            </w:r>
          </w:p>
        </w:tc>
        <w:tc>
          <w:tcPr>
            <w:tcW w:type="dxa" w:w="1800"/>
            <w:shd w:fill="1F3864" w:color="auto" w:val="clear"/>
            <w:tcMar>
              <w:top w:type="dxa" w:w="60"/>
              <w:left w:type="dxa" w:w="90"/>
              <w:bottom w:type="dxa" w:w="60"/>
              <w:right w:type="dxa" w:w="90"/>
            </w:tcMar>
          </w:tcPr>
          <w:p>
            <w:pPr>
              <w:spacing w:after="0" w:line="250"/>
              <w:jc w:val="left"/>
            </w:pPr>
            <w:r>
              <w:rPr>
                <w:b/>
                <w:bCs/>
                <w:color w:val="FFFFFF"/>
                <w:sz w:val="18"/>
                <w:szCs w:val="18"/>
              </w:rPr>
              <w:t xml:space="preserve">Basis</w:t>
            </w:r>
          </w:p>
        </w:tc>
      </w:tr>
      <w:tr>
        <w:tc>
          <w:tcPr>
            <w:tcW w:type="dxa" w:w="19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1 — Compliance e-challan / notice</w:t>
            </w:r>
          </w:p>
        </w:tc>
        <w:tc>
          <w:tcPr>
            <w:tcW w:type="dxa" w:w="21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The State (Transport Dept / Traffic Police), per SC mandate</w:t>
            </w:r>
          </w:p>
        </w:tc>
        <w:tc>
          <w:tcPr>
            <w:tcW w:type="dxa" w:w="32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Factual: insurance appears lapsed; valid third-party cover is legally required under the Motor Vehicles Act; renew / pay challan.</w:t>
            </w:r>
          </w:p>
        </w:tc>
        <w:tc>
          <w:tcPr>
            <w:tcW w:type="dxa" w:w="18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Statutory enforcement (2026 INSC 793; MV Act s.196)</w:t>
            </w:r>
          </w:p>
        </w:tc>
      </w:tr>
      <w:tr>
        <w:tc>
          <w:tcPr>
            <w:tcW w:type="dxa" w:w="19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2 — Open insurance marketplace</w:t>
            </w:r>
          </w:p>
        </w:tc>
        <w:tc>
          <w:tcPr>
            <w:tcW w:type="dxa" w:w="21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Any licensed insurer (Bajaj + competitors)</w:t>
            </w:r>
          </w:p>
        </w:tc>
        <w:tc>
          <w:tcPr>
            <w:tcW w:type="dxa" w:w="32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For owners who opt in: competing “get covered in minutes” offers, transparently branded per insurer.</w:t>
            </w:r>
          </w:p>
        </w:tc>
        <w:tc>
          <w:tcPr>
            <w:tcW w:type="dxa" w:w="18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Consent under DPDP; IRDAI solicitation rules</w:t>
            </w:r>
          </w:p>
        </w:tc>
      </w:tr>
    </w:tbl>
    <w:p>
      <w:pPr>
        <w:spacing w:after="50"/>
      </w:pPr>
    </w:p>
    <w:p>
      <w:pPr>
        <w:spacing w:after="130" w:line="276"/>
        <w:jc w:val="both"/>
      </w:pPr>
      <w:r>
        <w:rPr>
          <w:color w:val="222222"/>
          <w:sz w:val="21"/>
          <w:szCs w:val="21"/>
        </w:rPr>
        <w:t xml:space="preserve">Under Section 196 of the Motor Vehicles Act (as amended 2019), driving without valid insurance draws </w:t>
      </w:r>
      <w:r>
        <w:rPr>
          <w:b/>
          <w:bCs/>
          <w:color w:val="222222"/>
          <w:sz w:val="21"/>
          <w:szCs w:val="21"/>
        </w:rPr>
        <w:t xml:space="preserve">₹2,000 and/or up to three months’ imprisonment for a first offence, ₹4,000 thereafter</w:t>
      </w:r>
      <w:r>
        <w:rPr>
          <w:color w:val="222222"/>
          <w:sz w:val="21"/>
          <w:szCs w:val="21"/>
        </w:rPr>
        <w:t xml:space="preserve"> — real teeth behind the compliance notice. The citizen receives a genuine public-interest service; insurers gain consented, fair-competition access to high-intent buyers; the State gains measurable compliance at no cost. No one is deceived, which is exactly why it endures.</w:t>
      </w:r>
    </w:p>
    <w:p>
      <w:pPr>
        <w:pStyle w:val="Heading1"/>
        <w:spacing w:after="140" w:before="320"/>
      </w:pPr>
      <w:r>
        <w:rPr>
          <w:b/>
          <w:bCs/>
          <w:color w:val="1F3864"/>
          <w:sz w:val="30"/>
          <w:szCs w:val="30"/>
        </w:rPr>
        <w:t xml:space="preserve">5. How It Works — Architecture &amp; Flow</w:t>
      </w:r>
    </w:p>
    <w:p>
      <w:pPr>
        <w:spacing w:after="130" w:line="276"/>
        <w:jc w:val="both"/>
      </w:pPr>
      <w:r>
        <w:rPr>
          <w:color w:val="222222"/>
          <w:sz w:val="21"/>
          <w:szCs w:val="21"/>
        </w:rPr>
        <w:t xml:space="preserve">A five-stage loop, with every stage that touches personal data routed through government infrastructure — consistent with both the DPDP regime and the court’s enforcement framing.</w:t>
      </w:r>
    </w:p>
    <w:p>
      <w:pPr>
        <w:pStyle w:val="ListParagraph"/>
        <w:numPr>
          <w:ilvl w:val="0"/>
          <w:numId w:val="3"/>
        </w:numPr>
        <w:spacing w:after="70" w:line="272"/>
        <w:jc w:val="both"/>
      </w:pPr>
      <w:r>
        <w:rPr>
          <w:b/>
          <w:bCs/>
          <w:color w:val="222222"/>
          <w:sz w:val="21"/>
          <w:szCs w:val="21"/>
        </w:rPr>
        <w:t xml:space="preserve">Capture.</w:t>
      </w:r>
      <w:r>
        <w:rPr>
          <w:color w:val="222222"/>
          <w:sz w:val="21"/>
          <w:szCs w:val="21"/>
        </w:rPr>
        <w:t xml:space="preserve"> ANPR cameras at a junction, toll lane (or, per the pilot direction, a fuel station) read the plate. Only the plate string is needed here — not the owner’s identity.</w:t>
      </w:r>
    </w:p>
    <w:p>
      <w:pPr>
        <w:pStyle w:val="ListParagraph"/>
        <w:numPr>
          <w:ilvl w:val="0"/>
          <w:numId w:val="3"/>
        </w:numPr>
        <w:spacing w:after="70" w:line="272"/>
        <w:jc w:val="both"/>
      </w:pPr>
      <w:r>
        <w:rPr>
          <w:b/>
          <w:bCs/>
          <w:color w:val="222222"/>
          <w:sz w:val="21"/>
          <w:szCs w:val="21"/>
        </w:rPr>
        <w:t xml:space="preserve">Verify.</w:t>
      </w:r>
      <w:r>
        <w:rPr>
          <w:color w:val="222222"/>
          <w:sz w:val="21"/>
          <w:szCs w:val="21"/>
        </w:rPr>
        <w:t xml:space="preserve"> The plate is checked for insurance validity against IIB/VAHAN. Because IIB can lag real policy status by up to two months, ASSURE supplements it with </w:t>
      </w:r>
      <w:r>
        <w:rPr>
          <w:b/>
          <w:bCs/>
          <w:color w:val="222222"/>
          <w:sz w:val="21"/>
          <w:szCs w:val="21"/>
        </w:rPr>
        <w:t xml:space="preserve">direct insurer policy feeds</w:t>
      </w:r>
      <w:r>
        <w:rPr>
          <w:color w:val="222222"/>
          <w:sz w:val="21"/>
          <w:szCs w:val="21"/>
        </w:rPr>
        <w:t xml:space="preserve"> to avoid false “lapsed” flags (see Section 6).</w:t>
      </w:r>
    </w:p>
    <w:p>
      <w:pPr>
        <w:pStyle w:val="ListParagraph"/>
        <w:numPr>
          <w:ilvl w:val="0"/>
          <w:numId w:val="3"/>
        </w:numPr>
        <w:spacing w:after="70" w:line="272"/>
        <w:jc w:val="both"/>
      </w:pPr>
      <w:r>
        <w:rPr>
          <w:b/>
          <w:bCs/>
          <w:color w:val="222222"/>
          <w:sz w:val="21"/>
          <w:szCs w:val="21"/>
        </w:rPr>
        <w:t xml:space="preserve">Filter &amp; suppress.</w:t>
      </w:r>
      <w:r>
        <w:rPr>
          <w:color w:val="222222"/>
          <w:sz w:val="21"/>
          <w:szCs w:val="21"/>
        </w:rPr>
        <w:t xml:space="preserve"> Only high-confidence lapses proceed; “insured” and “low-confidence/unknown” reads are discarded, with de-duplication to avoid repeat-notifying the same owner.</w:t>
      </w:r>
    </w:p>
    <w:p>
      <w:pPr>
        <w:pStyle w:val="ListParagraph"/>
        <w:numPr>
          <w:ilvl w:val="0"/>
          <w:numId w:val="3"/>
        </w:numPr>
        <w:spacing w:after="70" w:line="272"/>
        <w:jc w:val="both"/>
      </w:pPr>
      <w:r>
        <w:rPr>
          <w:b/>
          <w:bCs/>
          <w:color w:val="222222"/>
          <w:sz w:val="21"/>
          <w:szCs w:val="21"/>
        </w:rPr>
        <w:t xml:space="preserve">Notify.</w:t>
      </w:r>
      <w:r>
        <w:rPr>
          <w:color w:val="222222"/>
          <w:sz w:val="21"/>
          <w:szCs w:val="21"/>
        </w:rPr>
        <w:t xml:space="preserve"> The </w:t>
      </w:r>
      <w:r>
        <w:rPr>
          <w:b/>
          <w:bCs/>
          <w:color w:val="222222"/>
          <w:sz w:val="21"/>
          <w:szCs w:val="21"/>
        </w:rPr>
        <w:t xml:space="preserve">government partner</w:t>
      </w:r>
      <w:r>
        <w:rPr>
          <w:color w:val="222222"/>
          <w:sz w:val="21"/>
          <w:szCs w:val="21"/>
        </w:rPr>
        <w:t xml:space="preserve"> issues the official e-challan / compliance notice. Separately, owners are invited to the </w:t>
      </w:r>
      <w:r>
        <w:rPr>
          <w:b/>
          <w:bCs/>
          <w:color w:val="222222"/>
          <w:sz w:val="21"/>
          <w:szCs w:val="21"/>
        </w:rPr>
        <w:t xml:space="preserve">opt-in marketplace</w:t>
      </w:r>
      <w:r>
        <w:rPr>
          <w:color w:val="222222"/>
          <w:sz w:val="21"/>
          <w:szCs w:val="21"/>
        </w:rPr>
        <w:t xml:space="preserve"> to compare and buy cover.</w:t>
      </w:r>
    </w:p>
    <w:p>
      <w:pPr>
        <w:pStyle w:val="ListParagraph"/>
        <w:numPr>
          <w:ilvl w:val="0"/>
          <w:numId w:val="3"/>
        </w:numPr>
        <w:spacing w:after="70" w:line="272"/>
        <w:jc w:val="both"/>
      </w:pPr>
      <w:r>
        <w:rPr>
          <w:b/>
          <w:bCs/>
          <w:color w:val="222222"/>
          <w:sz w:val="21"/>
          <w:szCs w:val="21"/>
        </w:rPr>
        <w:t xml:space="preserve">Convert &amp; learn.</w:t>
      </w:r>
      <w:r>
        <w:rPr>
          <w:color w:val="222222"/>
          <w:sz w:val="21"/>
          <w:szCs w:val="21"/>
        </w:rPr>
        <w:t xml:space="preserve"> Consenting owners enter a two-minute, plate-pre-filled purchase journey; insurers bid to serve them. Anonymised outcomes tune targeting, timing and creative.</w:t>
      </w:r>
    </w:p>
    <w:p>
      <w:pPr>
        <w:spacing w:after="40"/>
      </w:pPr>
    </w:p>
    <w:tbl>
      <w:tblPr>
        <w:tblW w:type="dxa" w:w="9026"/>
        <w:tblBorders>
          <w:top w:val="none"/>
          <w:left w:val="single" w:color="548235" w:sz="18"/>
          <w:bottom w:val="none"/>
          <w:right w:val="none"/>
          <w:insideH w:val="none"/>
          <w:insideV w:val="none"/>
        </w:tblBorders>
      </w:tblPr>
      <w:tblGrid>
        <w:gridCol w:w="9026"/>
      </w:tblGrid>
      <w:tr>
        <w:tc>
          <w:tcPr>
            <w:tcW w:type="dxa" w:w="9026"/>
            <w:shd w:fill="E2EFDA" w:color="auto" w:val="clear"/>
            <w:tcMar>
              <w:top w:type="dxa" w:w="120"/>
              <w:left w:type="dxa" w:w="160"/>
              <w:bottom w:type="dxa" w:w="120"/>
              <w:right w:type="dxa" w:w="140"/>
            </w:tcMar>
          </w:tcPr>
          <w:p>
            <w:pPr>
              <w:spacing w:after="60"/>
            </w:pPr>
            <w:r>
              <w:rPr>
                <w:b/>
                <w:bCs/>
                <w:color w:val="1F3864"/>
                <w:sz w:val="20"/>
                <w:szCs w:val="20"/>
              </w:rPr>
              <w:t xml:space="preserve">Data-minimisation principle</w:t>
            </w:r>
          </w:p>
          <w:p>
            <w:pPr>
              <w:spacing w:after="0" w:line="264"/>
            </w:pPr>
            <w:r>
              <w:rPr>
                <w:color w:val="222222"/>
                <w:sz w:val="21"/>
                <w:szCs w:val="21"/>
              </w:rPr>
              <w:t xml:space="preserve">At the roadside the platform never needs to know </w:t>
            </w:r>
            <w:r>
              <w:rPr>
                <w:b/>
                <w:bCs/>
                <w:color w:val="222222"/>
                <w:sz w:val="21"/>
                <w:szCs w:val="21"/>
              </w:rPr>
              <w:t xml:space="preserve">who</w:t>
            </w:r>
            <w:r>
              <w:rPr>
                <w:color w:val="222222"/>
                <w:sz w:val="21"/>
                <w:szCs w:val="21"/>
              </w:rPr>
              <w:t xml:space="preserve"> the driver is — only whether the </w:t>
            </w:r>
            <w:r>
              <w:rPr>
                <w:b/>
                <w:bCs/>
                <w:color w:val="222222"/>
                <w:sz w:val="21"/>
                <w:szCs w:val="21"/>
              </w:rPr>
              <w:t xml:space="preserve">plate</w:t>
            </w:r>
            <w:r>
              <w:rPr>
                <w:color w:val="222222"/>
                <w:sz w:val="21"/>
                <w:szCs w:val="21"/>
              </w:rPr>
              <w:t xml:space="preserve"> is insured. Owner identity (name, mobile) is resolved only </w:t>
            </w:r>
            <w:r>
              <w:rPr>
                <w:b/>
                <w:bCs/>
                <w:color w:val="222222"/>
                <w:sz w:val="21"/>
                <w:szCs w:val="21"/>
              </w:rPr>
              <w:t xml:space="preserve">inside government systems</w:t>
            </w:r>
            <w:r>
              <w:rPr>
                <w:color w:val="222222"/>
                <w:sz w:val="21"/>
                <w:szCs w:val="21"/>
              </w:rPr>
              <w:t xml:space="preserve">, which issue the notice. Insurers — Bajaj included — receive personal data only for owners who </w:t>
            </w:r>
            <w:r>
              <w:rPr>
                <w:b/>
                <w:bCs/>
                <w:color w:val="222222"/>
                <w:sz w:val="21"/>
                <w:szCs w:val="21"/>
              </w:rPr>
              <w:t xml:space="preserve">opt in and consent.</w:t>
            </w:r>
            <w:r>
              <w:rPr>
                <w:color w:val="222222"/>
                <w:sz w:val="21"/>
                <w:szCs w:val="21"/>
              </w:rPr>
              <w:t xml:space="preserve"> The mass-scanning layer holds no personal data, which shrinks the legal and reputational surface dramatically and aligns with the DPDP Rules 2025.</w:t>
            </w:r>
          </w:p>
        </w:tc>
      </w:tr>
    </w:tbl>
    <w:p>
      <w:r>
        <w:br w:type="page"/>
      </w:r>
    </w:p>
    <w:p>
      <w:pPr>
        <w:pStyle w:val="Heading1"/>
        <w:spacing w:after="140" w:before="320"/>
      </w:pPr>
      <w:r>
        <w:rPr>
          <w:b/>
          <w:bCs/>
          <w:color w:val="1F3864"/>
          <w:sz w:val="30"/>
          <w:szCs w:val="30"/>
        </w:rPr>
        <w:t xml:space="preserve">6. The Data Layer — Where Every Piece Comes From</w:t>
      </w:r>
    </w:p>
    <w:p>
      <w:pPr>
        <w:spacing w:after="130" w:line="276"/>
        <w:jc w:val="both"/>
      </w:pPr>
      <w:r>
        <w:rPr>
          <w:color w:val="222222"/>
          <w:sz w:val="21"/>
          <w:szCs w:val="21"/>
        </w:rPr>
        <w:t xml:space="preserve">This is the heart of feasibility. Each row names the source and owner, the access mechanism, whom to approach, and the key restriction. The post-judgment context changes the game: access is now pursued </w:t>
      </w:r>
      <w:r>
        <w:rPr>
          <w:b/>
          <w:bCs/>
          <w:color w:val="222222"/>
          <w:sz w:val="21"/>
          <w:szCs w:val="21"/>
        </w:rPr>
        <w:t xml:space="preserve">as the technology partner to a government mandate</w:t>
      </w:r>
      <w:r>
        <w:rPr>
          <w:color w:val="222222"/>
          <w:sz w:val="21"/>
          <w:szCs w:val="21"/>
        </w:rPr>
        <w:t xml:space="preserve">, not as a private data buyer.</w:t>
      </w:r>
    </w:p>
    <w:p>
      <w:pPr>
        <w:spacing w:after="30"/>
      </w:pP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1620"/>
        <w:gridCol w:w="1780"/>
        <w:gridCol w:w="1720"/>
        <w:gridCol w:w="1560"/>
        <w:gridCol w:w="2346"/>
      </w:tblGrid>
      <w:tr>
        <w:trPr>
          <w:tblHeader/>
        </w:trPr>
        <w:tc>
          <w:tcPr>
            <w:tcW w:type="dxa" w:w="1620"/>
            <w:shd w:fill="1F3864" w:color="auto" w:val="clear"/>
            <w:tcMar>
              <w:top w:type="dxa" w:w="60"/>
              <w:left w:type="dxa" w:w="90"/>
              <w:bottom w:type="dxa" w:w="60"/>
              <w:right w:type="dxa" w:w="90"/>
            </w:tcMar>
          </w:tcPr>
          <w:p>
            <w:pPr>
              <w:spacing w:after="0" w:line="250"/>
              <w:jc w:val="left"/>
            </w:pPr>
            <w:r>
              <w:rPr>
                <w:b/>
                <w:bCs/>
                <w:color w:val="FFFFFF"/>
                <w:sz w:val="18"/>
                <w:szCs w:val="18"/>
              </w:rPr>
              <w:t xml:space="preserve">Data element</w:t>
            </w:r>
          </w:p>
        </w:tc>
        <w:tc>
          <w:tcPr>
            <w:tcW w:type="dxa" w:w="1780"/>
            <w:shd w:fill="1F3864" w:color="auto" w:val="clear"/>
            <w:tcMar>
              <w:top w:type="dxa" w:w="60"/>
              <w:left w:type="dxa" w:w="90"/>
              <w:bottom w:type="dxa" w:w="60"/>
              <w:right w:type="dxa" w:w="90"/>
            </w:tcMar>
          </w:tcPr>
          <w:p>
            <w:pPr>
              <w:spacing w:after="0" w:line="250"/>
              <w:jc w:val="left"/>
            </w:pPr>
            <w:r>
              <w:rPr>
                <w:b/>
                <w:bCs/>
                <w:color w:val="FFFFFF"/>
                <w:sz w:val="18"/>
                <w:szCs w:val="18"/>
              </w:rPr>
              <w:t xml:space="preserve">Source / owner</w:t>
            </w:r>
          </w:p>
        </w:tc>
        <w:tc>
          <w:tcPr>
            <w:tcW w:type="dxa" w:w="1720"/>
            <w:shd w:fill="1F3864" w:color="auto" w:val="clear"/>
            <w:tcMar>
              <w:top w:type="dxa" w:w="60"/>
              <w:left w:type="dxa" w:w="90"/>
              <w:bottom w:type="dxa" w:w="60"/>
              <w:right w:type="dxa" w:w="90"/>
            </w:tcMar>
          </w:tcPr>
          <w:p>
            <w:pPr>
              <w:spacing w:after="0" w:line="250"/>
              <w:jc w:val="left"/>
            </w:pPr>
            <w:r>
              <w:rPr>
                <w:b/>
                <w:bCs/>
                <w:color w:val="FFFFFF"/>
                <w:sz w:val="18"/>
                <w:szCs w:val="18"/>
              </w:rPr>
              <w:t xml:space="preserve">Access mechanism (2026)</w:t>
            </w:r>
          </w:p>
        </w:tc>
        <w:tc>
          <w:tcPr>
            <w:tcW w:type="dxa" w:w="1560"/>
            <w:shd w:fill="1F3864" w:color="auto" w:val="clear"/>
            <w:tcMar>
              <w:top w:type="dxa" w:w="60"/>
              <w:left w:type="dxa" w:w="90"/>
              <w:bottom w:type="dxa" w:w="60"/>
              <w:right w:type="dxa" w:w="90"/>
            </w:tcMar>
          </w:tcPr>
          <w:p>
            <w:pPr>
              <w:spacing w:after="0" w:line="250"/>
              <w:jc w:val="left"/>
            </w:pPr>
            <w:r>
              <w:rPr>
                <w:b/>
                <w:bCs/>
                <w:color w:val="FFFFFF"/>
                <w:sz w:val="18"/>
                <w:szCs w:val="18"/>
              </w:rPr>
              <w:t xml:space="preserve">Whom to approach</w:t>
            </w:r>
          </w:p>
        </w:tc>
        <w:tc>
          <w:tcPr>
            <w:tcW w:type="dxa" w:w="2346"/>
            <w:shd w:fill="1F3864" w:color="auto" w:val="clear"/>
            <w:tcMar>
              <w:top w:type="dxa" w:w="60"/>
              <w:left w:type="dxa" w:w="90"/>
              <w:bottom w:type="dxa" w:w="60"/>
              <w:right w:type="dxa" w:w="90"/>
            </w:tcMar>
          </w:tcPr>
          <w:p>
            <w:pPr>
              <w:spacing w:after="0" w:line="250"/>
              <w:jc w:val="left"/>
            </w:pPr>
            <w:r>
              <w:rPr>
                <w:b/>
                <w:bCs/>
                <w:color w:val="FFFFFF"/>
                <w:sz w:val="18"/>
                <w:szCs w:val="18"/>
              </w:rPr>
              <w:t xml:space="preserve">Key restriction</w:t>
            </w:r>
          </w:p>
        </w:tc>
      </w:tr>
      <w:tr>
        <w:tc>
          <w:tcPr>
            <w:tcW w:type="dxa" w:w="162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Plate → registration &amp; owner</w:t>
            </w:r>
          </w:p>
        </w:tc>
        <w:tc>
          <w:tcPr>
            <w:tcW w:type="dxa" w:w="178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VAHAN / National Transport Repository (MoRTH; operated by NIC); 39+ cr vehicle records</w:t>
            </w:r>
          </w:p>
        </w:tc>
        <w:tc>
          <w:tcPr>
            <w:tcW w:type="dxa" w:w="172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Consent-based (Aadhaar OTP) for insurers; full access for police/enforcement</w:t>
            </w:r>
          </w:p>
        </w:tc>
        <w:tc>
          <w:tcPr>
            <w:tcW w:type="dxa" w:w="156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MoRTH &amp; NIC; State Transport Dept</w:t>
            </w:r>
          </w:p>
        </w:tc>
        <w:tc>
          <w:tcPr>
            <w:tcW w:type="dxa" w:w="234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Aug 2025 policy: no commercial bulk resale; bulk only via GoI Joint Secretary, case-by-case</w:t>
            </w:r>
          </w:p>
        </w:tc>
      </w:tr>
      <w:tr>
        <w:tc>
          <w:tcPr>
            <w:tcW w:type="dxa" w:w="162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Insurance validity by reg. no.</w:t>
            </w:r>
          </w:p>
        </w:tc>
        <w:tc>
          <w:tcPr>
            <w:tcW w:type="dxa" w:w="178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Insurance Information Bureau (IIB), under IRDAI; mirrored into VAHAN</w:t>
            </w:r>
          </w:p>
        </w:tc>
        <w:tc>
          <w:tcPr>
            <w:tcW w:type="dxa" w:w="172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IIB V-Seva / VAHAN / mParivahan; insurers file motor data to IIB monthly &amp; daily</w:t>
            </w:r>
          </w:p>
        </w:tc>
        <w:tc>
          <w:tcPr>
            <w:tcW w:type="dxa" w:w="156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IIB (Hyderabad) &amp; IRDAI; Bajaj already files to IIB</w:t>
            </w:r>
          </w:p>
        </w:tc>
        <w:tc>
          <w:tcPr>
            <w:tcW w:type="dxa" w:w="234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**Data lag up to ~2 months**; public lookups capped (3/day). Supplement with direct insurer feeds</w:t>
            </w:r>
          </w:p>
        </w:tc>
      </w:tr>
      <w:tr>
        <w:tc>
          <w:tcPr>
            <w:tcW w:type="dxa" w:w="162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Owner mobile (for notice)</w:t>
            </w:r>
          </w:p>
        </w:tc>
        <w:tc>
          <w:tcPr>
            <w:tcW w:type="dxa" w:w="178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VAHAN registered-mobile field</w:t>
            </w:r>
          </w:p>
        </w:tc>
        <w:tc>
          <w:tcPr>
            <w:tcW w:type="dxa" w:w="172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Via govt SMS gateway / mParivahan only</w:t>
            </w:r>
          </w:p>
        </w:tc>
        <w:tc>
          <w:tcPr>
            <w:tcW w:type="dxa" w:w="156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State Transport Dept / MoRTH</w:t>
            </w:r>
          </w:p>
        </w:tc>
        <w:tc>
          <w:tcPr>
            <w:tcW w:type="dxa" w:w="234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Sent by government, not insurer; DPDP consent/notice applies</w:t>
            </w:r>
          </w:p>
        </w:tc>
      </w:tr>
      <w:tr>
        <w:tc>
          <w:tcPr>
            <w:tcW w:type="dxa" w:w="162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Live plate reads</w:t>
            </w:r>
          </w:p>
        </w:tc>
        <w:tc>
          <w:tcPr>
            <w:tcW w:type="dxa" w:w="178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ANPR cameras (platform-owned or city ITS)</w:t>
            </w:r>
          </w:p>
        </w:tc>
        <w:tc>
          <w:tcPr>
            <w:tcW w:type="dxa" w:w="172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Deploy cameras or integrate ITS feeds; enforcement e-challan rails</w:t>
            </w:r>
          </w:p>
        </w:tc>
        <w:tc>
          <w:tcPr>
            <w:tcW w:type="dxa" w:w="156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State Traffic Police / Municipal Corp / ITS operator</w:t>
            </w:r>
          </w:p>
        </w:tc>
        <w:tc>
          <w:tcPr>
            <w:tcW w:type="dxa" w:w="234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Data localisation; CERT-IN audit; evidence norms</w:t>
            </w:r>
          </w:p>
        </w:tc>
      </w:tr>
      <w:tr>
        <w:tc>
          <w:tcPr>
            <w:tcW w:type="dxa" w:w="162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Toll &amp; fuel-station passage</w:t>
            </w:r>
          </w:p>
        </w:tc>
        <w:tc>
          <w:tcPr>
            <w:tcW w:type="dxa" w:w="178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Toll-plaza ANPR; FASTag/NETC (NPCI); fuel-station ANPR (SC pilot)</w:t>
            </w:r>
          </w:p>
        </w:tc>
        <w:tc>
          <w:tcPr>
            <w:tcW w:type="dxa" w:w="172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Plaza ANPR preferred; FASTag PII avoided</w:t>
            </w:r>
          </w:p>
        </w:tc>
        <w:tc>
          <w:tcPr>
            <w:tcW w:type="dxa" w:w="156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NHAI &amp; IHMCL (tolls); NPCI (FASTag); OMCs + MoPNG (fuel pilot)</w:t>
            </w:r>
          </w:p>
        </w:tc>
        <w:tc>
          <w:tcPr>
            <w:tcW w:type="dxa" w:w="234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FASTag transaction data tightly controlled — design around it</w:t>
            </w:r>
          </w:p>
        </w:tc>
      </w:tr>
      <w:tr>
        <w:tc>
          <w:tcPr>
            <w:tcW w:type="dxa" w:w="162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Official notice / e-challan</w:t>
            </w:r>
          </w:p>
        </w:tc>
        <w:tc>
          <w:tcPr>
            <w:tcW w:type="dxa" w:w="178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e-challan / VAHAN / mParivahan / DigiLocker</w:t>
            </w:r>
          </w:p>
        </w:tc>
        <w:tc>
          <w:tcPr>
            <w:tcW w:type="dxa" w:w="172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Government notification rails</w:t>
            </w:r>
          </w:p>
        </w:tc>
        <w:tc>
          <w:tcPr>
            <w:tcW w:type="dxa" w:w="156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MoRTH / State Traffic Police; MeitY-NeGD (DigiLocker)</w:t>
            </w:r>
          </w:p>
        </w:tc>
        <w:tc>
          <w:tcPr>
            <w:tcW w:type="dxa" w:w="234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Only the authority issues an “official” notice</w:t>
            </w:r>
          </w:p>
        </w:tc>
      </w:tr>
      <w:tr>
        <w:tc>
          <w:tcPr>
            <w:tcW w:type="dxa" w:w="162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Marketplace offer delivery</w:t>
            </w:r>
          </w:p>
        </w:tc>
        <w:tc>
          <w:tcPr>
            <w:tcW w:type="dxa" w:w="178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Opt-in consented channel + insurer APIs</w:t>
            </w:r>
          </w:p>
        </w:tc>
        <w:tc>
          <w:tcPr>
            <w:tcW w:type="dxa" w:w="172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Consent-gated links; per-impression auction</w:t>
            </w:r>
          </w:p>
        </w:tc>
        <w:tc>
          <w:tcPr>
            <w:tcW w:type="dxa" w:w="156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Participating insurers; IRDAI (ad norms)</w:t>
            </w:r>
          </w:p>
        </w:tc>
        <w:tc>
          <w:tcPr>
            <w:tcW w:type="dxa" w:w="234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DPDP consent; IRDAI solicitation &amp; disclosure rules</w:t>
            </w:r>
          </w:p>
        </w:tc>
      </w:tr>
      <w:tr>
        <w:tc>
          <w:tcPr>
            <w:tcW w:type="dxa" w:w="162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Intersection display rights</w:t>
            </w:r>
          </w:p>
        </w:tc>
        <w:tc>
          <w:tcPr>
            <w:tcW w:type="dxa" w:w="178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Municipal Corp &amp; Traffic Police OOH concessions</w:t>
            </w:r>
          </w:p>
        </w:tc>
        <w:tc>
          <w:tcPr>
            <w:tcW w:type="dxa" w:w="172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Municipal advertising tenders</w:t>
            </w:r>
          </w:p>
        </w:tc>
        <w:tc>
          <w:tcPr>
            <w:tcW w:type="dxa" w:w="156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Municipal Corp advertising dept</w:t>
            </w:r>
          </w:p>
        </w:tc>
        <w:tc>
          <w:tcPr>
            <w:tcW w:type="dxa" w:w="234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Local, per-city tenders; content approval</w:t>
            </w:r>
          </w:p>
        </w:tc>
      </w:tr>
    </w:tbl>
    <w:p>
      <w:pPr>
        <w:spacing w:after="70"/>
      </w:pPr>
    </w:p>
    <w:p>
      <w:pPr>
        <w:pStyle w:val="Heading2"/>
        <w:spacing w:after="90" w:before="220"/>
      </w:pPr>
      <w:r>
        <w:rPr>
          <w:b/>
          <w:bCs/>
          <w:color w:val="2E5496"/>
          <w:sz w:val="25"/>
          <w:szCs w:val="25"/>
        </w:rPr>
        <w:t xml:space="preserve">6.1 The two data risks to engineer around</w:t>
      </w:r>
    </w:p>
    <w:p>
      <w:pPr>
        <w:pStyle w:val="ListParagraph"/>
        <w:numPr>
          <w:ilvl w:val="0"/>
          <w:numId w:val="2"/>
        </w:numPr>
        <w:spacing w:after="70" w:line="272"/>
        <w:jc w:val="both"/>
      </w:pPr>
      <w:r>
        <w:rPr>
          <w:b/>
          <w:bCs/>
          <w:color w:val="222222"/>
          <w:sz w:val="21"/>
          <w:szCs w:val="21"/>
        </w:rPr>
        <w:t xml:space="preserve">Access:</w:t>
      </w:r>
      <w:r>
        <w:rPr>
          <w:color w:val="222222"/>
          <w:sz w:val="21"/>
          <w:szCs w:val="21"/>
        </w:rPr>
        <w:t xml:space="preserve"> the Aug 2025 data-sharing policy deliberately blocks commercial bulk purchase. The viable route is as the </w:t>
      </w:r>
      <w:r>
        <w:rPr>
          <w:b/>
          <w:bCs/>
          <w:color w:val="222222"/>
          <w:sz w:val="21"/>
          <w:szCs w:val="21"/>
        </w:rPr>
        <w:t xml:space="preserve">sanctioned enforcement-technology partner</w:t>
      </w:r>
      <w:r>
        <w:rPr>
          <w:color w:val="222222"/>
          <w:sz w:val="21"/>
          <w:szCs w:val="21"/>
        </w:rPr>
        <w:t xml:space="preserve"> to MoRTH/state governments (who hold full access under the SC mandate), with consent-based insurer access for the marketplace layer.</w:t>
      </w:r>
    </w:p>
    <w:p>
      <w:pPr>
        <w:pStyle w:val="ListParagraph"/>
        <w:numPr>
          <w:ilvl w:val="0"/>
          <w:numId w:val="2"/>
        </w:numPr>
        <w:spacing w:after="70" w:line="272"/>
        <w:jc w:val="both"/>
      </w:pPr>
      <w:r>
        <w:rPr>
          <w:b/>
          <w:bCs/>
          <w:color w:val="222222"/>
          <w:sz w:val="21"/>
          <w:szCs w:val="21"/>
        </w:rPr>
        <w:t xml:space="preserve">Freshness:</w:t>
      </w:r>
      <w:r>
        <w:rPr>
          <w:color w:val="222222"/>
          <w:sz w:val="21"/>
          <w:szCs w:val="21"/>
        </w:rPr>
        <w:t xml:space="preserve"> IIB’s ~2-month latency means a recently-renewed vehicle can wrongly read as lapsed. This is a trust-killer. Mitigate with </w:t>
      </w:r>
      <w:r>
        <w:rPr>
          <w:b/>
          <w:bCs/>
          <w:color w:val="222222"/>
          <w:sz w:val="21"/>
          <w:szCs w:val="21"/>
        </w:rPr>
        <w:t xml:space="preserve">direct, real-time policy feeds from participating insurers</w:t>
      </w:r>
      <w:r>
        <w:rPr>
          <w:color w:val="222222"/>
          <w:sz w:val="21"/>
          <w:szCs w:val="21"/>
        </w:rPr>
        <w:t xml:space="preserve"> and a mandatory pre-notice re-check, never auto-penalising on IIB data alone.</w:t>
      </w:r>
    </w:p>
    <w:p>
      <w:pPr>
        <w:pStyle w:val="Heading1"/>
        <w:spacing w:after="140" w:before="320"/>
      </w:pPr>
      <w:r>
        <w:rPr>
          <w:b/>
          <w:bCs/>
          <w:color w:val="1F3864"/>
          <w:sz w:val="30"/>
          <w:szCs w:val="30"/>
        </w:rPr>
        <w:t xml:space="preserve">7. Legal &amp; Ethical Framework</w:t>
      </w:r>
    </w:p>
    <w:p>
      <w:pPr>
        <w:pStyle w:val="Heading2"/>
        <w:spacing w:after="90" w:before="220"/>
      </w:pPr>
      <w:r>
        <w:rPr>
          <w:b/>
          <w:bCs/>
          <w:color w:val="2E5496"/>
          <w:sz w:val="25"/>
          <w:szCs w:val="25"/>
        </w:rPr>
        <w:t xml:space="preserve">7.1 DPDP Act 2023 &amp; DPDP Rules 2025</w:t>
      </w:r>
    </w:p>
    <w:p>
      <w:pPr>
        <w:pStyle w:val="ListParagraph"/>
        <w:numPr>
          <w:ilvl w:val="0"/>
          <w:numId w:val="2"/>
        </w:numPr>
        <w:spacing w:after="70" w:line="272"/>
        <w:jc w:val="both"/>
      </w:pPr>
      <w:r>
        <w:rPr>
          <w:color w:val="222222"/>
          <w:sz w:val="21"/>
          <w:szCs w:val="21"/>
        </w:rPr>
        <w:t xml:space="preserve">The </w:t>
      </w:r>
      <w:r>
        <w:rPr>
          <w:b/>
          <w:bCs/>
          <w:color w:val="222222"/>
          <w:sz w:val="21"/>
          <w:szCs w:val="21"/>
        </w:rPr>
        <w:t xml:space="preserve">DPDP Rules 2025 were notified on 13 November 2025</w:t>
      </w:r>
      <w:r>
        <w:rPr>
          <w:color w:val="222222"/>
          <w:sz w:val="21"/>
          <w:szCs w:val="21"/>
        </w:rPr>
        <w:t xml:space="preserve">; the Data Protection Board is established. Operative obligations (notice, consent, security, data-principal rights) phase in over ~18 months — roughly </w:t>
      </w:r>
      <w:r>
        <w:rPr>
          <w:b/>
          <w:bCs/>
          <w:color w:val="222222"/>
          <w:sz w:val="21"/>
          <w:szCs w:val="21"/>
        </w:rPr>
        <w:t xml:space="preserve">mid-2027</w:t>
      </w:r>
      <w:r>
        <w:rPr>
          <w:color w:val="222222"/>
          <w:sz w:val="21"/>
          <w:szCs w:val="21"/>
        </w:rPr>
        <w:t xml:space="preserve"> — so build compliant-by-design now.</w:t>
      </w:r>
    </w:p>
    <w:p>
      <w:pPr>
        <w:pStyle w:val="ListParagraph"/>
        <w:numPr>
          <w:ilvl w:val="0"/>
          <w:numId w:val="2"/>
        </w:numPr>
        <w:spacing w:after="70" w:line="272"/>
        <w:jc w:val="both"/>
      </w:pPr>
      <w:r>
        <w:rPr>
          <w:color w:val="222222"/>
          <w:sz w:val="21"/>
          <w:szCs w:val="21"/>
        </w:rPr>
        <w:t xml:space="preserve">Registration, insurance status and mobile number are </w:t>
      </w:r>
      <w:r>
        <w:rPr>
          <w:b/>
          <w:bCs/>
          <w:color w:val="222222"/>
          <w:sz w:val="21"/>
          <w:szCs w:val="21"/>
        </w:rPr>
        <w:t xml:space="preserve">personal data.</w:t>
      </w:r>
      <w:r>
        <w:rPr>
          <w:color w:val="222222"/>
          <w:sz w:val="21"/>
          <w:szCs w:val="21"/>
        </w:rPr>
        <w:t xml:space="preserve"> The compliance notice is defensible as a </w:t>
      </w:r>
      <w:r>
        <w:rPr>
          <w:b/>
          <w:bCs/>
          <w:color w:val="222222"/>
          <w:sz w:val="21"/>
          <w:szCs w:val="21"/>
        </w:rPr>
        <w:t xml:space="preserve">State enforcement function</w:t>
      </w:r>
      <w:r>
        <w:rPr>
          <w:color w:val="222222"/>
          <w:sz w:val="21"/>
          <w:szCs w:val="21"/>
        </w:rPr>
        <w:t xml:space="preserve"> (now court-mandated); the marketplace offer runs on </w:t>
      </w:r>
      <w:r>
        <w:rPr>
          <w:b/>
          <w:bCs/>
          <w:color w:val="222222"/>
          <w:sz w:val="21"/>
          <w:szCs w:val="21"/>
        </w:rPr>
        <w:t xml:space="preserve">explicit opt-in consent</w:t>
      </w:r>
      <w:r>
        <w:rPr>
          <w:color w:val="222222"/>
          <w:sz w:val="21"/>
          <w:szCs w:val="21"/>
        </w:rPr>
        <w:t xml:space="preserve"> with plain-language notice, purpose limitation and easy withdrawal.</w:t>
      </w:r>
    </w:p>
    <w:p>
      <w:pPr>
        <w:pStyle w:val="ListParagraph"/>
        <w:numPr>
          <w:ilvl w:val="0"/>
          <w:numId w:val="2"/>
        </w:numPr>
        <w:spacing w:after="70" w:line="272"/>
        <w:jc w:val="both"/>
      </w:pPr>
      <w:r>
        <w:rPr>
          <w:color w:val="222222"/>
          <w:sz w:val="21"/>
          <w:szCs w:val="21"/>
        </w:rPr>
        <w:t xml:space="preserve">The “sold, not bought” cold-push model is directly constrained by the Rules — another reason the consent-gated marketplace design is the correct one.</w:t>
      </w:r>
    </w:p>
    <w:p>
      <w:pPr>
        <w:pStyle w:val="Heading2"/>
        <w:spacing w:after="90" w:before="220"/>
      </w:pPr>
      <w:r>
        <w:rPr>
          <w:b/>
          <w:bCs/>
          <w:color w:val="2E5496"/>
          <w:sz w:val="25"/>
          <w:szCs w:val="25"/>
        </w:rPr>
        <w:t xml:space="preserve">7.2 Motor Vehicles Act &amp; IRDAI</w:t>
      </w:r>
    </w:p>
    <w:p>
      <w:pPr>
        <w:pStyle w:val="ListParagraph"/>
        <w:numPr>
          <w:ilvl w:val="0"/>
          <w:numId w:val="2"/>
        </w:numPr>
        <w:spacing w:after="70" w:line="272"/>
        <w:jc w:val="both"/>
      </w:pPr>
      <w:r>
        <w:rPr>
          <w:color w:val="222222"/>
          <w:sz w:val="21"/>
          <w:szCs w:val="21"/>
        </w:rPr>
        <w:t xml:space="preserve">The </w:t>
      </w:r>
      <w:r>
        <w:rPr>
          <w:b/>
          <w:bCs/>
          <w:color w:val="222222"/>
          <w:sz w:val="21"/>
          <w:szCs w:val="21"/>
        </w:rPr>
        <w:t xml:space="preserve">Motor Vehicles Act 1988</w:t>
      </w:r>
      <w:r>
        <w:rPr>
          <w:color w:val="222222"/>
          <w:sz w:val="21"/>
          <w:szCs w:val="21"/>
        </w:rPr>
        <w:t xml:space="preserve"> (mandatory third-party cover; s.196 penalties) is the legal basis for the compliance notice.</w:t>
      </w:r>
    </w:p>
    <w:p>
      <w:pPr>
        <w:pStyle w:val="ListParagraph"/>
        <w:numPr>
          <w:ilvl w:val="0"/>
          <w:numId w:val="2"/>
        </w:numPr>
        <w:spacing w:after="70" w:line="272"/>
        <w:jc w:val="both"/>
      </w:pPr>
      <w:r>
        <w:rPr>
          <w:b/>
          <w:bCs/>
          <w:color w:val="222222"/>
          <w:sz w:val="21"/>
          <w:szCs w:val="21"/>
        </w:rPr>
        <w:t xml:space="preserve">IRDAI</w:t>
      </w:r>
      <w:r>
        <w:rPr>
          <w:color w:val="222222"/>
          <w:sz w:val="21"/>
          <w:szCs w:val="21"/>
        </w:rPr>
        <w:t xml:space="preserve"> governs solicitation and advertising. Every insurer’s marketplace creative must carry proper identification and disclosures and must not masquerade as official guidance.</w:t>
      </w:r>
    </w:p>
    <w:p>
      <w:pPr>
        <w:pStyle w:val="Heading2"/>
        <w:spacing w:after="90" w:before="220"/>
      </w:pPr>
      <w:r>
        <w:rPr>
          <w:b/>
          <w:bCs/>
          <w:color w:val="2E5496"/>
          <w:sz w:val="25"/>
          <w:szCs w:val="25"/>
        </w:rPr>
        <w:t xml:space="preserve">7.3 The propriety test</w:t>
      </w:r>
    </w:p>
    <w:tbl>
      <w:tblPr>
        <w:tblW w:type="dxa" w:w="9026"/>
        <w:tblBorders>
          <w:top w:val="none"/>
          <w:left w:val="single" w:color="C55A11" w:sz="18"/>
          <w:bottom w:val="none"/>
          <w:right w:val="none"/>
          <w:insideH w:val="none"/>
          <w:insideV w:val="none"/>
        </w:tblBorders>
      </w:tblPr>
      <w:tblGrid>
        <w:gridCol w:w="9026"/>
      </w:tblGrid>
      <w:tr>
        <w:tc>
          <w:tcPr>
            <w:tcW w:type="dxa" w:w="9026"/>
            <w:shd w:fill="FBE4D5" w:color="auto" w:val="clear"/>
            <w:tcMar>
              <w:top w:type="dxa" w:w="120"/>
              <w:left w:type="dxa" w:w="160"/>
              <w:bottom w:type="dxa" w:w="120"/>
              <w:right w:type="dxa" w:w="140"/>
            </w:tcMar>
          </w:tcPr>
          <w:p>
            <w:pPr>
              <w:spacing w:after="0" w:line="264"/>
            </w:pPr>
            <w:r>
              <w:rPr>
                <w:color w:val="222222"/>
                <w:sz w:val="21"/>
                <w:szCs w:val="21"/>
              </w:rPr>
              <w:t xml:space="preserve">Every screen must pass one test: </w:t>
            </w:r>
            <w:r>
              <w:rPr>
                <w:b/>
                <w:bCs/>
                <w:color w:val="222222"/>
                <w:sz w:val="21"/>
                <w:szCs w:val="21"/>
              </w:rPr>
              <w:t xml:space="preserve">could any citizen tell at a glance which words are the government’s and which are an insurer’s?</w:t>
            </w:r>
            <w:r>
              <w:rPr>
                <w:color w:val="222222"/>
                <w:sz w:val="21"/>
                <w:szCs w:val="21"/>
              </w:rPr>
              <w:t xml:space="preserve"> With an open marketplace this is easier, not harder — no single brand owns the government-linked moment. Write the test into the partnership agreement and audit it.</w:t>
            </w:r>
          </w:p>
        </w:tc>
      </w:tr>
    </w:tbl>
    <w:p>
      <w:pPr>
        <w:pStyle w:val="Heading1"/>
        <w:spacing w:after="140" w:before="320"/>
      </w:pPr>
      <w:r>
        <w:rPr>
          <w:b/>
          <w:bCs/>
          <w:color w:val="1F3864"/>
          <w:sz w:val="30"/>
          <w:szCs w:val="30"/>
        </w:rPr>
        <w:t xml:space="preserve">8. Partnerships — Whom to Approach, and for What</w:t>
      </w: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1850"/>
        <w:gridCol w:w="3350"/>
        <w:gridCol w:w="3826"/>
      </w:tblGrid>
      <w:tr>
        <w:trPr>
          <w:tblHeader/>
        </w:trPr>
        <w:tc>
          <w:tcPr>
            <w:tcW w:type="dxa" w:w="1850"/>
            <w:shd w:fill="1F3864" w:color="auto" w:val="clear"/>
            <w:tcMar>
              <w:top w:type="dxa" w:w="60"/>
              <w:left w:type="dxa" w:w="90"/>
              <w:bottom w:type="dxa" w:w="60"/>
              <w:right w:type="dxa" w:w="90"/>
            </w:tcMar>
          </w:tcPr>
          <w:p>
            <w:pPr>
              <w:spacing w:after="0" w:line="250"/>
              <w:jc w:val="left"/>
            </w:pPr>
            <w:r>
              <w:rPr>
                <w:b/>
                <w:bCs/>
                <w:color w:val="FFFFFF"/>
                <w:sz w:val="18"/>
                <w:szCs w:val="18"/>
              </w:rPr>
              <w:t xml:space="preserve">Partner</w:t>
            </w:r>
          </w:p>
        </w:tc>
        <w:tc>
          <w:tcPr>
            <w:tcW w:type="dxa" w:w="3350"/>
            <w:shd w:fill="1F3864" w:color="auto" w:val="clear"/>
            <w:tcMar>
              <w:top w:type="dxa" w:w="60"/>
              <w:left w:type="dxa" w:w="90"/>
              <w:bottom w:type="dxa" w:w="60"/>
              <w:right w:type="dxa" w:w="90"/>
            </w:tcMar>
          </w:tcPr>
          <w:p>
            <w:pPr>
              <w:spacing w:after="0" w:line="250"/>
              <w:jc w:val="left"/>
            </w:pPr>
            <w:r>
              <w:rPr>
                <w:b/>
                <w:bCs/>
                <w:color w:val="FFFFFF"/>
                <w:sz w:val="18"/>
                <w:szCs w:val="18"/>
              </w:rPr>
              <w:t xml:space="preserve">What only they can give</w:t>
            </w:r>
          </w:p>
        </w:tc>
        <w:tc>
          <w:tcPr>
            <w:tcW w:type="dxa" w:w="3826"/>
            <w:shd w:fill="1F3864" w:color="auto" w:val="clear"/>
            <w:tcMar>
              <w:top w:type="dxa" w:w="60"/>
              <w:left w:type="dxa" w:w="90"/>
              <w:bottom w:type="dxa" w:w="60"/>
              <w:right w:type="dxa" w:w="90"/>
            </w:tcMar>
          </w:tcPr>
          <w:p>
            <w:pPr>
              <w:spacing w:after="0" w:line="250"/>
              <w:jc w:val="left"/>
            </w:pPr>
            <w:r>
              <w:rPr>
                <w:b/>
                <w:bCs/>
                <w:color w:val="FFFFFF"/>
                <w:sz w:val="18"/>
                <w:szCs w:val="18"/>
              </w:rPr>
              <w:t xml:space="preserve">What Bajaj / the platform offers</w:t>
            </w:r>
          </w:p>
        </w:tc>
      </w:tr>
      <w:tr>
        <w:tc>
          <w:tcPr>
            <w:tcW w:type="dxa" w:w="18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MoRTH / NIC (VAHAN)</w:t>
            </w:r>
          </w:p>
        </w:tc>
        <w:tc>
          <w:tcPr>
            <w:tcW w:type="dxa" w:w="33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Vehicle data; the notice &amp; e-challan rails</w:t>
            </w:r>
          </w:p>
        </w:tc>
        <w:tc>
          <w:tcPr>
            <w:tcW w:type="dxa" w:w="38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A ready-built tool to deliver the SC-mandated ANPR-IIB-VAHAN pipeline</w:t>
            </w:r>
          </w:p>
        </w:tc>
      </w:tr>
      <w:tr>
        <w:tc>
          <w:tcPr>
            <w:tcW w:type="dxa" w:w="18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IRDAI / IIB</w:t>
            </w:r>
          </w:p>
        </w:tc>
        <w:tc>
          <w:tcPr>
            <w:tcW w:type="dxa" w:w="33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Insurance-validity data; regulatory comfort</w:t>
            </w:r>
          </w:p>
        </w:tc>
        <w:tc>
          <w:tcPr>
            <w:tcW w:type="dxa" w:w="38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Measurable penetration lift; a replicable enforcement-plus-conversion model</w:t>
            </w:r>
          </w:p>
        </w:tc>
      </w:tr>
      <w:tr>
        <w:tc>
          <w:tcPr>
            <w:tcW w:type="dxa" w:w="18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State Transport Dept / RTO</w:t>
            </w:r>
          </w:p>
        </w:tc>
        <w:tc>
          <w:tcPr>
            <w:tcW w:type="dxa" w:w="33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State vehicle data; authority to notify</w:t>
            </w:r>
          </w:p>
        </w:tc>
        <w:tc>
          <w:tcPr>
            <w:tcW w:type="dxa" w:w="38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Higher compliance, fewer uninsured claims on state roads</w:t>
            </w:r>
          </w:p>
        </w:tc>
      </w:tr>
      <w:tr>
        <w:tc>
          <w:tcPr>
            <w:tcW w:type="dxa" w:w="18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State Traffic Police</w:t>
            </w:r>
          </w:p>
        </w:tc>
        <w:tc>
          <w:tcPr>
            <w:tcW w:type="dxa" w:w="33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Junction access, ITS feeds, e-challan legitimacy</w:t>
            </w:r>
          </w:p>
        </w:tc>
        <w:tc>
          <w:tcPr>
            <w:tcW w:type="dxa" w:w="38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Detection infrastructure and analytics at low/no cost</w:t>
            </w:r>
          </w:p>
        </w:tc>
      </w:tr>
      <w:tr>
        <w:tc>
          <w:tcPr>
            <w:tcW w:type="dxa" w:w="18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Municipal Corporation</w:t>
            </w:r>
          </w:p>
        </w:tc>
        <w:tc>
          <w:tcPr>
            <w:tcW w:type="dxa" w:w="33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Intersection siting &amp; OOH concessions</w:t>
            </w:r>
          </w:p>
        </w:tc>
        <w:tc>
          <w:tcPr>
            <w:tcW w:type="dxa" w:w="38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Concession fees / revenue share; civic-safety messaging</w:t>
            </w:r>
          </w:p>
        </w:tc>
      </w:tr>
      <w:tr>
        <w:tc>
          <w:tcPr>
            <w:tcW w:type="dxa" w:w="18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NHAI / IHMCL / NPCI</w:t>
            </w:r>
          </w:p>
        </w:tc>
        <w:tc>
          <w:tcPr>
            <w:tcW w:type="dxa" w:w="33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Toll-plaza access and passage data</w:t>
            </w:r>
          </w:p>
        </w:tc>
        <w:tc>
          <w:tcPr>
            <w:tcW w:type="dxa" w:w="38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A value-added safety layer at plazas; shared analytics</w:t>
            </w:r>
          </w:p>
        </w:tc>
      </w:tr>
      <w:tr>
        <w:tc>
          <w:tcPr>
            <w:tcW w:type="dxa" w:w="18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OMCs + MoPNG</w:t>
            </w:r>
          </w:p>
        </w:tc>
        <w:tc>
          <w:tcPr>
            <w:tcW w:type="dxa" w:w="33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Fuel-station access (for the SC “no insurance, no fuel” pilot)</w:t>
            </w:r>
          </w:p>
        </w:tc>
        <w:tc>
          <w:tcPr>
            <w:tcW w:type="dxa" w:w="38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A turnkey pilot implementation partner</w:t>
            </w:r>
          </w:p>
        </w:tc>
      </w:tr>
      <w:tr>
        <w:tc>
          <w:tcPr>
            <w:tcW w:type="dxa" w:w="18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MeitY / NeGD</w:t>
            </w:r>
          </w:p>
        </w:tc>
        <w:tc>
          <w:tcPr>
            <w:tcW w:type="dxa" w:w="33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DigiLocker; DPDP consent frameworks</w:t>
            </w:r>
          </w:p>
        </w:tc>
        <w:tc>
          <w:tcPr>
            <w:tcW w:type="dxa" w:w="38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A flagship compliant public-private data use-case</w:t>
            </w:r>
          </w:p>
        </w:tc>
      </w:tr>
      <w:tr>
        <w:tc>
          <w:tcPr>
            <w:tcW w:type="dxa" w:w="18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Other insurers</w:t>
            </w:r>
          </w:p>
        </w:tc>
        <w:tc>
          <w:tcPr>
            <w:tcW w:type="dxa" w:w="33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Marketplace demand &amp; bids</w:t>
            </w:r>
          </w:p>
        </w:tc>
        <w:tc>
          <w:tcPr>
            <w:tcW w:type="dxa" w:w="38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Fair, consented access to high-intent uninsured owners</w:t>
            </w:r>
          </w:p>
        </w:tc>
      </w:tr>
    </w:tbl>
    <w:p>
      <w:pPr>
        <w:spacing w:after="60"/>
      </w:pPr>
    </w:p>
    <w:p>
      <w:pPr>
        <w:spacing w:after="130" w:line="276"/>
        <w:jc w:val="both"/>
      </w:pPr>
      <w:r>
        <w:rPr>
          <w:b/>
          <w:bCs/>
          <w:color w:val="222222"/>
          <w:sz w:val="21"/>
          <w:szCs w:val="21"/>
        </w:rPr>
        <w:t xml:space="preserve">Sequencing:</w:t>
      </w:r>
      <w:r>
        <w:rPr>
          <w:color w:val="222222"/>
          <w:sz w:val="21"/>
          <w:szCs w:val="21"/>
        </w:rPr>
        <w:t xml:space="preserve"> (1) secure an in-principle data/enforcement pathway with </w:t>
      </w:r>
      <w:r>
        <w:rPr>
          <w:b/>
          <w:bCs/>
          <w:color w:val="222222"/>
          <w:sz w:val="21"/>
          <w:szCs w:val="21"/>
        </w:rPr>
        <w:t xml:space="preserve">MoRTH/NIC and IRDAI/IIB</w:t>
      </w:r>
      <w:r>
        <w:rPr>
          <w:color w:val="222222"/>
          <w:sz w:val="21"/>
          <w:szCs w:val="21"/>
        </w:rPr>
        <w:t xml:space="preserve"> — without it there is no product; (2) sign </w:t>
      </w:r>
      <w:r>
        <w:rPr>
          <w:b/>
          <w:bCs/>
          <w:color w:val="222222"/>
          <w:sz w:val="21"/>
          <w:szCs w:val="21"/>
        </w:rPr>
        <w:t xml:space="preserve">one state government + traffic police</w:t>
      </w:r>
      <w:r>
        <w:rPr>
          <w:color w:val="222222"/>
          <w:sz w:val="21"/>
          <w:szCs w:val="21"/>
        </w:rPr>
        <w:t xml:space="preserve"> as pilot host; (3) add the </w:t>
      </w:r>
      <w:r>
        <w:rPr>
          <w:b/>
          <w:bCs/>
          <w:color w:val="222222"/>
          <w:sz w:val="21"/>
          <w:szCs w:val="21"/>
        </w:rPr>
        <w:t xml:space="preserve">municipal concession</w:t>
      </w:r>
      <w:r>
        <w:rPr>
          <w:color w:val="222222"/>
          <w:sz w:val="21"/>
          <w:szCs w:val="21"/>
        </w:rPr>
        <w:t xml:space="preserve"> for display; (4) bring in </w:t>
      </w:r>
      <w:r>
        <w:rPr>
          <w:b/>
          <w:bCs/>
          <w:color w:val="222222"/>
          <w:sz w:val="21"/>
          <w:szCs w:val="21"/>
        </w:rPr>
        <w:t xml:space="preserve">NHAI/IHMCL</w:t>
      </w:r>
      <w:r>
        <w:rPr>
          <w:color w:val="222222"/>
          <w:sz w:val="21"/>
          <w:szCs w:val="21"/>
        </w:rPr>
        <w:t xml:space="preserve"> and the </w:t>
      </w:r>
      <w:r>
        <w:rPr>
          <w:b/>
          <w:bCs/>
          <w:color w:val="222222"/>
          <w:sz w:val="21"/>
          <w:szCs w:val="21"/>
        </w:rPr>
        <w:t xml:space="preserve">fuel-station pilot</w:t>
      </w:r>
      <w:r>
        <w:rPr>
          <w:color w:val="222222"/>
          <w:sz w:val="21"/>
          <w:szCs w:val="21"/>
        </w:rPr>
        <w:t xml:space="preserve"> at scale; (5) onboard </w:t>
      </w:r>
      <w:r>
        <w:rPr>
          <w:b/>
          <w:bCs/>
          <w:color w:val="222222"/>
          <w:sz w:val="21"/>
          <w:szCs w:val="21"/>
        </w:rPr>
        <w:t xml:space="preserve">other insurers</w:t>
      </w:r>
      <w:r>
        <w:rPr>
          <w:color w:val="222222"/>
          <w:sz w:val="21"/>
          <w:szCs w:val="21"/>
        </w:rPr>
        <w:t xml:space="preserve"> to the marketplace once volume is proven.</w:t>
      </w:r>
    </w:p>
    <w:p>
      <w:r>
        <w:br w:type="page"/>
      </w:r>
    </w:p>
    <w:p>
      <w:pPr>
        <w:pStyle w:val="Heading1"/>
        <w:spacing w:after="140" w:before="320"/>
      </w:pPr>
      <w:r>
        <w:rPr>
          <w:b/>
          <w:bCs/>
          <w:color w:val="1F3864"/>
          <w:sz w:val="30"/>
          <w:szCs w:val="30"/>
        </w:rPr>
        <w:t xml:space="preserve">9. The Commercial Model — An Open, All-Insurer Marketplace</w:t>
      </w:r>
    </w:p>
    <w:p>
      <w:pPr>
        <w:spacing w:after="130" w:line="276"/>
        <w:jc w:val="both"/>
      </w:pPr>
      <w:r>
        <w:rPr>
          <w:color w:val="222222"/>
          <w:sz w:val="21"/>
          <w:szCs w:val="21"/>
        </w:rPr>
        <w:t xml:space="preserve">Per your direction, the offer layer is </w:t>
      </w:r>
      <w:r>
        <w:rPr>
          <w:b/>
          <w:bCs/>
          <w:color w:val="222222"/>
          <w:sz w:val="21"/>
          <w:szCs w:val="21"/>
        </w:rPr>
        <w:t xml:space="preserve">open to all insurers, not Bajaj-exclusive.</w:t>
      </w:r>
      <w:r>
        <w:rPr>
          <w:color w:val="222222"/>
          <w:sz w:val="21"/>
          <w:szCs w:val="21"/>
        </w:rPr>
        <w:t xml:space="preserve"> This is also the stronger strategic choice, for three reasons.</w:t>
      </w:r>
    </w:p>
    <w:p>
      <w:pPr>
        <w:pStyle w:val="Heading2"/>
        <w:spacing w:after="90" w:before="220"/>
      </w:pPr>
      <w:r>
        <w:rPr>
          <w:b/>
          <w:bCs/>
          <w:color w:val="2E5496"/>
          <w:sz w:val="25"/>
          <w:szCs w:val="25"/>
        </w:rPr>
        <w:t xml:space="preserve">9.1 Why open beats exclusive here</w:t>
      </w:r>
    </w:p>
    <w:p>
      <w:pPr>
        <w:pStyle w:val="ListParagraph"/>
        <w:numPr>
          <w:ilvl w:val="0"/>
          <w:numId w:val="2"/>
        </w:numPr>
        <w:spacing w:after="70" w:line="272"/>
        <w:jc w:val="both"/>
      </w:pPr>
      <w:r>
        <w:rPr>
          <w:b/>
          <w:bCs/>
          <w:color w:val="222222"/>
          <w:sz w:val="21"/>
          <w:szCs w:val="21"/>
        </w:rPr>
        <w:t xml:space="preserve">Propriety &amp; access.</w:t>
      </w:r>
      <w:r>
        <w:rPr>
          <w:color w:val="222222"/>
          <w:sz w:val="21"/>
          <w:szCs w:val="21"/>
        </w:rPr>
        <w:t xml:space="preserve"> A government-linked enforcement channel cannot be seen to funnel citizens to one insurer. Neutrality is likely a </w:t>
      </w:r>
      <w:r>
        <w:rPr>
          <w:b/>
          <w:bCs/>
          <w:color w:val="222222"/>
          <w:sz w:val="21"/>
          <w:szCs w:val="21"/>
        </w:rPr>
        <w:t xml:space="preserve">precondition</w:t>
      </w:r>
      <w:r>
        <w:rPr>
          <w:color w:val="222222"/>
          <w:sz w:val="21"/>
          <w:szCs w:val="21"/>
        </w:rPr>
        <w:t xml:space="preserve"> for MoRTH/IRDAI to grant data access at all — so openness is what makes the platform *possible*, not merely fair.</w:t>
      </w:r>
    </w:p>
    <w:p>
      <w:pPr>
        <w:pStyle w:val="ListParagraph"/>
        <w:numPr>
          <w:ilvl w:val="0"/>
          <w:numId w:val="2"/>
        </w:numPr>
        <w:spacing w:after="70" w:line="272"/>
        <w:jc w:val="both"/>
      </w:pPr>
      <w:r>
        <w:rPr>
          <w:b/>
          <w:bCs/>
          <w:color w:val="222222"/>
          <w:sz w:val="21"/>
          <w:szCs w:val="21"/>
        </w:rPr>
        <w:t xml:space="preserve">Bigger prize for Bajaj as owner.</w:t>
      </w:r>
      <w:r>
        <w:rPr>
          <w:color w:val="222222"/>
          <w:sz w:val="21"/>
          <w:szCs w:val="21"/>
        </w:rPr>
        <w:t xml:space="preserve"> Bajaj’s advantage shifts from locking rivals out to </w:t>
      </w:r>
      <w:r>
        <w:rPr>
          <w:b/>
          <w:bCs/>
          <w:color w:val="222222"/>
          <w:sz w:val="21"/>
          <w:szCs w:val="21"/>
        </w:rPr>
        <w:t xml:space="preserve">owning the rails every rival must pay to use.</w:t>
      </w:r>
      <w:r>
        <w:rPr>
          <w:color w:val="222222"/>
          <w:sz w:val="21"/>
          <w:szCs w:val="21"/>
        </w:rPr>
        <w:t xml:space="preserve"> Bajaj earns a take-rate on all insurers’ placements and competes for each impression with its own pricing and data edge — a larger, more defensible pool than exclusivity.</w:t>
      </w:r>
    </w:p>
    <w:p>
      <w:pPr>
        <w:pStyle w:val="ListParagraph"/>
        <w:numPr>
          <w:ilvl w:val="0"/>
          <w:numId w:val="2"/>
        </w:numPr>
        <w:spacing w:after="70" w:line="272"/>
        <w:jc w:val="both"/>
      </w:pPr>
      <w:r>
        <w:rPr>
          <w:b/>
          <w:bCs/>
          <w:color w:val="222222"/>
          <w:sz w:val="21"/>
          <w:szCs w:val="21"/>
        </w:rPr>
        <w:t xml:space="preserve">Better customer outcome.</w:t>
      </w:r>
      <w:r>
        <w:rPr>
          <w:color w:val="222222"/>
          <w:sz w:val="21"/>
          <w:szCs w:val="21"/>
        </w:rPr>
        <w:t xml:space="preserve"> Letting owners compare offers increases trust and conversion, and pre-empts the criticism that the State is steering a captive audience to a single vendor.</w:t>
      </w:r>
    </w:p>
    <w:p>
      <w:pPr>
        <w:pStyle w:val="Heading2"/>
        <w:spacing w:after="90" w:before="220"/>
      </w:pPr>
      <w:r>
        <w:rPr>
          <w:b/>
          <w:bCs/>
          <w:color w:val="2E5496"/>
          <w:sz w:val="25"/>
          <w:szCs w:val="25"/>
        </w:rPr>
        <w:t xml:space="preserve">9.2 Three revenue layers</w:t>
      </w: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2500"/>
        <w:gridCol w:w="4100"/>
        <w:gridCol w:w="2426"/>
      </w:tblGrid>
      <w:tr>
        <w:trPr>
          <w:tblHeader/>
        </w:trPr>
        <w:tc>
          <w:tcPr>
            <w:tcW w:type="dxa" w:w="2500"/>
            <w:shd w:fill="1F3864" w:color="auto" w:val="clear"/>
            <w:tcMar>
              <w:top w:type="dxa" w:w="60"/>
              <w:left w:type="dxa" w:w="90"/>
              <w:bottom w:type="dxa" w:w="60"/>
              <w:right w:type="dxa" w:w="90"/>
            </w:tcMar>
          </w:tcPr>
          <w:p>
            <w:pPr>
              <w:spacing w:after="0" w:line="250"/>
              <w:jc w:val="left"/>
            </w:pPr>
            <w:r>
              <w:rPr>
                <w:b/>
                <w:bCs/>
                <w:color w:val="FFFFFF"/>
                <w:sz w:val="18"/>
                <w:szCs w:val="18"/>
              </w:rPr>
              <w:t xml:space="preserve">Layer</w:t>
            </w:r>
          </w:p>
        </w:tc>
        <w:tc>
          <w:tcPr>
            <w:tcW w:type="dxa" w:w="4100"/>
            <w:shd w:fill="1F3864" w:color="auto" w:val="clear"/>
            <w:tcMar>
              <w:top w:type="dxa" w:w="60"/>
              <w:left w:type="dxa" w:w="90"/>
              <w:bottom w:type="dxa" w:w="60"/>
              <w:right w:type="dxa" w:w="90"/>
            </w:tcMar>
          </w:tcPr>
          <w:p>
            <w:pPr>
              <w:spacing w:after="0" w:line="250"/>
              <w:jc w:val="left"/>
            </w:pPr>
            <w:r>
              <w:rPr>
                <w:b/>
                <w:bCs/>
                <w:color w:val="FFFFFF"/>
                <w:sz w:val="18"/>
                <w:szCs w:val="18"/>
              </w:rPr>
              <w:t xml:space="preserve">What it is</w:t>
            </w:r>
          </w:p>
        </w:tc>
        <w:tc>
          <w:tcPr>
            <w:tcW w:type="dxa" w:w="2426"/>
            <w:shd w:fill="1F3864" w:color="auto" w:val="clear"/>
            <w:tcMar>
              <w:top w:type="dxa" w:w="60"/>
              <w:left w:type="dxa" w:w="90"/>
              <w:bottom w:type="dxa" w:w="60"/>
              <w:right w:type="dxa" w:w="90"/>
            </w:tcMar>
          </w:tcPr>
          <w:p>
            <w:pPr>
              <w:spacing w:after="0" w:line="250"/>
              <w:jc w:val="left"/>
            </w:pPr>
            <w:r>
              <w:rPr>
                <w:b/>
                <w:bCs/>
                <w:color w:val="FFFFFF"/>
                <w:sz w:val="18"/>
                <w:szCs w:val="18"/>
              </w:rPr>
              <w:t xml:space="preserve">Who pays</w:t>
            </w:r>
          </w:p>
        </w:tc>
      </w:tr>
      <w:tr>
        <w:tc>
          <w:tcPr>
            <w:tcW w:type="dxa" w:w="25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1. Enforcement technology (B2G)</w:t>
            </w:r>
          </w:p>
        </w:tc>
        <w:tc>
          <w:tcPr>
            <w:tcW w:type="dxa" w:w="41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Licence &amp; run the ANPR–IIB–VAHAN detection and e-challan pipeline for government</w:t>
            </w:r>
          </w:p>
        </w:tc>
        <w:tc>
          <w:tcPr>
            <w:tcW w:type="dxa" w:w="2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Government (SaaS / per-transaction)</w:t>
            </w:r>
          </w:p>
        </w:tc>
      </w:tr>
      <w:tr>
        <w:tc>
          <w:tcPr>
            <w:tcW w:type="dxa" w:w="25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2. Insurance marketplace</w:t>
            </w:r>
          </w:p>
        </w:tc>
        <w:tc>
          <w:tcPr>
            <w:tcW w:type="dxa" w:w="41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Consented, opt-in owners see competing offers; insurers bid per impression/lead</w:t>
            </w:r>
          </w:p>
        </w:tc>
        <w:tc>
          <w:tcPr>
            <w:tcW w:type="dxa" w:w="24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All participating insurers (incl. Bajaj)</w:t>
            </w:r>
          </w:p>
        </w:tc>
      </w:tr>
      <w:tr>
        <w:tc>
          <w:tcPr>
            <w:tcW w:type="dxa" w:w="25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3. Non-insurance DOOH</w:t>
            </w:r>
          </w:p>
        </w:tc>
        <w:tc>
          <w:tcPr>
            <w:tcW w:type="dxa" w:w="41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Screens at junctions / plazas sell slots to non-competing advertisers</w:t>
            </w:r>
          </w:p>
        </w:tc>
        <w:tc>
          <w:tcPr>
            <w:tcW w:type="dxa" w:w="2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General advertisers (FMCG, auto, retail)</w:t>
            </w:r>
          </w:p>
        </w:tc>
      </w:tr>
    </w:tbl>
    <w:p>
      <w:pPr>
        <w:spacing w:after="60"/>
      </w:pPr>
    </w:p>
    <w:p>
      <w:pPr>
        <w:spacing w:after="130" w:line="276"/>
        <w:jc w:val="both"/>
      </w:pPr>
      <w:r>
        <w:rPr>
          <w:color w:val="222222"/>
          <w:sz w:val="21"/>
          <w:szCs w:val="21"/>
        </w:rPr>
        <w:t xml:space="preserve">Bajaj wins on all three: it collects government technology fees, it takes a cut of every insurer’s marketplace spend, and — because it knows this segment and this moment better than anyone — it converts a disproportionate share of the leads itself. The DOOH layer subsidises the camera infrastructure. </w:t>
      </w:r>
      <w:r>
        <w:rPr>
          <w:b/>
          <w:bCs/>
          <w:color w:val="222222"/>
          <w:sz w:val="21"/>
          <w:szCs w:val="21"/>
        </w:rPr>
        <w:t xml:space="preserve">The wall between the official notice (Layer 1) and any paid content (Layers 2–3) must remain absolute.</w:t>
      </w:r>
    </w:p>
    <w:tbl>
      <w:tblPr>
        <w:tblW w:type="dxa" w:w="9026"/>
        <w:tblBorders>
          <w:top w:val="none"/>
          <w:left w:val="single" w:color="2E5496" w:sz="18"/>
          <w:bottom w:val="none"/>
          <w:right w:val="none"/>
          <w:insideH w:val="none"/>
          <w:insideV w:val="none"/>
        </w:tblBorders>
      </w:tblPr>
      <w:tblGrid>
        <w:gridCol w:w="9026"/>
      </w:tblGrid>
      <w:tr>
        <w:tc>
          <w:tcPr>
            <w:tcW w:type="dxa" w:w="9026"/>
            <w:shd w:fill="DDE3EE" w:color="auto" w:val="clear"/>
            <w:tcMar>
              <w:top w:type="dxa" w:w="120"/>
              <w:left w:type="dxa" w:w="160"/>
              <w:bottom w:type="dxa" w:w="120"/>
              <w:right w:type="dxa" w:w="140"/>
            </w:tcMar>
          </w:tcPr>
          <w:p>
            <w:pPr>
              <w:spacing w:after="60"/>
            </w:pPr>
            <w:r>
              <w:rPr>
                <w:b/>
                <w:bCs/>
                <w:color w:val="1F3864"/>
                <w:sz w:val="20"/>
                <w:szCs w:val="20"/>
              </w:rPr>
              <w:t xml:space="preserve">Recommendation in one line</w:t>
            </w:r>
          </w:p>
          <w:p>
            <w:pPr>
              <w:spacing w:after="0" w:line="264"/>
            </w:pPr>
            <w:r>
              <w:rPr>
                <w:b/>
                <w:bCs/>
                <w:color w:val="222222"/>
                <w:sz w:val="21"/>
                <w:szCs w:val="21"/>
              </w:rPr>
              <w:t xml:space="preserve">Bajaj builds and owns neutral detection-and-marketplace rails: it charges government to run the mandated pipeline, takes a platform fee from every insurer that bids, competes hardest on its own marketplace, and sells non-insurance DOOH on the side — never letting a paid offer contaminate the government notice.</w:t>
            </w:r>
          </w:p>
        </w:tc>
      </w:tr>
    </w:tbl>
    <w:p>
      <w:pPr>
        <w:pStyle w:val="Heading1"/>
        <w:spacing w:after="140" w:before="320"/>
      </w:pPr>
      <w:r>
        <w:rPr>
          <w:b/>
          <w:bCs/>
          <w:color w:val="1F3864"/>
          <w:sz w:val="30"/>
          <w:szCs w:val="30"/>
        </w:rPr>
        <w:t xml:space="preserve">10. Business Case &amp; Economics</w:t>
      </w:r>
    </w:p>
    <w:p>
      <w:pPr>
        <w:pStyle w:val="Heading2"/>
        <w:spacing w:after="90" w:before="220"/>
      </w:pPr>
      <w:r>
        <w:rPr>
          <w:b/>
          <w:bCs/>
          <w:color w:val="2E5496"/>
          <w:sz w:val="25"/>
          <w:szCs w:val="25"/>
        </w:rPr>
        <w:t xml:space="preserve">10.1 Bajaj Allianz as anchor</w:t>
      </w:r>
    </w:p>
    <w:p>
      <w:pPr>
        <w:spacing w:after="130" w:line="276"/>
        <w:jc w:val="both"/>
      </w:pPr>
      <w:r>
        <w:rPr>
          <w:color w:val="222222"/>
          <w:sz w:val="21"/>
          <w:szCs w:val="21"/>
        </w:rPr>
        <w:t xml:space="preserve">Bajaj Allianz is a strong, well-capitalised anchor: the </w:t>
      </w:r>
      <w:r>
        <w:rPr>
          <w:b/>
          <w:bCs/>
          <w:color w:val="222222"/>
          <w:sz w:val="21"/>
          <w:szCs w:val="21"/>
        </w:rPr>
        <w:t xml:space="preserve">second-largest private general insurer</w:t>
      </w:r>
      <w:r>
        <w:rPr>
          <w:color w:val="222222"/>
          <w:sz w:val="21"/>
          <w:szCs w:val="21"/>
        </w:rPr>
        <w:t xml:space="preserve"> (market share ~7.5% in 10M FY25, rising to ~7.6% in 10M FY26), with </w:t>
      </w:r>
      <w:r>
        <w:rPr>
          <w:b/>
          <w:bCs/>
          <w:color w:val="222222"/>
          <w:sz w:val="21"/>
          <w:szCs w:val="21"/>
        </w:rPr>
        <w:t xml:space="preserve">FY25 gross direct premium of ~₹21,417 crore, record profit after tax of ₹1,832 crore (+18%), 16% return on equity, and 3.25x solvency.</w:t>
      </w:r>
      <w:r>
        <w:rPr>
          <w:color w:val="222222"/>
          <w:sz w:val="21"/>
          <w:szCs w:val="21"/>
        </w:rPr>
        <w:t xml:space="preserve"> Motor is </w:t>
      </w:r>
      <w:r>
        <w:rPr>
          <w:b/>
          <w:bCs/>
          <w:color w:val="222222"/>
          <w:sz w:val="21"/>
          <w:szCs w:val="21"/>
        </w:rPr>
        <w:t xml:space="preserve">~30% of its book</w:t>
      </w:r>
      <w:r>
        <w:rPr>
          <w:color w:val="222222"/>
          <w:sz w:val="21"/>
          <w:szCs w:val="21"/>
        </w:rPr>
        <w:t xml:space="preserve"> (motor third-party ~15.5%), implying roughly </w:t>
      </w:r>
      <w:r>
        <w:rPr>
          <w:b/>
          <w:bCs/>
          <w:color w:val="222222"/>
          <w:sz w:val="21"/>
          <w:szCs w:val="21"/>
        </w:rPr>
        <w:t xml:space="preserve">₹6,380 crore</w:t>
      </w:r>
      <w:r>
        <w:rPr>
          <w:color w:val="222222"/>
          <w:sz w:val="21"/>
          <w:szCs w:val="21"/>
        </w:rPr>
        <w:t xml:space="preserve"> of motor premium (derived — not officially disclosed). Following Allianz SE’s exit, the Bajaj group now owns 100% (completed March 2026), giving full strategic control to pursue a venture like this.</w:t>
      </w:r>
    </w:p>
    <w:p>
      <w:pPr>
        <w:pStyle w:val="Heading2"/>
        <w:spacing w:after="90" w:before="220"/>
      </w:pPr>
      <w:r>
        <w:rPr>
          <w:b/>
          <w:bCs/>
          <w:color w:val="2E5496"/>
          <w:sz w:val="25"/>
          <w:szCs w:val="25"/>
        </w:rPr>
        <w:t xml:space="preserve">10.2 Revenue logic</w:t>
      </w:r>
    </w:p>
    <w:p>
      <w:pPr>
        <w:pStyle w:val="ListParagraph"/>
        <w:numPr>
          <w:ilvl w:val="0"/>
          <w:numId w:val="2"/>
        </w:numPr>
        <w:spacing w:after="70" w:line="272"/>
        <w:jc w:val="both"/>
      </w:pPr>
      <w:r>
        <w:rPr>
          <w:b/>
          <w:bCs/>
          <w:color w:val="222222"/>
          <w:sz w:val="21"/>
          <w:szCs w:val="21"/>
        </w:rPr>
        <w:t xml:space="preserve">Primary: new motor policies</w:t>
      </w:r>
      <w:r>
        <w:rPr>
          <w:color w:val="222222"/>
          <w:sz w:val="21"/>
          <w:szCs w:val="21"/>
        </w:rPr>
        <w:t xml:space="preserve"> converted from detected uninsured owners — plus renewals and cross-sell (health, two-wheeler, home). Motor commissions run ~10–15%, with total acquisition cost approaching ~30% in conventional agent-led channels (which drive ~80% of business today).</w:t>
      </w:r>
    </w:p>
    <w:p>
      <w:pPr>
        <w:pStyle w:val="ListParagraph"/>
        <w:numPr>
          <w:ilvl w:val="0"/>
          <w:numId w:val="2"/>
        </w:numPr>
        <w:spacing w:after="70" w:line="272"/>
        <w:jc w:val="both"/>
      </w:pPr>
      <w:r>
        <w:rPr>
          <w:b/>
          <w:bCs/>
          <w:color w:val="222222"/>
          <w:sz w:val="21"/>
          <w:szCs w:val="21"/>
        </w:rPr>
        <w:t xml:space="preserve">Platform: marketplace take-rate</w:t>
      </w:r>
      <w:r>
        <w:rPr>
          <w:color w:val="222222"/>
          <w:sz w:val="21"/>
          <w:szCs w:val="21"/>
        </w:rPr>
        <w:t xml:space="preserve"> on every insurer’s bid, and </w:t>
      </w:r>
      <w:r>
        <w:rPr>
          <w:b/>
          <w:bCs/>
          <w:color w:val="222222"/>
          <w:sz w:val="21"/>
          <w:szCs w:val="21"/>
        </w:rPr>
        <w:t xml:space="preserve">B2G technology fees</w:t>
      </w:r>
      <w:r>
        <w:rPr>
          <w:color w:val="222222"/>
          <w:sz w:val="21"/>
          <w:szCs w:val="21"/>
        </w:rPr>
        <w:t xml:space="preserve"> for running the mandated pipeline.</w:t>
      </w:r>
    </w:p>
    <w:p>
      <w:pPr>
        <w:pStyle w:val="ListParagraph"/>
        <w:numPr>
          <w:ilvl w:val="0"/>
          <w:numId w:val="2"/>
        </w:numPr>
        <w:spacing w:after="70" w:line="272"/>
        <w:jc w:val="both"/>
      </w:pPr>
      <w:r>
        <w:rPr>
          <w:b/>
          <w:bCs/>
          <w:color w:val="222222"/>
          <w:sz w:val="21"/>
          <w:szCs w:val="21"/>
        </w:rPr>
        <w:t xml:space="preserve">Secondary: DOOH advertising</w:t>
      </w:r>
      <w:r>
        <w:rPr>
          <w:color w:val="222222"/>
          <w:sz w:val="21"/>
          <w:szCs w:val="21"/>
        </w:rPr>
        <w:t xml:space="preserve">; </w:t>
      </w:r>
      <w:r>
        <w:rPr>
          <w:b/>
          <w:bCs/>
          <w:color w:val="222222"/>
          <w:sz w:val="21"/>
          <w:szCs w:val="21"/>
        </w:rPr>
        <w:t xml:space="preserve">Strategic:</w:t>
      </w:r>
      <w:r>
        <w:rPr>
          <w:color w:val="222222"/>
          <w:sz w:val="21"/>
          <w:szCs w:val="21"/>
        </w:rPr>
        <w:t xml:space="preserve"> a first-mover, government-sanctioned channel rivals cannot replicate, plus anonymised fleet-risk insight for underwriting.</w:t>
      </w:r>
    </w:p>
    <w:p>
      <w:pPr>
        <w:pStyle w:val="Heading2"/>
        <w:spacing w:after="90" w:before="220"/>
      </w:pPr>
      <w:r>
        <w:rPr>
          <w:b/>
          <w:bCs/>
          <w:color w:val="2E5496"/>
          <w:sz w:val="25"/>
          <w:szCs w:val="25"/>
        </w:rPr>
        <w:t xml:space="preserve">10.3 Illustrative unit economics</w:t>
      </w: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2350"/>
        <w:gridCol w:w="3450"/>
        <w:gridCol w:w="3226"/>
      </w:tblGrid>
      <w:tr>
        <w:trPr>
          <w:tblHeader/>
        </w:trPr>
        <w:tc>
          <w:tcPr>
            <w:tcW w:type="dxa" w:w="2350"/>
            <w:shd w:fill="1F3864" w:color="auto" w:val="clear"/>
            <w:tcMar>
              <w:top w:type="dxa" w:w="60"/>
              <w:left w:type="dxa" w:w="90"/>
              <w:bottom w:type="dxa" w:w="60"/>
              <w:right w:type="dxa" w:w="90"/>
            </w:tcMar>
          </w:tcPr>
          <w:p>
            <w:pPr>
              <w:spacing w:after="0" w:line="250"/>
              <w:jc w:val="left"/>
            </w:pPr>
            <w:r>
              <w:rPr>
                <w:b/>
                <w:bCs/>
                <w:color w:val="FFFFFF"/>
                <w:sz w:val="18"/>
                <w:szCs w:val="18"/>
              </w:rPr>
              <w:t xml:space="preserve">Lever</w:t>
            </w:r>
          </w:p>
        </w:tc>
        <w:tc>
          <w:tcPr>
            <w:tcW w:type="dxa" w:w="3450"/>
            <w:shd w:fill="1F3864" w:color="auto" w:val="clear"/>
            <w:tcMar>
              <w:top w:type="dxa" w:w="60"/>
              <w:left w:type="dxa" w:w="90"/>
              <w:bottom w:type="dxa" w:w="60"/>
              <w:right w:type="dxa" w:w="90"/>
            </w:tcMar>
          </w:tcPr>
          <w:p>
            <w:pPr>
              <w:spacing w:after="0" w:line="250"/>
              <w:jc w:val="left"/>
            </w:pPr>
            <w:r>
              <w:rPr>
                <w:b/>
                <w:bCs/>
                <w:color w:val="FFFFFF"/>
                <w:sz w:val="18"/>
                <w:szCs w:val="18"/>
              </w:rPr>
              <w:t xml:space="preserve">Basis</w:t>
            </w:r>
          </w:p>
        </w:tc>
        <w:tc>
          <w:tcPr>
            <w:tcW w:type="dxa" w:w="3226"/>
            <w:shd w:fill="1F3864" w:color="auto" w:val="clear"/>
            <w:tcMar>
              <w:top w:type="dxa" w:w="60"/>
              <w:left w:type="dxa" w:w="90"/>
              <w:bottom w:type="dxa" w:w="60"/>
              <w:right w:type="dxa" w:w="90"/>
            </w:tcMar>
          </w:tcPr>
          <w:p>
            <w:pPr>
              <w:spacing w:after="0" w:line="250"/>
              <w:jc w:val="left"/>
            </w:pPr>
            <w:r>
              <w:rPr>
                <w:b/>
                <w:bCs/>
                <w:color w:val="FFFFFF"/>
                <w:sz w:val="18"/>
                <w:szCs w:val="18"/>
              </w:rPr>
              <w:t xml:space="preserve">Note</w:t>
            </w:r>
          </w:p>
        </w:tc>
      </w:tr>
      <w:tr>
        <w:tc>
          <w:tcPr>
            <w:tcW w:type="dxa" w:w="23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Detections / month</w:t>
            </w:r>
          </w:p>
        </w:tc>
        <w:tc>
          <w:tcPr>
            <w:tcW w:type="dxa" w:w="34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Junctions × fleet × ~56% uninsured</w:t>
            </w:r>
          </w:p>
        </w:tc>
        <w:tc>
          <w:tcPr>
            <w:tcW w:type="dxa" w:w="32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Large, court-validated funnel top</w:t>
            </w:r>
          </w:p>
        </w:tc>
      </w:tr>
      <w:tr>
        <w:tc>
          <w:tcPr>
            <w:tcW w:type="dxa" w:w="23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Notice → opt-in rate</w:t>
            </w:r>
          </w:p>
        </w:tc>
        <w:tc>
          <w:tcPr>
            <w:tcW w:type="dxa" w:w="34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Higher than cold ads at this moment</w:t>
            </w:r>
          </w:p>
        </w:tc>
        <w:tc>
          <w:tcPr>
            <w:tcW w:type="dxa" w:w="32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Legal jolt + easy path lift intent</w:t>
            </w:r>
          </w:p>
        </w:tc>
      </w:tr>
      <w:tr>
        <w:tc>
          <w:tcPr>
            <w:tcW w:type="dxa" w:w="23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Opt-in → policy conversion</w:t>
            </w:r>
          </w:p>
        </w:tc>
        <w:tc>
          <w:tcPr>
            <w:tcW w:type="dxa" w:w="34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Improved by 2-min pre-filled journey</w:t>
            </w:r>
          </w:p>
        </w:tc>
        <w:tc>
          <w:tcPr>
            <w:tcW w:type="dxa" w:w="32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Plate known = minimal friction</w:t>
            </w:r>
          </w:p>
        </w:tc>
      </w:tr>
      <w:tr>
        <w:tc>
          <w:tcPr>
            <w:tcW w:type="dxa" w:w="23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Effective CAC via ASSURE</w:t>
            </w:r>
          </w:p>
        </w:tc>
        <w:tc>
          <w:tcPr>
            <w:tcW w:type="dxa" w:w="34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Target below blended ~30% acquisition cost</w:t>
            </w:r>
          </w:p>
        </w:tc>
        <w:tc>
          <w:tcPr>
            <w:tcW w:type="dxa" w:w="32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Core thesis: cheaper, higher-intent acquisition</w:t>
            </w:r>
          </w:p>
        </w:tc>
      </w:tr>
      <w:tr>
        <w:tc>
          <w:tcPr>
            <w:tcW w:type="dxa" w:w="23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Infra cost / junction</w:t>
            </w:r>
          </w:p>
        </w:tc>
        <w:tc>
          <w:tcPr>
            <w:tcW w:type="dxa" w:w="34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ANPR + edge + integration (one-time + O&amp;M)</w:t>
            </w:r>
          </w:p>
        </w:tc>
        <w:tc>
          <w:tcPr>
            <w:tcW w:type="dxa" w:w="32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Benchmark independently; Kerala’s ~₹33 lakh/camera is disputed, not a clean market rate</w:t>
            </w:r>
          </w:p>
        </w:tc>
      </w:tr>
    </w:tbl>
    <w:p>
      <w:pPr>
        <w:spacing w:after="60"/>
      </w:pPr>
    </w:p>
    <w:p>
      <w:pPr>
        <w:spacing w:after="130" w:line="276"/>
        <w:jc w:val="both"/>
      </w:pPr>
      <w:r>
        <w:rPr>
          <w:color w:val="222222"/>
          <w:sz w:val="21"/>
          <w:szCs w:val="21"/>
        </w:rPr>
        <w:t xml:space="preserve">The case does not rest on advertising; it rests on </w:t>
      </w:r>
      <w:r>
        <w:rPr>
          <w:b/>
          <w:bCs/>
          <w:color w:val="222222"/>
          <w:sz w:val="21"/>
          <w:szCs w:val="21"/>
        </w:rPr>
        <w:t xml:space="preserve">acquiring hard-to-reach motor customers at the moment of maximum intent, below Bajaj’s blended acquisition cost — while also taxing every competitor who wants the same customers.</w:t>
      </w:r>
      <w:r>
        <w:rPr>
          <w:color w:val="222222"/>
          <w:sz w:val="21"/>
          <w:szCs w:val="21"/>
        </w:rPr>
        <w:t xml:space="preserve"> On a ₹99,093-crore motor market with 16.54 crore-plus uninsured vehicles, even modest capture is material.</w:t>
      </w:r>
    </w:p>
    <w:p>
      <w:pPr>
        <w:pStyle w:val="Heading1"/>
        <w:spacing w:after="140" w:before="320"/>
      </w:pPr>
      <w:r>
        <w:rPr>
          <w:b/>
          <w:bCs/>
          <w:color w:val="1F3864"/>
          <w:sz w:val="30"/>
          <w:szCs w:val="30"/>
        </w:rPr>
        <w:t xml:space="preserve">11. Notification Channels</w:t>
      </w: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2650"/>
        <w:gridCol w:w="3050"/>
        <w:gridCol w:w="3326"/>
      </w:tblGrid>
      <w:tr>
        <w:trPr>
          <w:tblHeader/>
        </w:trPr>
        <w:tc>
          <w:tcPr>
            <w:tcW w:type="dxa" w:w="2650"/>
            <w:shd w:fill="1F3864" w:color="auto" w:val="clear"/>
            <w:tcMar>
              <w:top w:type="dxa" w:w="60"/>
              <w:left w:type="dxa" w:w="90"/>
              <w:bottom w:type="dxa" w:w="60"/>
              <w:right w:type="dxa" w:w="90"/>
            </w:tcMar>
          </w:tcPr>
          <w:p>
            <w:pPr>
              <w:spacing w:after="0" w:line="250"/>
              <w:jc w:val="left"/>
            </w:pPr>
            <w:r>
              <w:rPr>
                <w:b/>
                <w:bCs/>
                <w:color w:val="FFFFFF"/>
                <w:sz w:val="18"/>
                <w:szCs w:val="18"/>
              </w:rPr>
              <w:t xml:space="preserve">Channel</w:t>
            </w:r>
          </w:p>
        </w:tc>
        <w:tc>
          <w:tcPr>
            <w:tcW w:type="dxa" w:w="3050"/>
            <w:shd w:fill="1F3864" w:color="auto" w:val="clear"/>
            <w:tcMar>
              <w:top w:type="dxa" w:w="60"/>
              <w:left w:type="dxa" w:w="90"/>
              <w:bottom w:type="dxa" w:w="60"/>
              <w:right w:type="dxa" w:w="90"/>
            </w:tcMar>
          </w:tcPr>
          <w:p>
            <w:pPr>
              <w:spacing w:after="0" w:line="250"/>
              <w:jc w:val="left"/>
            </w:pPr>
            <w:r>
              <w:rPr>
                <w:b/>
                <w:bCs/>
                <w:color w:val="FFFFFF"/>
                <w:sz w:val="18"/>
                <w:szCs w:val="18"/>
              </w:rPr>
              <w:t xml:space="preserve">Best for</w:t>
            </w:r>
          </w:p>
        </w:tc>
        <w:tc>
          <w:tcPr>
            <w:tcW w:type="dxa" w:w="3326"/>
            <w:shd w:fill="1F3864" w:color="auto" w:val="clear"/>
            <w:tcMar>
              <w:top w:type="dxa" w:w="60"/>
              <w:left w:type="dxa" w:w="90"/>
              <w:bottom w:type="dxa" w:w="60"/>
              <w:right w:type="dxa" w:w="90"/>
            </w:tcMar>
          </w:tcPr>
          <w:p>
            <w:pPr>
              <w:spacing w:after="0" w:line="250"/>
              <w:jc w:val="left"/>
            </w:pPr>
            <w:r>
              <w:rPr>
                <w:b/>
                <w:bCs/>
                <w:color w:val="FFFFFF"/>
                <w:sz w:val="18"/>
                <w:szCs w:val="18"/>
              </w:rPr>
              <w:t xml:space="preserve">Consideration</w:t>
            </w:r>
          </w:p>
        </w:tc>
      </w:tr>
      <w:tr>
        <w:tc>
          <w:tcPr>
            <w:tcW w:type="dxa" w:w="26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Govt SMS / e-challan to registered mobile</w:t>
            </w:r>
          </w:p>
        </w:tc>
        <w:tc>
          <w:tcPr>
            <w:tcW w:type="dxa" w:w="30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The official compliance notice</w:t>
            </w:r>
          </w:p>
        </w:tc>
        <w:tc>
          <w:tcPr>
            <w:tcW w:type="dxa" w:w="33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Sent by the authority; highest legitimacy</w:t>
            </w:r>
          </w:p>
        </w:tc>
      </w:tr>
      <w:tr>
        <w:tc>
          <w:tcPr>
            <w:tcW w:type="dxa" w:w="26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mParivahan / DigiLocker</w:t>
            </w:r>
          </w:p>
        </w:tc>
        <w:tc>
          <w:tcPr>
            <w:tcW w:type="dxa" w:w="30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Notice + storing the new policy</w:t>
            </w:r>
          </w:p>
        </w:tc>
        <w:tc>
          <w:tcPr>
            <w:tcW w:type="dxa" w:w="33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Government-owned, trusted, DPDP-aligned</w:t>
            </w:r>
          </w:p>
        </w:tc>
      </w:tr>
      <w:tr>
        <w:tc>
          <w:tcPr>
            <w:tcW w:type="dxa" w:w="26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Consent-gated marketplace link (SMS/WhatsApp/app)</w:t>
            </w:r>
          </w:p>
        </w:tc>
        <w:tc>
          <w:tcPr>
            <w:tcW w:type="dxa" w:w="30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The opt-in insurer offers</w:t>
            </w:r>
          </w:p>
        </w:tc>
        <w:tc>
          <w:tcPr>
            <w:tcW w:type="dxa" w:w="33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Requires consent; per-insurer branding &amp; disclosure</w:t>
            </w:r>
          </w:p>
        </w:tc>
      </w:tr>
      <w:tr>
        <w:tc>
          <w:tcPr>
            <w:tcW w:type="dxa" w:w="26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DOOH screens at junction / plaza</w:t>
            </w:r>
          </w:p>
        </w:tc>
        <w:tc>
          <w:tcPr>
            <w:tcW w:type="dxa" w:w="30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General awareness + non-insurance ads</w:t>
            </w:r>
          </w:p>
        </w:tc>
        <w:tc>
          <w:tcPr>
            <w:tcW w:type="dxa" w:w="33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No personal data; funds infrastructure</w:t>
            </w:r>
          </w:p>
        </w:tc>
      </w:tr>
    </w:tbl>
    <w:p>
      <w:r>
        <w:br w:type="page"/>
      </w:r>
    </w:p>
    <w:p>
      <w:pPr>
        <w:pStyle w:val="Heading1"/>
        <w:spacing w:after="140" w:before="320"/>
      </w:pPr>
      <w:r>
        <w:rPr>
          <w:b/>
          <w:bCs/>
          <w:color w:val="1F3864"/>
          <w:sz w:val="30"/>
          <w:szCs w:val="30"/>
        </w:rPr>
        <w:t xml:space="preserve">12. The Journey — Phased Roadmap</w:t>
      </w: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1620"/>
        <w:gridCol w:w="1560"/>
        <w:gridCol w:w="3420"/>
        <w:gridCol w:w="2426"/>
      </w:tblGrid>
      <w:tr>
        <w:trPr>
          <w:tblHeader/>
        </w:trPr>
        <w:tc>
          <w:tcPr>
            <w:tcW w:type="dxa" w:w="1620"/>
            <w:shd w:fill="1F3864" w:color="auto" w:val="clear"/>
            <w:tcMar>
              <w:top w:type="dxa" w:w="60"/>
              <w:left w:type="dxa" w:w="90"/>
              <w:bottom w:type="dxa" w:w="60"/>
              <w:right w:type="dxa" w:w="90"/>
            </w:tcMar>
          </w:tcPr>
          <w:p>
            <w:pPr>
              <w:spacing w:after="0" w:line="250"/>
              <w:jc w:val="left"/>
            </w:pPr>
            <w:r>
              <w:rPr>
                <w:b/>
                <w:bCs/>
                <w:color w:val="FFFFFF"/>
                <w:sz w:val="18"/>
                <w:szCs w:val="18"/>
              </w:rPr>
              <w:t xml:space="preserve">Phase</w:t>
            </w:r>
          </w:p>
        </w:tc>
        <w:tc>
          <w:tcPr>
            <w:tcW w:type="dxa" w:w="1560"/>
            <w:shd w:fill="1F3864" w:color="auto" w:val="clear"/>
            <w:tcMar>
              <w:top w:type="dxa" w:w="60"/>
              <w:left w:type="dxa" w:w="90"/>
              <w:bottom w:type="dxa" w:w="60"/>
              <w:right w:type="dxa" w:w="90"/>
            </w:tcMar>
          </w:tcPr>
          <w:p>
            <w:pPr>
              <w:spacing w:after="0" w:line="250"/>
              <w:jc w:val="left"/>
            </w:pPr>
            <w:r>
              <w:rPr>
                <w:b/>
                <w:bCs/>
                <w:color w:val="FFFFFF"/>
                <w:sz w:val="18"/>
                <w:szCs w:val="18"/>
              </w:rPr>
              <w:t xml:space="preserve">Focus</w:t>
            </w:r>
          </w:p>
        </w:tc>
        <w:tc>
          <w:tcPr>
            <w:tcW w:type="dxa" w:w="3420"/>
            <w:shd w:fill="1F3864" w:color="auto" w:val="clear"/>
            <w:tcMar>
              <w:top w:type="dxa" w:w="60"/>
              <w:left w:type="dxa" w:w="90"/>
              <w:bottom w:type="dxa" w:w="60"/>
              <w:right w:type="dxa" w:w="90"/>
            </w:tcMar>
          </w:tcPr>
          <w:p>
            <w:pPr>
              <w:spacing w:after="0" w:line="250"/>
              <w:jc w:val="left"/>
            </w:pPr>
            <w:r>
              <w:rPr>
                <w:b/>
                <w:bCs/>
                <w:color w:val="FFFFFF"/>
                <w:sz w:val="18"/>
                <w:szCs w:val="18"/>
              </w:rPr>
              <w:t xml:space="preserve">Key actions</w:t>
            </w:r>
          </w:p>
        </w:tc>
        <w:tc>
          <w:tcPr>
            <w:tcW w:type="dxa" w:w="2426"/>
            <w:shd w:fill="1F3864" w:color="auto" w:val="clear"/>
            <w:tcMar>
              <w:top w:type="dxa" w:w="60"/>
              <w:left w:type="dxa" w:w="90"/>
              <w:bottom w:type="dxa" w:w="60"/>
              <w:right w:type="dxa" w:w="90"/>
            </w:tcMar>
          </w:tcPr>
          <w:p>
            <w:pPr>
              <w:spacing w:after="0" w:line="250"/>
              <w:jc w:val="left"/>
            </w:pPr>
            <w:r>
              <w:rPr>
                <w:b/>
                <w:bCs/>
                <w:color w:val="FFFFFF"/>
                <w:sz w:val="18"/>
                <w:szCs w:val="18"/>
              </w:rPr>
              <w:t xml:space="preserve">Success gate</w:t>
            </w:r>
          </w:p>
        </w:tc>
      </w:tr>
      <w:tr>
        <w:tc>
          <w:tcPr>
            <w:tcW w:type="dxa" w:w="162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0 — Foundation (0–3 mo)</w:t>
            </w:r>
          </w:p>
        </w:tc>
        <w:tc>
          <w:tcPr>
            <w:tcW w:type="dxa" w:w="156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Legality &amp; permission</w:t>
            </w:r>
          </w:p>
        </w:tc>
        <w:tc>
          <w:tcPr>
            <w:tcW w:type="dxa" w:w="342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External DPDP/IRDAI opinion; in-principle nod from MoRTH/NIC &amp; IIB/IRDAI as enforcement-tech partner; term sheet with one state; track SC compliance affidavits</w:t>
            </w:r>
          </w:p>
        </w:tc>
        <w:tc>
          <w:tcPr>
            <w:tcW w:type="dxa" w:w="2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A viable written data/enforcement pathway</w:t>
            </w:r>
          </w:p>
        </w:tc>
      </w:tr>
      <w:tr>
        <w:tc>
          <w:tcPr>
            <w:tcW w:type="dxa" w:w="162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1 — Pilot (3–9 mo)</w:t>
            </w:r>
          </w:p>
        </w:tc>
        <w:tc>
          <w:tcPr>
            <w:tcW w:type="dxa" w:w="156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Prove it in one city</w:t>
            </w:r>
          </w:p>
        </w:tc>
        <w:tc>
          <w:tcPr>
            <w:tcW w:type="dxa" w:w="342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10–25 junctions; ANPR + IIB/VAHAN + insurer feeds; two-layer notice; measure conversion &amp; complaints</w:t>
            </w:r>
          </w:p>
        </w:tc>
        <w:tc>
          <w:tcPr>
            <w:tcW w:type="dxa" w:w="24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CAC below target; near-zero propriety complaints; low false-positive rate</w:t>
            </w:r>
          </w:p>
        </w:tc>
      </w:tr>
      <w:tr>
        <w:tc>
          <w:tcPr>
            <w:tcW w:type="dxa" w:w="162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2 — Optimise (9–15 mo)</w:t>
            </w:r>
          </w:p>
        </w:tc>
        <w:tc>
          <w:tcPr>
            <w:tcW w:type="dxa" w:w="156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Tune, add marketplace &amp; DOOH</w:t>
            </w:r>
          </w:p>
        </w:tc>
        <w:tc>
          <w:tcPr>
            <w:tcW w:type="dxa" w:w="342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Onboard 2–3 more insurers; launch DOOH; add municipal concessions; refine freshness checks</w:t>
            </w:r>
          </w:p>
        </w:tc>
        <w:tc>
          <w:tcPr>
            <w:tcW w:type="dxa" w:w="2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Positive unit economics per junction</w:t>
            </w:r>
          </w:p>
        </w:tc>
      </w:tr>
      <w:tr>
        <w:tc>
          <w:tcPr>
            <w:tcW w:type="dxa" w:w="162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3 — Scale (15–30 mo)</w:t>
            </w:r>
          </w:p>
        </w:tc>
        <w:tc>
          <w:tcPr>
            <w:tcW w:type="dxa" w:w="156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State-wide + tolls + fuel pilot</w:t>
            </w:r>
          </w:p>
        </w:tc>
        <w:tc>
          <w:tcPr>
            <w:tcW w:type="dxa" w:w="342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Expand junctions; NHAI/IHMCL plazas; “no insurance, no fuel” pilot with OMCs</w:t>
            </w:r>
          </w:p>
        </w:tc>
        <w:tc>
          <w:tcPr>
            <w:tcW w:type="dxa" w:w="24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Repeatable playbook; state-level ROI</w:t>
            </w:r>
          </w:p>
        </w:tc>
      </w:tr>
      <w:tr>
        <w:tc>
          <w:tcPr>
            <w:tcW w:type="dxa" w:w="162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4 — Expand (30 mo+)</w:t>
            </w:r>
          </w:p>
        </w:tc>
        <w:tc>
          <w:tcPr>
            <w:tcW w:type="dxa" w:w="156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Multi-state marketplace</w:t>
            </w:r>
          </w:p>
        </w:tc>
        <w:tc>
          <w:tcPr>
            <w:tcW w:type="dxa" w:w="342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Replicate across states; deepen the all-insurer marketplace</w:t>
            </w:r>
          </w:p>
        </w:tc>
        <w:tc>
          <w:tcPr>
            <w:tcW w:type="dxa" w:w="2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National footprint; durable platform economics</w:t>
            </w:r>
          </w:p>
        </w:tc>
      </w:tr>
    </w:tbl>
    <w:p>
      <w:pPr>
        <w:spacing w:after="60"/>
      </w:pPr>
    </w:p>
    <w:p>
      <w:pPr>
        <w:spacing w:after="130" w:line="276"/>
        <w:jc w:val="both"/>
      </w:pPr>
      <w:r>
        <w:rPr>
          <w:b/>
          <w:bCs/>
          <w:color w:val="222222"/>
          <w:sz w:val="21"/>
          <w:szCs w:val="21"/>
        </w:rPr>
        <w:t xml:space="preserve">Phase 0 is decisive.</w:t>
      </w:r>
      <w:r>
        <w:rPr>
          <w:color w:val="222222"/>
          <w:sz w:val="21"/>
          <w:szCs w:val="21"/>
        </w:rPr>
        <w:t xml:space="preserve"> If a lawful data/enforcement pathway cannot be secured with MoRTH/NIC and IRDAI/IIB, do not deploy cameras. The cheapest, most important work — legality and permission — is done first.</w:t>
      </w:r>
    </w:p>
    <w:p>
      <w:pPr>
        <w:pStyle w:val="Heading1"/>
        <w:spacing w:after="140" w:before="320"/>
      </w:pPr>
      <w:r>
        <w:rPr>
          <w:b/>
          <w:bCs/>
          <w:color w:val="1F3864"/>
          <w:sz w:val="30"/>
          <w:szCs w:val="30"/>
        </w:rPr>
        <w:t xml:space="preserve">13. Risks &amp; Mitigations</w:t>
      </w: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2250"/>
        <w:gridCol w:w="1850"/>
        <w:gridCol w:w="4926"/>
      </w:tblGrid>
      <w:tr>
        <w:trPr>
          <w:tblHeader/>
        </w:trPr>
        <w:tc>
          <w:tcPr>
            <w:tcW w:type="dxa" w:w="2250"/>
            <w:shd w:fill="1F3864" w:color="auto" w:val="clear"/>
            <w:tcMar>
              <w:top w:type="dxa" w:w="60"/>
              <w:left w:type="dxa" w:w="90"/>
              <w:bottom w:type="dxa" w:w="60"/>
              <w:right w:type="dxa" w:w="90"/>
            </w:tcMar>
          </w:tcPr>
          <w:p>
            <w:pPr>
              <w:spacing w:after="0" w:line="250"/>
              <w:jc w:val="left"/>
            </w:pPr>
            <w:r>
              <w:rPr>
                <w:b/>
                <w:bCs/>
                <w:color w:val="FFFFFF"/>
                <w:sz w:val="18"/>
                <w:szCs w:val="18"/>
              </w:rPr>
              <w:t xml:space="preserve">Risk</w:t>
            </w:r>
          </w:p>
        </w:tc>
        <w:tc>
          <w:tcPr>
            <w:tcW w:type="dxa" w:w="1850"/>
            <w:shd w:fill="1F3864" w:color="auto" w:val="clear"/>
            <w:tcMar>
              <w:top w:type="dxa" w:w="60"/>
              <w:left w:type="dxa" w:w="90"/>
              <w:bottom w:type="dxa" w:w="60"/>
              <w:right w:type="dxa" w:w="90"/>
            </w:tcMar>
          </w:tcPr>
          <w:p>
            <w:pPr>
              <w:spacing w:after="0" w:line="250"/>
              <w:jc w:val="left"/>
            </w:pPr>
            <w:r>
              <w:rPr>
                <w:b/>
                <w:bCs/>
                <w:color w:val="FFFFFF"/>
                <w:sz w:val="18"/>
                <w:szCs w:val="18"/>
              </w:rPr>
              <w:t xml:space="preserve">Impact</w:t>
            </w:r>
          </w:p>
        </w:tc>
        <w:tc>
          <w:tcPr>
            <w:tcW w:type="dxa" w:w="4926"/>
            <w:shd w:fill="1F3864" w:color="auto" w:val="clear"/>
            <w:tcMar>
              <w:top w:type="dxa" w:w="60"/>
              <w:left w:type="dxa" w:w="90"/>
              <w:bottom w:type="dxa" w:w="60"/>
              <w:right w:type="dxa" w:w="90"/>
            </w:tcMar>
          </w:tcPr>
          <w:p>
            <w:pPr>
              <w:spacing w:after="0" w:line="250"/>
              <w:jc w:val="left"/>
            </w:pPr>
            <w:r>
              <w:rPr>
                <w:b/>
                <w:bCs/>
                <w:color w:val="FFFFFF"/>
                <w:sz w:val="18"/>
                <w:szCs w:val="18"/>
              </w:rPr>
              <w:t xml:space="preserve">Mitigation</w:t>
            </w:r>
          </w:p>
        </w:tc>
      </w:tr>
      <w:tr>
        <w:tc>
          <w:tcPr>
            <w:tcW w:type="dxa" w:w="22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Court directions slip / change in implementation</w:t>
            </w:r>
          </w:p>
        </w:tc>
        <w:tc>
          <w:tcPr>
            <w:tcW w:type="dxa" w:w="18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Timing &amp; scope risk</w:t>
            </w:r>
          </w:p>
        </w:tc>
        <w:tc>
          <w:tcPr>
            <w:tcW w:type="dxa" w:w="49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Track compliance affidavits and orders; keep the model useful even under partial rollout</w:t>
            </w:r>
          </w:p>
        </w:tc>
      </w:tr>
      <w:tr>
        <w:tc>
          <w:tcPr>
            <w:tcW w:type="dxa" w:w="22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Data access still constrained (Aug 2025 policy)</w:t>
            </w:r>
          </w:p>
        </w:tc>
        <w:tc>
          <w:tcPr>
            <w:tcW w:type="dxa" w:w="18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Fatal if unresolved</w:t>
            </w:r>
          </w:p>
        </w:tc>
        <w:tc>
          <w:tcPr>
            <w:tcW w:type="dxa" w:w="49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Enter as government enforcement-tech partner, not data buyer; consent-based insurer access</w:t>
            </w:r>
          </w:p>
        </w:tc>
      </w:tr>
      <w:tr>
        <w:tc>
          <w:tcPr>
            <w:tcW w:type="dxa" w:w="22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IIB ~2-month data lag → wrong “lapsed” flag</w:t>
            </w:r>
          </w:p>
        </w:tc>
        <w:tc>
          <w:tcPr>
            <w:tcW w:type="dxa" w:w="18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False positives; trust loss</w:t>
            </w:r>
          </w:p>
        </w:tc>
        <w:tc>
          <w:tcPr>
            <w:tcW w:type="dxa" w:w="49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Direct insurer policy feeds; pre-notice re-check; never auto-penalise on IIB alone</w:t>
            </w:r>
          </w:p>
        </w:tc>
      </w:tr>
      <w:tr>
        <w:tc>
          <w:tcPr>
            <w:tcW w:type="dxa" w:w="22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Perceived favouritism to one insurer</w:t>
            </w:r>
          </w:p>
        </w:tc>
        <w:tc>
          <w:tcPr>
            <w:tcW w:type="dxa" w:w="18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Propriety; access denial</w:t>
            </w:r>
          </w:p>
        </w:tc>
        <w:tc>
          <w:tcPr>
            <w:tcW w:type="dxa" w:w="49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Open all-insurer marketplace; absolute wall vs. official notice; audited propriety test</w:t>
            </w:r>
          </w:p>
        </w:tc>
      </w:tr>
      <w:tr>
        <w:tc>
          <w:tcPr>
            <w:tcW w:type="dxa" w:w="22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DPDP / privacy breach</w:t>
            </w:r>
          </w:p>
        </w:tc>
        <w:tc>
          <w:tcPr>
            <w:tcW w:type="dxa" w:w="18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Legal, fines, trust</w:t>
            </w:r>
          </w:p>
        </w:tc>
        <w:tc>
          <w:tcPr>
            <w:tcW w:type="dxa" w:w="49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Data minimisation; govt sends notice; PII only on opt-in; DPIA &amp; legal sign-off</w:t>
            </w:r>
          </w:p>
        </w:tc>
      </w:tr>
      <w:tr>
        <w:tc>
          <w:tcPr>
            <w:tcW w:type="dxa" w:w="22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ANPR misreads</w:t>
            </w:r>
          </w:p>
        </w:tc>
        <w:tc>
          <w:tcPr>
            <w:tcW w:type="dxa" w:w="18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Complaints</w:t>
            </w:r>
          </w:p>
        </w:tc>
        <w:tc>
          <w:tcPr>
            <w:tcW w:type="dxa" w:w="49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High-confidence thresholds; suppress unknowns; easy correction/appeal</w:t>
            </w:r>
          </w:p>
        </w:tc>
      </w:tr>
      <w:tr>
        <w:tc>
          <w:tcPr>
            <w:tcW w:type="dxa" w:w="22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Dependence on govt goodwill</w:t>
            </w:r>
          </w:p>
        </w:tc>
        <w:tc>
          <w:tcPr>
            <w:tcW w:type="dxa" w:w="18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Continuity</w:t>
            </w:r>
          </w:p>
        </w:tc>
        <w:tc>
          <w:tcPr>
            <w:tcW w:type="dxa" w:w="49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Multi-partner MoUs; deliver measurable state value; avoid single points of failure</w:t>
            </w:r>
          </w:p>
        </w:tc>
      </w:tr>
    </w:tbl>
    <w:p>
      <w:pPr>
        <w:pStyle w:val="Heading1"/>
        <w:spacing w:after="140" w:before="320"/>
      </w:pPr>
      <w:r>
        <w:rPr>
          <w:b/>
          <w:bCs/>
          <w:color w:val="1F3864"/>
          <w:sz w:val="30"/>
          <w:szCs w:val="30"/>
        </w:rPr>
        <w:t xml:space="preserve">14. Success Metrics (KPIs)</w:t>
      </w:r>
    </w:p>
    <w:p>
      <w:pPr>
        <w:pStyle w:val="ListParagraph"/>
        <w:numPr>
          <w:ilvl w:val="0"/>
          <w:numId w:val="2"/>
        </w:numPr>
        <w:spacing w:after="70" w:line="272"/>
        <w:jc w:val="both"/>
      </w:pPr>
      <w:r>
        <w:rPr>
          <w:b/>
          <w:bCs/>
          <w:color w:val="222222"/>
          <w:sz w:val="21"/>
          <w:szCs w:val="21"/>
        </w:rPr>
        <w:t xml:space="preserve">Detection quality:</w:t>
      </w:r>
      <w:r>
        <w:rPr>
          <w:color w:val="222222"/>
          <w:sz w:val="21"/>
          <w:szCs w:val="21"/>
        </w:rPr>
        <w:t xml:space="preserve"> ANPR read accuracy; IIB/VAHAN match rate; false-positive rate on “lapsed” flags.</w:t>
      </w:r>
    </w:p>
    <w:p>
      <w:pPr>
        <w:pStyle w:val="ListParagraph"/>
        <w:numPr>
          <w:ilvl w:val="0"/>
          <w:numId w:val="2"/>
        </w:numPr>
        <w:spacing w:after="70" w:line="272"/>
        <w:jc w:val="both"/>
      </w:pPr>
      <w:r>
        <w:rPr>
          <w:b/>
          <w:bCs/>
          <w:color w:val="222222"/>
          <w:sz w:val="21"/>
          <w:szCs w:val="21"/>
        </w:rPr>
        <w:t xml:space="preserve">Reach:</w:t>
      </w:r>
      <w:r>
        <w:rPr>
          <w:color w:val="222222"/>
          <w:sz w:val="21"/>
          <w:szCs w:val="21"/>
        </w:rPr>
        <w:t xml:space="preserve"> verified lapses detected; official notices / e-challans delivered.</w:t>
      </w:r>
    </w:p>
    <w:p>
      <w:pPr>
        <w:pStyle w:val="ListParagraph"/>
        <w:numPr>
          <w:ilvl w:val="0"/>
          <w:numId w:val="2"/>
        </w:numPr>
        <w:spacing w:after="70" w:line="272"/>
        <w:jc w:val="both"/>
      </w:pPr>
      <w:r>
        <w:rPr>
          <w:b/>
          <w:bCs/>
          <w:color w:val="222222"/>
          <w:sz w:val="21"/>
          <w:szCs w:val="21"/>
        </w:rPr>
        <w:t xml:space="preserve">Funnel:</w:t>
      </w:r>
      <w:r>
        <w:rPr>
          <w:color w:val="222222"/>
          <w:sz w:val="21"/>
          <w:szCs w:val="21"/>
        </w:rPr>
        <w:t xml:space="preserve"> notice → opt-in → quote start → policy issued (Bajaj share vs. marketplace total).</w:t>
      </w:r>
    </w:p>
    <w:p>
      <w:pPr>
        <w:pStyle w:val="ListParagraph"/>
        <w:numPr>
          <w:ilvl w:val="0"/>
          <w:numId w:val="2"/>
        </w:numPr>
        <w:spacing w:after="70" w:line="272"/>
        <w:jc w:val="both"/>
      </w:pPr>
      <w:r>
        <w:rPr>
          <w:b/>
          <w:bCs/>
          <w:color w:val="222222"/>
          <w:sz w:val="21"/>
          <w:szCs w:val="21"/>
        </w:rPr>
        <w:t xml:space="preserve">Economics:</w:t>
      </w:r>
      <w:r>
        <w:rPr>
          <w:color w:val="222222"/>
          <w:sz w:val="21"/>
          <w:szCs w:val="21"/>
        </w:rPr>
        <w:t xml:space="preserve"> effective CAC vs. blended acquisition cost; marketplace take-rate revenue; B2G fees; DOOH revenue per site; infra cost per junction.</w:t>
      </w:r>
    </w:p>
    <w:p>
      <w:pPr>
        <w:pStyle w:val="ListParagraph"/>
        <w:numPr>
          <w:ilvl w:val="0"/>
          <w:numId w:val="2"/>
        </w:numPr>
        <w:spacing w:after="70" w:line="272"/>
        <w:jc w:val="both"/>
      </w:pPr>
      <w:r>
        <w:rPr>
          <w:b/>
          <w:bCs/>
          <w:color w:val="222222"/>
          <w:sz w:val="21"/>
          <w:szCs w:val="21"/>
        </w:rPr>
        <w:t xml:space="preserve">Public value:</w:t>
      </w:r>
      <w:r>
        <w:rPr>
          <w:color w:val="222222"/>
          <w:sz w:val="21"/>
          <w:szCs w:val="21"/>
        </w:rPr>
        <w:t xml:space="preserve"> insurance-compliance lift in the pilot zone — the number that keeps government partners engaged.</w:t>
      </w:r>
    </w:p>
    <w:p>
      <w:pPr>
        <w:pStyle w:val="ListParagraph"/>
        <w:numPr>
          <w:ilvl w:val="0"/>
          <w:numId w:val="2"/>
        </w:numPr>
        <w:spacing w:after="70" w:line="272"/>
        <w:jc w:val="both"/>
      </w:pPr>
      <w:r>
        <w:rPr>
          <w:b/>
          <w:bCs/>
          <w:color w:val="222222"/>
          <w:sz w:val="21"/>
          <w:szCs w:val="21"/>
        </w:rPr>
        <w:t xml:space="preserve">Trust:</w:t>
      </w:r>
      <w:r>
        <w:rPr>
          <w:color w:val="222222"/>
          <w:sz w:val="21"/>
          <w:szCs w:val="21"/>
        </w:rPr>
        <w:t xml:space="preserve"> complaint rate; propriety-audit pass rate; opt-out rate. A rising complaint rate overrides growth targets.</w:t>
      </w:r>
    </w:p>
    <w:p>
      <w:pPr>
        <w:pStyle w:val="Heading1"/>
        <w:spacing w:after="140" w:before="320"/>
      </w:pPr>
      <w:r>
        <w:rPr>
          <w:b/>
          <w:bCs/>
          <w:color w:val="1F3864"/>
          <w:sz w:val="30"/>
          <w:szCs w:val="30"/>
        </w:rPr>
        <w:t xml:space="preserve">15. Recommendation</w:t>
      </w:r>
    </w:p>
    <w:p>
      <w:pPr>
        <w:spacing w:after="130" w:line="276"/>
        <w:jc w:val="both"/>
      </w:pPr>
      <w:r>
        <w:rPr>
          <w:color w:val="222222"/>
          <w:sz w:val="21"/>
          <w:szCs w:val="21"/>
        </w:rPr>
        <w:t xml:space="preserve">The Supreme Court has turned a private idea into a public mandate. Bajaj Allianz should move to become the </w:t>
      </w:r>
      <w:r>
        <w:rPr>
          <w:b/>
          <w:bCs/>
          <w:color w:val="222222"/>
          <w:sz w:val="21"/>
          <w:szCs w:val="21"/>
        </w:rPr>
        <w:t xml:space="preserve">technology and marketplace layer</w:t>
      </w:r>
      <w:r>
        <w:rPr>
          <w:color w:val="222222"/>
          <w:sz w:val="21"/>
          <w:szCs w:val="21"/>
        </w:rPr>
        <w:t xml:space="preserve"> for the court-ordered detection of uninsured vehicles — building and owning neutral rails, charging government to run them, taking a fee from every insurer who competes on them, and winning more of those customers than anyone else.</w:t>
      </w:r>
    </w:p>
    <w:p>
      <w:pPr>
        <w:spacing w:after="130" w:line="276"/>
        <w:jc w:val="both"/>
      </w:pPr>
      <w:r>
        <w:rPr>
          <w:color w:val="222222"/>
          <w:sz w:val="21"/>
          <w:szCs w:val="21"/>
        </w:rPr>
        <w:t xml:space="preserve">Do it the honest way: </w:t>
      </w:r>
      <w:r>
        <w:rPr>
          <w:b/>
          <w:bCs/>
          <w:color w:val="222222"/>
          <w:sz w:val="21"/>
          <w:szCs w:val="21"/>
        </w:rPr>
        <w:t xml:space="preserve">government issues the notice; insurers compete openly for the consented offer; the wall between them is absolute.</w:t>
      </w:r>
      <w:r>
        <w:rPr>
          <w:color w:val="222222"/>
          <w:sz w:val="21"/>
          <w:szCs w:val="21"/>
        </w:rPr>
        <w:t xml:space="preserve"> Secure the legal and data pathway first, pilot in one city, then scale to tolls, the fuel-station pilot, and other states. Done this way, Bajaj owns the single most defensible channel to India’s uninsured — and is seen, accurately, as the insurer that helped the country get covered.</w:t>
      </w:r>
    </w:p>
    <w:p>
      <w:pPr>
        <w:spacing w:after="70"/>
      </w:pPr>
    </w:p>
    <w:tbl>
      <w:tblPr>
        <w:tblW w:type="dxa" w:w="9026"/>
        <w:tblBorders>
          <w:top w:val="none"/>
          <w:left w:val="single" w:color="548235" w:sz="18"/>
          <w:bottom w:val="none"/>
          <w:right w:val="none"/>
          <w:insideH w:val="none"/>
          <w:insideV w:val="none"/>
        </w:tblBorders>
      </w:tblPr>
      <w:tblGrid>
        <w:gridCol w:w="9026"/>
      </w:tblGrid>
      <w:tr>
        <w:tc>
          <w:tcPr>
            <w:tcW w:type="dxa" w:w="9026"/>
            <w:shd w:fill="E2EFDA" w:color="auto" w:val="clear"/>
            <w:tcMar>
              <w:top w:type="dxa" w:w="120"/>
              <w:left w:type="dxa" w:w="160"/>
              <w:bottom w:type="dxa" w:w="120"/>
              <w:right w:type="dxa" w:w="140"/>
            </w:tcMar>
          </w:tcPr>
          <w:p>
            <w:pPr>
              <w:spacing w:after="60"/>
            </w:pPr>
            <w:r>
              <w:rPr>
                <w:b/>
                <w:bCs/>
                <w:color w:val="1F3864"/>
                <w:sz w:val="20"/>
                <w:szCs w:val="20"/>
              </w:rPr>
              <w:t xml:space="preserve">Immediate next steps</w:t>
            </w:r>
          </w:p>
          <w:p>
            <w:pPr>
              <w:spacing w:after="50" w:line="264"/>
            </w:pPr>
            <w:r>
              <w:rPr>
                <w:color w:val="222222"/>
                <w:sz w:val="21"/>
                <w:szCs w:val="21"/>
              </w:rPr>
              <w:t xml:space="preserve">1. Track the SC compliance affidavits (due mid-Aug 2026) and the 18 Aug 2026 hearing; map directions to product scope.</w:t>
            </w:r>
          </w:p>
          <w:p>
            <w:pPr>
              <w:spacing w:after="50" w:line="264"/>
            </w:pPr>
            <w:r>
              <w:rPr>
                <w:color w:val="222222"/>
                <w:sz w:val="21"/>
                <w:szCs w:val="21"/>
              </w:rPr>
              <w:t xml:space="preserve">2. Commission an external DPDP (Rules 2025) + IRDAI legal opinion on the two-layer, open-marketplace model.</w:t>
            </w:r>
          </w:p>
          <w:p>
            <w:pPr>
              <w:spacing w:after="50" w:line="264"/>
            </w:pPr>
            <w:r>
              <w:rPr>
                <w:color w:val="222222"/>
                <w:sz w:val="21"/>
                <w:szCs w:val="21"/>
              </w:rPr>
              <w:t xml:space="preserve">3. Approach MoRTH/NIC and IRDAI/IIB as an enforcement-technology partner for a sanctioned pilot.</w:t>
            </w:r>
          </w:p>
          <w:p>
            <w:pPr>
              <w:spacing w:after="0" w:line="264"/>
            </w:pPr>
            <w:r>
              <w:rPr>
                <w:color w:val="222222"/>
                <w:sz w:val="21"/>
                <w:szCs w:val="21"/>
              </w:rPr>
              <w:t xml:space="preserve">4. Identify and sign one progressive state government + traffic police as pilot host.</w:t>
            </w:r>
          </w:p>
        </w:tc>
      </w:tr>
    </w:tbl>
    <w:p>
      <w:r>
        <w:br w:type="page"/>
      </w:r>
    </w:p>
    <w:p>
      <w:pPr>
        <w:pStyle w:val="Heading1"/>
        <w:spacing w:after="140" w:before="320"/>
      </w:pPr>
      <w:r>
        <w:rPr>
          <w:b/>
          <w:bCs/>
          <w:color w:val="1F3864"/>
          <w:sz w:val="30"/>
          <w:szCs w:val="30"/>
        </w:rPr>
        <w:t xml:space="preserve">Appendix A — Key Bodies &amp; Acronyms</w:t>
      </w: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6426"/>
      </w:tblGrid>
      <w:tr>
        <w:trPr>
          <w:tblHeader/>
        </w:trPr>
        <w:tc>
          <w:tcPr>
            <w:tcW w:type="dxa" w:w="2600"/>
            <w:shd w:fill="1F3864" w:color="auto" w:val="clear"/>
            <w:tcMar>
              <w:top w:type="dxa" w:w="60"/>
              <w:left w:type="dxa" w:w="90"/>
              <w:bottom w:type="dxa" w:w="60"/>
              <w:right w:type="dxa" w:w="90"/>
            </w:tcMar>
          </w:tcPr>
          <w:p>
            <w:pPr>
              <w:spacing w:after="0" w:line="250"/>
              <w:jc w:val="left"/>
            </w:pPr>
            <w:r>
              <w:rPr>
                <w:b/>
                <w:bCs/>
                <w:color w:val="FFFFFF"/>
                <w:sz w:val="18"/>
                <w:szCs w:val="18"/>
              </w:rPr>
              <w:t xml:space="preserve">Term</w:t>
            </w:r>
          </w:p>
        </w:tc>
        <w:tc>
          <w:tcPr>
            <w:tcW w:type="dxa" w:w="6426"/>
            <w:shd w:fill="1F3864" w:color="auto" w:val="clear"/>
            <w:tcMar>
              <w:top w:type="dxa" w:w="60"/>
              <w:left w:type="dxa" w:w="90"/>
              <w:bottom w:type="dxa" w:w="60"/>
              <w:right w:type="dxa" w:w="90"/>
            </w:tcMar>
          </w:tcPr>
          <w:p>
            <w:pPr>
              <w:spacing w:after="0" w:line="250"/>
              <w:jc w:val="left"/>
            </w:pPr>
            <w:r>
              <w:rPr>
                <w:b/>
                <w:bCs/>
                <w:color w:val="FFFFFF"/>
                <w:sz w:val="18"/>
                <w:szCs w:val="18"/>
              </w:rPr>
              <w:t xml:space="preserve">Meaning</w:t>
            </w:r>
          </w:p>
        </w:tc>
      </w:tr>
      <w:tr>
        <w:tc>
          <w:tcPr>
            <w:tcW w:type="dxa" w:w="26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MoRTH / NIC</w:t>
            </w:r>
          </w:p>
        </w:tc>
        <w:tc>
          <w:tcPr>
            <w:tcW w:type="dxa" w:w="6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Ministry of Road Transport &amp; Highways; National Informatics Centre (operates VAHAN)</w:t>
            </w:r>
          </w:p>
        </w:tc>
      </w:tr>
      <w:tr>
        <w:tc>
          <w:tcPr>
            <w:tcW w:type="dxa" w:w="26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VAHAN / NTR</w:t>
            </w:r>
          </w:p>
        </w:tc>
        <w:tc>
          <w:tcPr>
            <w:tcW w:type="dxa" w:w="64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National vehicle registration database / National Transport Repository</w:t>
            </w:r>
          </w:p>
        </w:tc>
      </w:tr>
      <w:tr>
        <w:tc>
          <w:tcPr>
            <w:tcW w:type="dxa" w:w="26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IIB</w:t>
            </w:r>
          </w:p>
        </w:tc>
        <w:tc>
          <w:tcPr>
            <w:tcW w:type="dxa" w:w="6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Insurance Information Bureau of India (under IRDAI) — motor &amp; other insurance data</w:t>
            </w:r>
          </w:p>
        </w:tc>
      </w:tr>
      <w:tr>
        <w:tc>
          <w:tcPr>
            <w:tcW w:type="dxa" w:w="26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IRDAI</w:t>
            </w:r>
          </w:p>
        </w:tc>
        <w:tc>
          <w:tcPr>
            <w:tcW w:type="dxa" w:w="64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Insurance Regulatory and Development Authority of India</w:t>
            </w:r>
          </w:p>
        </w:tc>
      </w:tr>
      <w:tr>
        <w:tc>
          <w:tcPr>
            <w:tcW w:type="dxa" w:w="26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DPDP Act 2023 / Rules 2025</w:t>
            </w:r>
          </w:p>
        </w:tc>
        <w:tc>
          <w:tcPr>
            <w:tcW w:type="dxa" w:w="6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Digital Personal Data Protection law; Rules notified 13 Nov 2025</w:t>
            </w:r>
          </w:p>
        </w:tc>
      </w:tr>
      <w:tr>
        <w:tc>
          <w:tcPr>
            <w:tcW w:type="dxa" w:w="26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ANPR</w:t>
            </w:r>
          </w:p>
        </w:tc>
        <w:tc>
          <w:tcPr>
            <w:tcW w:type="dxa" w:w="64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Automatic Number Plate Recognition</w:t>
            </w:r>
          </w:p>
        </w:tc>
      </w:tr>
      <w:tr>
        <w:tc>
          <w:tcPr>
            <w:tcW w:type="dxa" w:w="26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e-DAR / iRAD</w:t>
            </w:r>
          </w:p>
        </w:tc>
        <w:tc>
          <w:tcPr>
            <w:tcW w:type="dxa" w:w="6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Electronic Detailed Accident Report / Integrated Road Accident Database</w:t>
            </w:r>
          </w:p>
        </w:tc>
      </w:tr>
      <w:tr>
        <w:tc>
          <w:tcPr>
            <w:tcW w:type="dxa" w:w="26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NHAI / IHMCL</w:t>
            </w:r>
          </w:p>
        </w:tc>
        <w:tc>
          <w:tcPr>
            <w:tcW w:type="dxa" w:w="64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National Highways Authority; Indian Highways Management Co. (implements FASTag)</w:t>
            </w:r>
          </w:p>
        </w:tc>
      </w:tr>
      <w:tr>
        <w:tc>
          <w:tcPr>
            <w:tcW w:type="dxa" w:w="26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NPCI / NETC</w:t>
            </w:r>
          </w:p>
        </w:tc>
        <w:tc>
          <w:tcPr>
            <w:tcW w:type="dxa" w:w="6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National Payments Corp.; National Electronic Toll Collection (FASTag)</w:t>
            </w:r>
          </w:p>
        </w:tc>
      </w:tr>
      <w:tr>
        <w:tc>
          <w:tcPr>
            <w:tcW w:type="dxa" w:w="26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OMCs / MoPNG</w:t>
            </w:r>
          </w:p>
        </w:tc>
        <w:tc>
          <w:tcPr>
            <w:tcW w:type="dxa" w:w="64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Oil Marketing Companies; Ministry of Petroleum &amp; Natural Gas</w:t>
            </w:r>
          </w:p>
        </w:tc>
      </w:tr>
      <w:tr>
        <w:tc>
          <w:tcPr>
            <w:tcW w:type="dxa" w:w="26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DOOH</w:t>
            </w:r>
          </w:p>
        </w:tc>
        <w:tc>
          <w:tcPr>
            <w:tcW w:type="dxa" w:w="6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Digital Out-Of-Home advertising</w:t>
            </w:r>
          </w:p>
        </w:tc>
      </w:tr>
      <w:tr>
        <w:tc>
          <w:tcPr>
            <w:tcW w:type="dxa" w:w="26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GDPI / GWP</w:t>
            </w:r>
          </w:p>
        </w:tc>
        <w:tc>
          <w:tcPr>
            <w:tcW w:type="dxa" w:w="64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Gross Direct Premium Income / Gross Written Premium</w:t>
            </w:r>
          </w:p>
        </w:tc>
      </w:tr>
    </w:tbl>
    <w:p>
      <w:pPr>
        <w:pStyle w:val="Heading1"/>
        <w:spacing w:after="140" w:before="320"/>
      </w:pPr>
      <w:r>
        <w:rPr>
          <w:b/>
          <w:bCs/>
          <w:color w:val="1F3864"/>
          <w:sz w:val="30"/>
          <w:szCs w:val="30"/>
        </w:rPr>
        <w:t xml:space="preserve">Appendix B — Sources &amp; References</w:t>
      </w:r>
    </w:p>
    <w:p>
      <w:pPr>
        <w:spacing w:after="120" w:line="276"/>
        <w:jc w:val="both"/>
      </w:pPr>
      <w:r>
        <w:rPr>
          <w:color w:val="222222"/>
          <w:sz w:val="21"/>
          <w:szCs w:val="21"/>
        </w:rPr>
        <w:t xml:space="preserve">Key figures and claims verified as of August 2026. Primary regulator/ministry data (IRDAI, MoRTH, IIB, NPCI) is preferred; news and analysis are used for corroboration and recent developments.</w:t>
      </w:r>
    </w:p>
    <w:p>
      <w:pPr>
        <w:spacing w:after="90"/>
      </w:pPr>
      <w:r>
        <w:rPr>
          <w:b/>
          <w:bCs/>
          <w:color w:val="2E5496"/>
          <w:sz w:val="20"/>
          <w:szCs w:val="20"/>
        </w:rPr>
        <w:t xml:space="preserve">Supreme Court judgment &amp; enforcement mandate</w:t>
      </w:r>
    </w:p>
    <w:p>
      <w:pPr>
        <w:spacing w:after="60" w:line="250"/>
      </w:pPr>
      <w:r>
        <w:rPr>
          <w:color w:val="222222"/>
          <w:sz w:val="17"/>
          <w:szCs w:val="17"/>
        </w:rPr>
        <w:t xml:space="preserve">National Insurance Co. Ltd. v. Thungala Dhana Laxmi (2026 INSC 793), 4 Aug 2026 — Verdictum — </w:t>
      </w:r>
      <w:hyperlink w:history="1" r:id="rIdd5vshpvagkwjw-vdotweg">
        <w:r>
          <w:rPr>
            <w:color w:val="1155CC"/>
            <w:sz w:val="16"/>
            <w:szCs w:val="16"/>
            <w:u w:val="single"/>
          </w:rPr>
          <w:t xml:space="preserve">https://www.verdictum.in/supreme-court/national-insurance-co-ltd-v-thungala-dhana-laxmi-citation-2026-insc-793-four-layer-policy-structure-motor-insurance-enforcement-1619216</w:t>
        </w:r>
      </w:hyperlink>
    </w:p>
    <w:p>
      <w:pPr>
        <w:spacing w:after="60" w:line="250"/>
      </w:pPr>
      <w:r>
        <w:rPr>
          <w:color w:val="222222"/>
          <w:sz w:val="17"/>
          <w:szCs w:val="17"/>
        </w:rPr>
        <w:t xml:space="preserve">SC orders ANPR-based e-challans for uninsured vehicles — JurisHour — </w:t>
      </w:r>
      <w:hyperlink w:history="1" r:id="rIdnmsroe0bvcwv1a2qtsitv">
        <w:r>
          <w:rPr>
            <w:color w:val="1155CC"/>
            <w:sz w:val="16"/>
            <w:szCs w:val="16"/>
            <w:u w:val="single"/>
          </w:rPr>
          <w:t xml:space="preserve">https://www.jurishour.in/supreme-court/anpr-based-e-challans-uninsured-vehicles/</w:t>
        </w:r>
      </w:hyperlink>
    </w:p>
    <w:p>
      <w:pPr>
        <w:spacing w:after="60" w:line="250"/>
      </w:pPr>
      <w:r>
        <w:rPr>
          <w:color w:val="222222"/>
          <w:sz w:val="17"/>
          <w:szCs w:val="17"/>
        </w:rPr>
        <w:t xml:space="preserve">“No insurance, no fuel” pilot; 56% uninsured — Indiablooms / Swarajya — </w:t>
      </w:r>
      <w:hyperlink w:history="1" r:id="rIdyeboor1yujwajp1ho6j6s">
        <w:r>
          <w:rPr>
            <w:color w:val="1155CC"/>
            <w:sz w:val="16"/>
            <w:szCs w:val="16"/>
            <w:u w:val="single"/>
          </w:rPr>
          <w:t xml:space="preserve">https://www.indiablooms.com/news/no-insurance-no-fuel-supreme-court-pushes-pilot-plan-after-finding-56-of-vehicles-uninsured/details</w:t>
        </w:r>
      </w:hyperlink>
    </w:p>
    <w:p>
      <w:pPr>
        <w:spacing w:after="90" w:before="100"/>
      </w:pPr>
      <w:r>
        <w:rPr>
          <w:b/>
          <w:bCs/>
          <w:color w:val="2E5496"/>
          <w:sz w:val="20"/>
          <w:szCs w:val="20"/>
        </w:rPr>
        <w:t xml:space="preserve">Uninsured vehicles &amp; road-accident data</w:t>
      </w:r>
    </w:p>
    <w:p>
      <w:pPr>
        <w:spacing w:after="60" w:line="250"/>
      </w:pPr>
      <w:r>
        <w:rPr>
          <w:color w:val="222222"/>
          <w:sz w:val="17"/>
          <w:szCs w:val="17"/>
        </w:rPr>
        <w:t xml:space="preserve">MoS Finance: &gt;50% of vehicles uninsured (16.54 cr / 30.48 cr) — Business Today — </w:t>
      </w:r>
      <w:hyperlink w:history="1" r:id="rIdox2mf1i8brgpu2yu3wva2">
        <w:r>
          <w:rPr>
            <w:color w:val="1155CC"/>
            <w:sz w:val="16"/>
            <w:szCs w:val="16"/>
            <w:u w:val="single"/>
          </w:rPr>
          <w:t xml:space="preserve">https://www.businesstoday.in/personal-finance/news/story/more-than-50-of-vehicles-plying-on-indian-roads-are-uninsured-says-mos-finance-374166-2023-03-20</w:t>
        </w:r>
      </w:hyperlink>
    </w:p>
    <w:p>
      <w:pPr>
        <w:spacing w:after="60" w:line="250"/>
      </w:pPr>
      <w:r>
        <w:rPr>
          <w:color w:val="222222"/>
          <w:sz w:val="17"/>
          <w:szCs w:val="17"/>
        </w:rPr>
        <w:t xml:space="preserve">Two-wheeler uninsured rate — ICICI Lombard / Coverfox — </w:t>
      </w:r>
      <w:hyperlink w:history="1" r:id="rIdrbgcmhseyo_iggo60gzk6">
        <w:r>
          <w:rPr>
            <w:color w:val="1155CC"/>
            <w:sz w:val="16"/>
            <w:szCs w:val="16"/>
            <w:u w:val="single"/>
          </w:rPr>
          <w:t xml:space="preserve">https://www.icicilombard.com/motor-insurance/two-wheeler-insurance/blogs/75-two-wheelers-in-india-are-uninsured.-is-yours-one-of-them</w:t>
        </w:r>
      </w:hyperlink>
    </w:p>
    <w:p>
      <w:pPr>
        <w:spacing w:after="90" w:before="100"/>
      </w:pPr>
      <w:r>
        <w:rPr>
          <w:b/>
          <w:bCs/>
          <w:color w:val="2E5496"/>
          <w:sz w:val="20"/>
          <w:szCs w:val="20"/>
        </w:rPr>
        <w:t xml:space="preserve">VAHAN / MoRTH data-sharing policy (Aug 2025) &amp; DPDP Rules 2025</w:t>
      </w:r>
    </w:p>
    <w:p>
      <w:pPr>
        <w:spacing w:after="60" w:line="250"/>
      </w:pPr>
      <w:r>
        <w:rPr>
          <w:color w:val="222222"/>
          <w:sz w:val="17"/>
          <w:szCs w:val="17"/>
        </w:rPr>
        <w:t xml:space="preserve">MoRTH 2025 Data Sharing Policy — who gets access — MediaNama — </w:t>
      </w:r>
      <w:hyperlink w:history="1" r:id="rIdilfz_pmw5_i1ra7cr-mvp">
        <w:r>
          <w:rPr>
            <w:color w:val="1155CC"/>
            <w:sz w:val="16"/>
            <w:szCs w:val="16"/>
            <w:u w:val="single"/>
          </w:rPr>
          <w:t xml:space="preserve">https://www.medianama.com/2025/08/223-morths-data-sharing-policy-access-personal-information/</w:t>
        </w:r>
      </w:hyperlink>
    </w:p>
    <w:p>
      <w:pPr>
        <w:spacing w:after="60" w:line="250"/>
      </w:pPr>
      <w:r>
        <w:rPr>
          <w:color w:val="222222"/>
          <w:sz w:val="17"/>
          <w:szCs w:val="17"/>
        </w:rPr>
        <w:t xml:space="preserve">DPDP implementation tracker 2026 — CADP — </w:t>
      </w:r>
      <w:hyperlink w:history="1" r:id="rIdxi9howlkaekmwwe7cwdo_">
        <w:r>
          <w:rPr>
            <w:color w:val="1155CC"/>
            <w:sz w:val="16"/>
            <w:szCs w:val="16"/>
            <w:u w:val="single"/>
          </w:rPr>
          <w:t xml:space="preserve">https://cadp.in/resources/guides/dpdp-implementation-tracker/</w:t>
        </w:r>
      </w:hyperlink>
    </w:p>
    <w:p>
      <w:pPr>
        <w:spacing w:after="90" w:before="100"/>
      </w:pPr>
      <w:r>
        <w:rPr>
          <w:b/>
          <w:bCs/>
          <w:color w:val="2E5496"/>
          <w:sz w:val="20"/>
          <w:szCs w:val="20"/>
        </w:rPr>
        <w:t xml:space="preserve">IIB &amp; insurance market</w:t>
      </w:r>
    </w:p>
    <w:p>
      <w:pPr>
        <w:spacing w:after="60" w:line="250"/>
      </w:pPr>
      <w:r>
        <w:rPr>
          <w:color w:val="222222"/>
          <w:sz w:val="17"/>
          <w:szCs w:val="17"/>
        </w:rPr>
        <w:t xml:space="preserve">About IIB / motor data mandate — IIB (IRDAI) — </w:t>
      </w:r>
      <w:hyperlink w:history="1" r:id="rIducsqk3exi3avtlipsingj">
        <w:r>
          <w:rPr>
            <w:color w:val="1155CC"/>
            <w:sz w:val="16"/>
            <w:szCs w:val="16"/>
            <w:u w:val="single"/>
          </w:rPr>
          <w:t xml:space="preserve">https://motoranalytics.iib.gov.in/cms/about_iib</w:t>
        </w:r>
      </w:hyperlink>
    </w:p>
    <w:p>
      <w:pPr>
        <w:spacing w:after="60" w:line="250"/>
      </w:pPr>
      <w:r>
        <w:rPr>
          <w:color w:val="222222"/>
          <w:sz w:val="17"/>
          <w:szCs w:val="17"/>
        </w:rPr>
        <w:t xml:space="preserve">Insurance industry size &amp; motor premium FY25 — IBEF — </w:t>
      </w:r>
      <w:hyperlink w:history="1" r:id="rIdlvhnlmfl_oz3afd5dcqkh">
        <w:r>
          <w:rPr>
            <w:color w:val="1155CC"/>
            <w:sz w:val="16"/>
            <w:szCs w:val="16"/>
            <w:u w:val="single"/>
          </w:rPr>
          <w:t xml:space="preserve">https://www.ibef.org/industry/insurance-sector-india</w:t>
        </w:r>
      </w:hyperlink>
    </w:p>
    <w:p>
      <w:pPr>
        <w:spacing w:after="60" w:line="250"/>
      </w:pPr>
      <w:r>
        <w:rPr>
          <w:color w:val="222222"/>
          <w:sz w:val="17"/>
          <w:szCs w:val="17"/>
        </w:rPr>
        <w:t xml:space="preserve">India motor insurance market — Mordor Intelligence — </w:t>
      </w:r>
      <w:hyperlink w:history="1" r:id="rIdqimeizglh_wb20-cyllnh">
        <w:r>
          <w:rPr>
            <w:color w:val="1155CC"/>
            <w:sz w:val="16"/>
            <w:szCs w:val="16"/>
            <w:u w:val="single"/>
          </w:rPr>
          <w:t xml:space="preserve">https://www.mordorintelligence.com/industry-reports/india-motor-insurance-market</w:t>
        </w:r>
      </w:hyperlink>
    </w:p>
    <w:p>
      <w:pPr>
        <w:spacing w:after="90" w:before="100"/>
      </w:pPr>
      <w:r>
        <w:rPr>
          <w:b/>
          <w:bCs/>
          <w:color w:val="2E5496"/>
          <w:sz w:val="20"/>
          <w:szCs w:val="20"/>
        </w:rPr>
        <w:t xml:space="preserve">Bajaj Allianz financials &amp; ownership</w:t>
      </w:r>
    </w:p>
    <w:p>
      <w:pPr>
        <w:spacing w:after="60" w:line="250"/>
      </w:pPr>
      <w:r>
        <w:rPr>
          <w:color w:val="222222"/>
          <w:sz w:val="17"/>
          <w:szCs w:val="17"/>
        </w:rPr>
        <w:t xml:space="preserve">Bajaj Finserv Annual Report FY25 — Chairman’s letter — </w:t>
      </w:r>
      <w:hyperlink w:history="1" r:id="rIdn7nno7pslqwomjodpur9c">
        <w:r>
          <w:rPr>
            <w:color w:val="1155CC"/>
            <w:sz w:val="16"/>
            <w:szCs w:val="16"/>
            <w:u w:val="single"/>
          </w:rPr>
          <w:t xml:space="preserve">https://www.bajajfinserv.in/finserv-digital-annual-report-fy25/chairmans-letter.html</w:t>
        </w:r>
      </w:hyperlink>
    </w:p>
    <w:p>
      <w:pPr>
        <w:spacing w:after="60" w:line="250"/>
      </w:pPr>
      <w:r>
        <w:rPr>
          <w:color w:val="222222"/>
          <w:sz w:val="17"/>
          <w:szCs w:val="17"/>
        </w:rPr>
        <w:t xml:space="preserve">Bajaj General Insurance rating (market share, financials) — ICRA — </w:t>
      </w:r>
      <w:hyperlink w:history="1" r:id="rId2lrxzzsncdtara9nv7ftt">
        <w:r>
          <w:rPr>
            <w:color w:val="1155CC"/>
            <w:sz w:val="16"/>
            <w:szCs w:val="16"/>
            <w:u w:val="single"/>
          </w:rPr>
          <w:t xml:space="preserve">https://www.icra.in/Rating/GetRationalReportFilePdf?id=142178</w:t>
        </w:r>
      </w:hyperlink>
    </w:p>
    <w:p>
      <w:pPr>
        <w:spacing w:after="90" w:before="100"/>
      </w:pPr>
      <w:r>
        <w:rPr>
          <w:b/>
          <w:bCs/>
          <w:color w:val="2E5496"/>
          <w:sz w:val="20"/>
          <w:szCs w:val="20"/>
        </w:rPr>
        <w:t xml:space="preserve">ANPR / e-challan / FASTag</w:t>
      </w:r>
    </w:p>
    <w:p>
      <w:pPr>
        <w:spacing w:after="60" w:line="250"/>
      </w:pPr>
      <w:r>
        <w:rPr>
          <w:color w:val="222222"/>
          <w:sz w:val="17"/>
          <w:szCs w:val="17"/>
        </w:rPr>
        <w:t xml:space="preserve">Kerala AI camera cost &amp; results — Onmanorama / Policy Circle — </w:t>
      </w:r>
      <w:hyperlink w:history="1" r:id="rIdwzuwdsuddkdhs9wjscfmk">
        <w:r>
          <w:rPr>
            <w:color w:val="1155CC"/>
            <w:sz w:val="16"/>
            <w:szCs w:val="16"/>
            <w:u w:val="single"/>
          </w:rPr>
          <w:t xml:space="preserve">https://www.onmanorama.com/news/kerala/2023/05/05/ai-cameras-glaring-mismatch-price-quoted-keltron-market-rate-kerala.html</w:t>
        </w:r>
      </w:hyperlink>
    </w:p>
    <w:p>
      <w:pPr>
        <w:spacing w:after="60" w:line="250"/>
      </w:pPr>
      <w:r>
        <w:rPr>
          <w:color w:val="222222"/>
          <w:sz w:val="17"/>
          <w:szCs w:val="17"/>
        </w:rPr>
        <w:t xml:space="preserve">FASTag toll collections (FY24 / Q1 FY26) — Deccan Herald / NPCI — </w:t>
      </w:r>
      <w:hyperlink w:history="1" r:id="rIdlpybccfbt-nfnp5xszpt1">
        <w:r>
          <w:rPr>
            <w:color w:val="1155CC"/>
            <w:sz w:val="16"/>
            <w:szCs w:val="16"/>
            <w:u w:val="single"/>
          </w:rPr>
          <w:t xml:space="preserve">https://www.deccanherald.com/amp/story/india%2Ftoll-collections-via-fastags-jump-196-to-rs-20682-cr-in-q1-fy26-netc-data-3620535</w:t>
        </w:r>
      </w:hyperlink>
    </w:p>
    <w:p>
      <w:pPr>
        <w:spacing w:after="40"/>
      </w:pPr>
    </w:p>
    <w:p>
      <w:pPr>
        <w:spacing w:after="0" w:line="276"/>
        <w:jc w:val="both"/>
      </w:pPr>
      <w:r>
        <w:rPr>
          <w:color w:val="222222"/>
          <w:sz w:val="21"/>
          <w:szCs w:val="21"/>
        </w:rPr>
        <w:t xml:space="preserve">Note on variance: uninsured-rate estimates range 54–75% across sources; the 56% figure excludes three states. Private market-research sizings differ by definition (GWP vs GDPI, FY vs CY); IRDAI/IBEF/ICRA figures are used where possible. ANPR per-camera cost (Kerala) is politically disputed and not a clean benchmark. Verify Bajaj’s motor-premium rupee figure (derived) and the status of SC directions before external use.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r>
      <w:rPr>
        <w:color w:val="999999"/>
        <w:sz w:val="15"/>
        <w:szCs w:val="15"/>
      </w:rPr>
      <w:t xml:space="preserve"> of </w:t>
    </w:r>
    <w:r>
      <w:rPr>
        <w:color w:val="9999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E" w:sz="4" w:space="6"/>
      </w:pBdr>
      <w:jc w:val="right"/>
    </w:pPr>
    <w:r>
      <w:rPr>
        <w:color w:val="999999"/>
        <w:sz w:val="15"/>
        <w:szCs w:val="15"/>
      </w:rPr>
      <w:t xml:space="preserve">Project ASSURE  •  Bajaj Allianz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55A11"/>
      </w:r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5vshpvagkwjw-vdotweg" Type="http://schemas.openxmlformats.org/officeDocument/2006/relationships/hyperlink" Target="https://www.verdictum.in/supreme-court/national-insurance-co-ltd-v-thungala-dhana-laxmi-citation-2026-insc-793-four-layer-policy-structure-motor-insurance-enforcement-1619216" TargetMode="External"/><Relationship Id="rIdnmsroe0bvcwv1a2qtsitv" Type="http://schemas.openxmlformats.org/officeDocument/2006/relationships/hyperlink" Target="https://www.jurishour.in/supreme-court/anpr-based-e-challans-uninsured-vehicles/" TargetMode="External"/><Relationship Id="rIdyeboor1yujwajp1ho6j6s" Type="http://schemas.openxmlformats.org/officeDocument/2006/relationships/hyperlink" Target="https://www.indiablooms.com/news/no-insurance-no-fuel-supreme-court-pushes-pilot-plan-after-finding-56-of-vehicles-uninsured/details" TargetMode="External"/><Relationship Id="rIdox2mf1i8brgpu2yu3wva2" Type="http://schemas.openxmlformats.org/officeDocument/2006/relationships/hyperlink" Target="https://www.businesstoday.in/personal-finance/news/story/more-than-50-of-vehicles-plying-on-indian-roads-are-uninsured-says-mos-finance-374166-2023-03-20" TargetMode="External"/><Relationship Id="rIdrbgcmhseyo_iggo60gzk6" Type="http://schemas.openxmlformats.org/officeDocument/2006/relationships/hyperlink" Target="https://www.icicilombard.com/motor-insurance/two-wheeler-insurance/blogs/75-two-wheelers-in-india-are-uninsured.-is-yours-one-of-them" TargetMode="External"/><Relationship Id="rIdilfz_pmw5_i1ra7cr-mvp" Type="http://schemas.openxmlformats.org/officeDocument/2006/relationships/hyperlink" Target="https://www.medianama.com/2025/08/223-morths-data-sharing-policy-access-personal-information/" TargetMode="External"/><Relationship Id="rIdxi9howlkaekmwwe7cwdo_" Type="http://schemas.openxmlformats.org/officeDocument/2006/relationships/hyperlink" Target="https://cadp.in/resources/guides/dpdp-implementation-tracker/" TargetMode="External"/><Relationship Id="rIducsqk3exi3avtlipsingj" Type="http://schemas.openxmlformats.org/officeDocument/2006/relationships/hyperlink" Target="https://motoranalytics.iib.gov.in/cms/about_iib" TargetMode="External"/><Relationship Id="rIdlvhnlmfl_oz3afd5dcqkh" Type="http://schemas.openxmlformats.org/officeDocument/2006/relationships/hyperlink" Target="https://www.ibef.org/industry/insurance-sector-india" TargetMode="External"/><Relationship Id="rIdqimeizglh_wb20-cyllnh" Type="http://schemas.openxmlformats.org/officeDocument/2006/relationships/hyperlink" Target="https://www.mordorintelligence.com/industry-reports/india-motor-insurance-market" TargetMode="External"/><Relationship Id="rIdn7nno7pslqwomjodpur9c" Type="http://schemas.openxmlformats.org/officeDocument/2006/relationships/hyperlink" Target="https://www.bajajfinserv.in/finserv-digital-annual-report-fy25/chairmans-letter.html" TargetMode="External"/><Relationship Id="rId2lrxzzsncdtara9nv7ftt" Type="http://schemas.openxmlformats.org/officeDocument/2006/relationships/hyperlink" Target="https://www.icra.in/Rating/GetRationalReportFilePdf?id=142178" TargetMode="External"/><Relationship Id="rIdwzuwdsuddkdhs9wjscfmk" Type="http://schemas.openxmlformats.org/officeDocument/2006/relationships/hyperlink" Target="https://www.onmanorama.com/news/kerala/2023/05/05/ai-cameras-glaring-mismatch-price-quoted-keltron-market-rate-kerala.html" TargetMode="External"/><Relationship Id="rIdlpybccfbt-nfnp5xszpt1" Type="http://schemas.openxmlformats.org/officeDocument/2006/relationships/hyperlink" Target="https://www.deccanherald.com/amp/story/india%2Ftoll-collections-via-fastags-jump-196-to-rs-20682-cr-in-q1-fy26-netc-data-3620535"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ASSURE — Proposal (verified)</dc:title>
  <dc:creator>Bajaj Allianz — Strategy &amp; New Ventures</dc:creator>
  <dc:description>AI-assisted detection of uninsured vehicles — Aug 2026 verified</dc:description>
  <cp:lastModifiedBy>Un-named</cp:lastModifiedBy>
  <cp:revision>1</cp:revision>
  <dcterms:created xsi:type="dcterms:W3CDTF">2026-08-24T17:25:22.253Z</dcterms:created>
  <dcterms:modified xsi:type="dcterms:W3CDTF">2026-08-24T17:25:22.253Z</dcterms:modified>
</cp:coreProperties>
</file>

<file path=docProps/custom.xml><?xml version="1.0" encoding="utf-8"?>
<Properties xmlns="http://schemas.openxmlformats.org/officeDocument/2006/custom-properties" xmlns:vt="http://schemas.openxmlformats.org/officeDocument/2006/docPropsVTypes"/>
</file>