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19C2" w:rsidRDefault="002A19C2">
      <w:pPr>
        <w:spacing w:after="240"/>
        <w:jc w:val="center"/>
        <w:rPr>
          <w:i/>
          <w:iCs/>
        </w:rPr>
      </w:pPr>
    </w:p>
    <w:p w:rsidR="002A19C2" w:rsidRDefault="002A19C2" w:rsidP="002A19C2">
      <w:pPr>
        <w:tabs>
          <w:tab w:val="left" w:pos="1194"/>
        </w:tabs>
        <w:spacing w:after="240"/>
        <w:rPr>
          <w:i/>
          <w:iCs/>
        </w:rPr>
      </w:pPr>
      <w:r>
        <w:rPr>
          <w:i/>
          <w:iCs/>
        </w:rPr>
        <w:tab/>
      </w:r>
    </w:p>
    <w:p w:rsidR="002A19C2" w:rsidRPr="008E0107" w:rsidRDefault="002A19C2" w:rsidP="008E0107">
      <w:pPr>
        <w:spacing w:after="240"/>
        <w:jc w:val="center"/>
        <w:rPr>
          <w:b/>
          <w:bCs/>
          <w:i/>
          <w:iCs/>
        </w:rPr>
      </w:pPr>
    </w:p>
    <w:p w:rsidR="00F0726C" w:rsidRDefault="00F0726C" w:rsidP="008E0107">
      <w:pPr>
        <w:pStyle w:val="ListParagraph"/>
        <w:jc w:val="center"/>
        <w:rPr>
          <w:b/>
          <w:bCs/>
        </w:rPr>
      </w:pPr>
      <w:r w:rsidRPr="00F0726C">
        <w:rPr>
          <w:b/>
          <w:bCs/>
          <w:color w:val="1F3864"/>
          <w:sz w:val="30"/>
          <w:szCs w:val="30"/>
        </w:rPr>
        <w:t>Title:</w:t>
      </w:r>
      <w:r>
        <w:rPr>
          <w:b/>
          <w:bCs/>
        </w:rPr>
        <w:t xml:space="preserve"> </w:t>
      </w:r>
    </w:p>
    <w:p w:rsidR="00F0726C" w:rsidRDefault="00F0726C" w:rsidP="008E0107">
      <w:pPr>
        <w:pStyle w:val="ListParagraph"/>
        <w:jc w:val="center"/>
        <w:rPr>
          <w:b/>
          <w:bCs/>
        </w:rPr>
      </w:pPr>
    </w:p>
    <w:p w:rsidR="006A70C2" w:rsidRPr="00F0726C" w:rsidRDefault="008E0107" w:rsidP="00F0726C">
      <w:pPr>
        <w:pStyle w:val="ListParagraph"/>
      </w:pPr>
      <w:r w:rsidRPr="00F0726C">
        <w:t>Standardised Comparison of Convolutional and Transformer Backbones for Brain Tumour MRI Classification under Perceptual-Hash Deduplication</w:t>
      </w:r>
    </w:p>
    <w:p w:rsidR="006A70C2" w:rsidRDefault="006A70C2" w:rsidP="008E0107"/>
    <w:p w:rsidR="006A70C2" w:rsidRPr="002935F0" w:rsidRDefault="00000000">
      <w:pPr>
        <w:spacing w:before="120" w:after="40"/>
        <w:rPr>
          <w:b/>
          <w:bCs/>
          <w:color w:val="1F3864"/>
          <w:sz w:val="30"/>
          <w:szCs w:val="30"/>
        </w:rPr>
      </w:pPr>
      <w:r w:rsidRPr="002935F0">
        <w:rPr>
          <w:b/>
          <w:bCs/>
          <w:color w:val="1F3864"/>
          <w:sz w:val="30"/>
          <w:szCs w:val="30"/>
        </w:rPr>
        <w:t xml:space="preserve">Abstract </w:t>
      </w:r>
    </w:p>
    <w:p w:rsidR="00CE0511" w:rsidRDefault="00CE0511">
      <w:pPr>
        <w:spacing w:before="120" w:after="40"/>
      </w:pPr>
    </w:p>
    <w:p w:rsidR="006A70C2" w:rsidRDefault="00000000" w:rsidP="00D405E8">
      <w:pPr>
        <w:pStyle w:val="ListParagraph"/>
        <w:jc w:val="both"/>
      </w:pPr>
      <w:r>
        <w:t>Magnetic resonance imaging</w:t>
      </w:r>
      <w:r w:rsidR="00CE0511">
        <w:t xml:space="preserve"> (MRI)</w:t>
      </w:r>
      <w:r>
        <w:t xml:space="preserve"> is the standard investigation for brain tumours, but manual interpretation is slow, variable between readers, and dependent on expertise that is unevenly distributed. Deep learning has been applied widely to this problem, yet reported accuracies are difficult to compare because studies differ in dataset, preprocessing, splitting and evaluation, and because near-duplicate images drawn from shared public sources frequently leak between training and test partitions. We benchmark nine ImageNet-pretrained backbones spanning classical convolutional networks (ResNet50, VGG16, DenseNet121), efficient convolutional networks (EfficientNetB0, MobileNetV3-Large, InceptionV3) and transformer or hybrid architectures (ViT-B/16, </w:t>
      </w:r>
      <w:proofErr w:type="spellStart"/>
      <w:r>
        <w:t>Swin</w:t>
      </w:r>
      <w:proofErr w:type="spellEnd"/>
      <w:r>
        <w:t xml:space="preserve">-Base, CoAtNet-0) under matched data, preprocessing and schedule. Six of the nine were additionally evaluated on three-way subtype classification. </w:t>
      </w:r>
      <w:r w:rsidR="00B92150">
        <w:t xml:space="preserve">Perceptual hashing applied before splitting removed 19.3% near-duplicate images from the multiclass collection, reducing 5,828 MRI images to 4,705 unique samples; binary detection used a separate set of 3,253 images. All models were initialised from ImageNet weights and fine-tuned using the </w:t>
      </w:r>
      <w:proofErr w:type="spellStart"/>
      <w:r w:rsidR="00B92150">
        <w:t>AdamW</w:t>
      </w:r>
      <w:proofErr w:type="spellEnd"/>
      <w:r w:rsidR="00B92150">
        <w:t xml:space="preserve"> optimiser, a cosine annealing learning rate schedule, and mixed precision training on two NVIDIA Tesla T4 graphics processing units. On the held-out test set, CoAtNet0, DenseNet121, EﬀicientNetB0, and ResNet50 each reached 99.39% binary detection accuracy, with DenseNet121 and ResNet50 attaining an area under the receiver operating characteristic curve (AUC) of 1.0000. For multiclass classification, </w:t>
      </w:r>
      <w:proofErr w:type="spellStart"/>
      <w:r w:rsidR="00B92150">
        <w:t>Swin</w:t>
      </w:r>
      <w:proofErr w:type="spellEnd"/>
      <w:r w:rsidR="00B92150">
        <w:t>-Base achieved the highest accuracy of 98.58% with a macro-averaged one-versus-rest AUC of 0.9993, followed by CoAtNet-0 at 98.44% and InceptionV3 at 98.30%. EﬀicientNetB0 offered the best accuracy</w:t>
      </w:r>
      <w:r w:rsidR="00D405E8">
        <w:t xml:space="preserve"> </w:t>
      </w:r>
      <w:r w:rsidR="00B92150">
        <w:t xml:space="preserve">to-cost balance, reaching 99.39% detection accuracy and 97.59% subtype accuracy with only 4.0 million parameters, 0.77 GFLOPs per image, and 10.8 ms single-image latency. </w:t>
      </w:r>
      <w:r>
        <w:t>Gradient-weighted class activation mapping indicates that the highest-accuracy subtype model attends substantially to regions outside the brain, so accuracy alone does not establish that pathology has been learned.</w:t>
      </w:r>
    </w:p>
    <w:p w:rsidR="00CE0511" w:rsidRDefault="00CE0511" w:rsidP="00CE0511">
      <w:pPr>
        <w:pStyle w:val="ListParagraph"/>
      </w:pPr>
    </w:p>
    <w:p w:rsidR="006A70C2" w:rsidRDefault="002935F0" w:rsidP="002935F0">
      <w:pPr>
        <w:pStyle w:val="ListParagraph"/>
      </w:pPr>
      <w:r w:rsidRPr="002935F0">
        <w:rPr>
          <w:b/>
          <w:bCs/>
        </w:rPr>
        <w:t>Keywords:</w:t>
      </w:r>
      <w:r>
        <w:t xml:space="preserve"> Brain tumour MRI; deep learning; perceptual hashing; shortcut learning; vision transformers</w:t>
      </w:r>
    </w:p>
    <w:p w:rsidR="006A70C2" w:rsidRDefault="00000000">
      <w:r>
        <w:br w:type="page"/>
      </w:r>
    </w:p>
    <w:p w:rsidR="006A70C2" w:rsidRDefault="00000000">
      <w:pPr>
        <w:pStyle w:val="Heading1"/>
        <w:spacing w:before="400" w:after="180"/>
      </w:pPr>
      <w:r>
        <w:lastRenderedPageBreak/>
        <w:t>Introduction</w:t>
      </w:r>
    </w:p>
    <w:p w:rsidR="006A70C2" w:rsidRDefault="00000000">
      <w:pPr>
        <w:pStyle w:val="ListParagraph"/>
        <w:numPr>
          <w:ilvl w:val="0"/>
          <w:numId w:val="2"/>
        </w:numPr>
        <w:spacing w:after="70" w:line="276" w:lineRule="auto"/>
        <w:jc w:val="both"/>
      </w:pPr>
      <w:r>
        <w:t xml:space="preserve">“According to the American Brain </w:t>
      </w:r>
      <w:proofErr w:type="spellStart"/>
      <w:r>
        <w:t>Tumor</w:t>
      </w:r>
      <w:proofErr w:type="spellEnd"/>
      <w:r>
        <w:t xml:space="preserve"> Association, about 90,000 people are estimated to have primary brain tumours each year in the USA alone” — attributed to a named organisation but with no reference.</w:t>
      </w:r>
    </w:p>
    <w:p w:rsidR="006A70C2" w:rsidRDefault="00000000">
      <w:pPr>
        <w:pStyle w:val="ListParagraph"/>
        <w:numPr>
          <w:ilvl w:val="0"/>
          <w:numId w:val="2"/>
        </w:numPr>
        <w:spacing w:after="70" w:line="276" w:lineRule="auto"/>
        <w:jc w:val="both"/>
      </w:pPr>
      <w:r>
        <w:t>“the tertiary care hospitals report thousands of patients with primary brain tumours each year” in Indian metropolitan cities — no source.</w:t>
      </w:r>
    </w:p>
    <w:p w:rsidR="006A70C2" w:rsidRDefault="00000000">
      <w:pPr>
        <w:pStyle w:val="ListParagraph"/>
        <w:numPr>
          <w:ilvl w:val="0"/>
          <w:numId w:val="2"/>
        </w:numPr>
        <w:spacing w:after="70" w:line="276" w:lineRule="auto"/>
        <w:jc w:val="both"/>
      </w:pPr>
      <w:r>
        <w:t xml:space="preserve">“glioma … constitutes 30% of total brain tumours” — cited to [1, 2], neither of which is an epidemiological study. [1] is </w:t>
      </w:r>
      <w:proofErr w:type="spellStart"/>
      <w:r>
        <w:t>Zacharaki</w:t>
      </w:r>
      <w:proofErr w:type="spellEnd"/>
      <w:r>
        <w:t xml:space="preserve"> et al. on texture classification and [2] is a survey of MRI-based image analysis.</w:t>
      </w:r>
    </w:p>
    <w:p w:rsidR="006A70C2" w:rsidRDefault="00000000">
      <w:pPr>
        <w:pStyle w:val="ListParagraph"/>
        <w:numPr>
          <w:ilvl w:val="0"/>
          <w:numId w:val="2"/>
        </w:numPr>
        <w:spacing w:after="70" w:line="276" w:lineRule="auto"/>
        <w:jc w:val="both"/>
      </w:pPr>
      <w:r>
        <w:t>“it takes a specialist radiologist 15–30 minutes to make a correct diagnosis” — cited to [16, 17]; please verify that either source reports this interval.</w:t>
      </w:r>
    </w:p>
    <w:p w:rsidR="0064592E" w:rsidRDefault="0064592E" w:rsidP="0064592E">
      <w:pPr>
        <w:spacing w:after="70" w:line="276" w:lineRule="auto"/>
        <w:jc w:val="both"/>
      </w:pPr>
    </w:p>
    <w:p w:rsidR="0064592E" w:rsidRPr="0064592E" w:rsidRDefault="0064592E" w:rsidP="0064592E">
      <w:pPr>
        <w:pStyle w:val="ListParagraph"/>
        <w:rPr>
          <w:u w:val="single"/>
        </w:rPr>
      </w:pPr>
      <w:r w:rsidRPr="0064592E">
        <w:rPr>
          <w:u w:val="single"/>
        </w:rPr>
        <w:t>Write this as the 7</w:t>
      </w:r>
      <w:r w:rsidRPr="0064592E">
        <w:rPr>
          <w:u w:val="single"/>
          <w:vertAlign w:val="superscript"/>
        </w:rPr>
        <w:t>th</w:t>
      </w:r>
      <w:r w:rsidRPr="0064592E">
        <w:rPr>
          <w:u w:val="single"/>
        </w:rPr>
        <w:t xml:space="preserve"> paragraph:</w:t>
      </w:r>
    </w:p>
    <w:p w:rsidR="006A70C2" w:rsidRDefault="00000000" w:rsidP="0064592E">
      <w:pPr>
        <w:pStyle w:val="ListParagraph"/>
        <w:jc w:val="both"/>
      </w:pPr>
      <w:r>
        <w:t xml:space="preserve">This paper makes four contributions. First, it establishes a matched-data, matched-preprocessing comparison of nine ImageNet-pretrained backbones spanning three architectural families on brain tumour MRI, and reports the optimisation budget each model actually received so that architecture and training budget can be separated by the reader. Second, it applies perceptual-hash deduplication before partitioning to both experimental tracks, quantifies the near-duplicate burden of the combined public collections, and reports how sensitive the resulting accuracies are to the deduplication threshold. Third, it reports the quantities that determine whether a model is deployable but are routinely omitted in this literature — per-class sensitivity and specificity, expected calibration error, agreement corrected for chance, and measured latency and throughput — and shows that models with identical accuracy differ in whether their errors are missed tumours or false alarms. Fourth, it audits whether the highest-accuracy model attends to pathology, and finds evidence that it does not, which constrains how the </w:t>
      </w:r>
      <w:proofErr w:type="spellStart"/>
      <w:r>
        <w:t>leaderboard</w:t>
      </w:r>
      <w:proofErr w:type="spellEnd"/>
      <w:r>
        <w:t xml:space="preserve"> should be interpreted.</w:t>
      </w:r>
    </w:p>
    <w:p w:rsidR="0064592E" w:rsidRDefault="0064592E" w:rsidP="0064592E">
      <w:pPr>
        <w:pStyle w:val="ListParagraph"/>
        <w:jc w:val="both"/>
      </w:pPr>
    </w:p>
    <w:p w:rsidR="0064592E" w:rsidRDefault="0064592E" w:rsidP="0064592E">
      <w:pPr>
        <w:pStyle w:val="ListParagraph"/>
        <w:jc w:val="both"/>
      </w:pPr>
      <w:r w:rsidRPr="0064592E">
        <w:rPr>
          <w:b/>
          <w:bCs/>
        </w:rPr>
        <w:t>Older:</w:t>
      </w:r>
      <w:r>
        <w:t xml:space="preserve"> </w:t>
      </w:r>
      <w:r w:rsidRPr="0064592E">
        <w:t>Most papers that address this problem use simple exact-matching techniques that rely either on the file name or on the cryptographic hash of an image. However, exact-matching techniques fail to detect even simple</w:t>
      </w:r>
      <w:r>
        <w:t xml:space="preserve"> </w:t>
      </w:r>
      <w:r w:rsidRPr="0064592E">
        <w:t>modifications such as changing the size of an image, recompressing it, rotating it slightly, or altering its contrast.</w:t>
      </w:r>
    </w:p>
    <w:p w:rsidR="0064592E" w:rsidRDefault="0064592E" w:rsidP="0064592E">
      <w:pPr>
        <w:pStyle w:val="ListParagraph"/>
        <w:jc w:val="both"/>
      </w:pPr>
    </w:p>
    <w:p w:rsidR="006A70C2" w:rsidRDefault="0064592E" w:rsidP="0064592E">
      <w:pPr>
        <w:pStyle w:val="ListParagraph"/>
      </w:pPr>
      <w:r w:rsidRPr="0064592E">
        <w:rPr>
          <w:b/>
          <w:bCs/>
        </w:rPr>
        <w:t>New:</w:t>
      </w:r>
      <w:r>
        <w:t xml:space="preserve"> Perceptual hashing addresses images that are duplicates of one another. It does not address a second and distinct form of correlation: adjacent slices of the same patient are visually different enough to survive any hash-based filter, yet are not statistically independent, so a split drawn at slice level can place highly correlated images on both sides of the partition even when no near-duplicate pair remains.</w:t>
      </w:r>
    </w:p>
    <w:p w:rsidR="006A70C2" w:rsidRDefault="00000000">
      <w:r>
        <w:br w:type="page"/>
      </w:r>
    </w:p>
    <w:p w:rsidR="006A70C2" w:rsidRDefault="00000000">
      <w:pPr>
        <w:pStyle w:val="Heading1"/>
        <w:spacing w:before="400" w:after="180"/>
      </w:pPr>
      <w:r>
        <w:lastRenderedPageBreak/>
        <w:t xml:space="preserve">Literature Review </w:t>
      </w:r>
    </w:p>
    <w:p w:rsidR="00E25A1F" w:rsidRDefault="00000000" w:rsidP="00E25A1F">
      <w:pPr>
        <w:pStyle w:val="ListParagraph"/>
        <w:numPr>
          <w:ilvl w:val="0"/>
          <w:numId w:val="3"/>
        </w:numPr>
        <w:spacing w:after="130" w:line="276" w:lineRule="auto"/>
        <w:jc w:val="both"/>
      </w:pPr>
      <w:r>
        <w:t xml:space="preserve">The most recent primary architecture reference is 2021 (ViT, </w:t>
      </w:r>
      <w:proofErr w:type="spellStart"/>
      <w:r>
        <w:t>Swin</w:t>
      </w:r>
      <w:proofErr w:type="spellEnd"/>
      <w:r>
        <w:t xml:space="preserve">, the </w:t>
      </w:r>
      <w:proofErr w:type="spellStart"/>
      <w:r>
        <w:t>CoAtNet</w:t>
      </w:r>
      <w:proofErr w:type="spellEnd"/>
      <w:r>
        <w:t xml:space="preserve"> citation), and the most recent brain-tumour application reference is 2020. For a manuscript dated September 2026, a five-year gap in the application literature is the first thing a reviewer will note. Nothing from 2022–2026 is cited</w:t>
      </w:r>
      <w:r w:rsidR="00E25A1F">
        <w:t>.</w:t>
      </w:r>
    </w:p>
    <w:p w:rsidR="00E25A1F" w:rsidRDefault="00000000" w:rsidP="00E25A1F">
      <w:pPr>
        <w:pStyle w:val="ListParagraph"/>
        <w:numPr>
          <w:ilvl w:val="0"/>
          <w:numId w:val="3"/>
        </w:numPr>
        <w:spacing w:after="130" w:line="276" w:lineRule="auto"/>
        <w:jc w:val="both"/>
      </w:pPr>
      <w:r>
        <w:t xml:space="preserve">Reference [24] is given as: W. Xu, Y. Xu, T. Chang, and Z. Tu, “Co-scale conv-attentional image transformers”, ICCV 2021. That paper describes </w:t>
      </w:r>
      <w:proofErr w:type="spellStart"/>
      <w:r>
        <w:t>CoaT</w:t>
      </w:r>
      <w:proofErr w:type="spellEnd"/>
      <w:r>
        <w:t xml:space="preserve">, which is a different model from </w:t>
      </w:r>
      <w:proofErr w:type="spellStart"/>
      <w:r>
        <w:t>CoAtNet</w:t>
      </w:r>
      <w:proofErr w:type="spellEnd"/>
      <w:r>
        <w:t xml:space="preserve">. </w:t>
      </w:r>
      <w:proofErr w:type="spellStart"/>
      <w:r>
        <w:t>CoAtNet</w:t>
      </w:r>
      <w:proofErr w:type="spellEnd"/>
      <w:r>
        <w:t xml:space="preserve"> is, to my recollection, Dai, Liu, Le and Tan, “</w:t>
      </w:r>
      <w:proofErr w:type="spellStart"/>
      <w:r>
        <w:t>CoAtNet</w:t>
      </w:r>
      <w:proofErr w:type="spellEnd"/>
      <w:r>
        <w:t>: Marrying Convolution and Attention for All Data Sizes”, NeurIPS 2021. The manuscript states in Section 2 that “</w:t>
      </w:r>
      <w:proofErr w:type="spellStart"/>
      <w:r>
        <w:t>CoAtNet</w:t>
      </w:r>
      <w:proofErr w:type="spellEnd"/>
      <w:r>
        <w:t xml:space="preserve">, proposed by Xu et al. [24], employs convolution and attention simultaneously”, and Section 3.4 states that the implementation used is </w:t>
      </w:r>
      <w:proofErr w:type="spellStart"/>
      <w:r>
        <w:t>timm's</w:t>
      </w:r>
      <w:proofErr w:type="spellEnd"/>
      <w:r>
        <w:t xml:space="preserve"> coatnet_0_rw_224, which is an implementation of the NeurIPS </w:t>
      </w:r>
      <w:proofErr w:type="spellStart"/>
      <w:r>
        <w:t>CoAtNet</w:t>
      </w:r>
      <w:proofErr w:type="spellEnd"/>
      <w:r>
        <w:t>.</w:t>
      </w:r>
    </w:p>
    <w:p w:rsidR="00E25A1F" w:rsidRDefault="00E25A1F" w:rsidP="00E25A1F">
      <w:pPr>
        <w:pStyle w:val="ListParagraph"/>
        <w:numPr>
          <w:ilvl w:val="0"/>
          <w:numId w:val="3"/>
        </w:numPr>
        <w:spacing w:after="130" w:line="276" w:lineRule="auto"/>
        <w:jc w:val="both"/>
      </w:pPr>
      <w:r>
        <w:t xml:space="preserve">Also check [16] (Bauer, “Interobserver variability in the radiological assessment of brain </w:t>
      </w:r>
      <w:proofErr w:type="spellStart"/>
      <w:r>
        <w:t>tumors</w:t>
      </w:r>
      <w:proofErr w:type="spellEnd"/>
      <w:r>
        <w:t xml:space="preserve">”, Journal of Neuro-Oncology 145(2), 2019) and [17] (Patel and Singh, “Challenges in brain </w:t>
      </w:r>
      <w:proofErr w:type="spellStart"/>
      <w:r>
        <w:t>tumor</w:t>
      </w:r>
      <w:proofErr w:type="spellEnd"/>
      <w:r>
        <w:t xml:space="preserve"> diagnosis in resource-limited settings”, The Lancet Neurology 18(4), 2019). </w:t>
      </w:r>
    </w:p>
    <w:p w:rsidR="006A70C2" w:rsidRDefault="00000000" w:rsidP="009E1260">
      <w:pPr>
        <w:pStyle w:val="Heading1"/>
        <w:spacing w:before="400" w:after="180"/>
      </w:pPr>
      <w:r>
        <w:t xml:space="preserve"> Methods and Materials </w:t>
      </w:r>
    </w:p>
    <w:p w:rsidR="009E1260" w:rsidRDefault="009E1260" w:rsidP="009E1260"/>
    <w:p w:rsidR="006A70C2" w:rsidRDefault="00000000">
      <w:pPr>
        <w:pStyle w:val="Heading2"/>
        <w:spacing w:before="280" w:after="140"/>
      </w:pPr>
      <w:r>
        <w:t xml:space="preserve">Data Collection </w:t>
      </w:r>
    </w:p>
    <w:p w:rsidR="006A70C2" w:rsidRDefault="00000000">
      <w:pPr>
        <w:pStyle w:val="ListParagraph"/>
        <w:numPr>
          <w:ilvl w:val="0"/>
          <w:numId w:val="2"/>
        </w:numPr>
        <w:spacing w:after="70" w:line="276" w:lineRule="auto"/>
        <w:jc w:val="both"/>
      </w:pPr>
      <w:r>
        <w:t xml:space="preserve">The multiclass pool combines the </w:t>
      </w:r>
      <w:proofErr w:type="spellStart"/>
      <w:r>
        <w:t>Bhuvaji</w:t>
      </w:r>
      <w:proofErr w:type="spellEnd"/>
      <w:r>
        <w:t xml:space="preserve"> Kaggle collection [28] with the Cheng </w:t>
      </w:r>
      <w:proofErr w:type="spellStart"/>
      <w:r>
        <w:t>figshare</w:t>
      </w:r>
      <w:proofErr w:type="spellEnd"/>
      <w:r>
        <w:t xml:space="preserve"> collection [29] via a third-party JPEG conversion [30]. The </w:t>
      </w:r>
      <w:proofErr w:type="spellStart"/>
      <w:r>
        <w:t>Bhuvaji</w:t>
      </w:r>
      <w:proofErr w:type="spellEnd"/>
      <w:r>
        <w:t xml:space="preserve"> collection is itself widely understood to be derived in substantial part from the Cheng data. The manuscript acknowledges in Section 3.3 that “the two constituent datasets are known to overlap substantially” but never says how many images came from each source, nor how many of the 1,123 removed images were cross-source versus within-source duplicates.</w:t>
      </w:r>
    </w:p>
    <w:p w:rsidR="006A70C2" w:rsidRDefault="00000000">
      <w:pPr>
        <w:pStyle w:val="ListParagraph"/>
        <w:numPr>
          <w:ilvl w:val="0"/>
          <w:numId w:val="2"/>
        </w:numPr>
        <w:spacing w:after="70" w:line="276" w:lineRule="auto"/>
        <w:jc w:val="both"/>
      </w:pPr>
      <w:r>
        <w:t>Add a provenance table giving, for each source: number of images contributed, number surviving deduplication, class distribution, and native resolution. Report the class-by-source contingency table.</w:t>
      </w:r>
    </w:p>
    <w:p w:rsidR="006A70C2" w:rsidRDefault="00000000">
      <w:pPr>
        <w:pStyle w:val="ListParagraph"/>
        <w:numPr>
          <w:ilvl w:val="0"/>
          <w:numId w:val="2"/>
        </w:numPr>
        <w:spacing w:after="70" w:line="276" w:lineRule="auto"/>
        <w:jc w:val="both"/>
      </w:pPr>
      <w:r>
        <w:t>MRI sequence (T1, T1-contrast, T2, FLAIR) is stated to be “not uniformly provided” for the binary set and is not discussed at all for the multiclass set. Say explicitly for both tracks that sequence is unknown and that this limits clinical interpretation, since a model trained on an unknown mixture of sequences cannot be specified for deployment.</w:t>
      </w:r>
    </w:p>
    <w:p w:rsidR="006A70C2" w:rsidRDefault="00000000">
      <w:pPr>
        <w:pStyle w:val="ListParagraph"/>
        <w:numPr>
          <w:ilvl w:val="0"/>
          <w:numId w:val="2"/>
        </w:numPr>
        <w:spacing w:after="70" w:line="276" w:lineRule="auto"/>
        <w:jc w:val="both"/>
      </w:pPr>
      <w:r>
        <w:t>The negative class of the binary task is described as “tumour-free”. Neither source certifies that the negative images are radiologically normal; they are images labelled as not containing a tumour. Soften to “tumour-negative” consistently (the manuscript already does this in places) and state that the absence of other pathology is not established.</w:t>
      </w:r>
    </w:p>
    <w:p w:rsidR="006A70C2" w:rsidRDefault="00000000">
      <w:pPr>
        <w:pStyle w:val="Heading2"/>
        <w:spacing w:before="280" w:after="140"/>
      </w:pPr>
      <w:r>
        <w:t xml:space="preserve">Preprocessing and Deduplication </w:t>
      </w:r>
    </w:p>
    <w:p w:rsidR="006A70C2" w:rsidRDefault="00000000">
      <w:pPr>
        <w:pStyle w:val="Heading3"/>
        <w:spacing w:before="220" w:after="110"/>
      </w:pPr>
      <w:r>
        <w:rPr>
          <w:i/>
          <w:iCs/>
        </w:rPr>
        <w:t>Apply deduplication to the binary track (P3)</w:t>
      </w:r>
    </w:p>
    <w:p w:rsidR="006A70C2" w:rsidRDefault="00000000">
      <w:pPr>
        <w:spacing w:after="130" w:line="276" w:lineRule="auto"/>
        <w:jc w:val="both"/>
      </w:pPr>
      <w:r>
        <w:t xml:space="preserve">Section 3.3 states that </w:t>
      </w:r>
      <w:proofErr w:type="spellStart"/>
      <w:r>
        <w:t>pHash</w:t>
      </w:r>
      <w:proofErr w:type="spellEnd"/>
      <w:r>
        <w:t xml:space="preserve"> deduplication was not applied to the binary dataset on the grounds that the two sources are “disjoint in origin” and the smaller contributes only 253 of 3,253 images. The manuscript then correctly flags this as an asymmetry and defers it to future work.</w:t>
      </w:r>
    </w:p>
    <w:p w:rsidR="006A70C2" w:rsidRDefault="00000000">
      <w:pPr>
        <w:spacing w:after="130" w:line="276" w:lineRule="auto"/>
        <w:jc w:val="both"/>
      </w:pPr>
      <w:r>
        <w:t xml:space="preserve">This should not be deferred. Run the identical </w:t>
      </w:r>
      <w:proofErr w:type="spellStart"/>
      <w:r>
        <w:t>pHash</w:t>
      </w:r>
      <w:proofErr w:type="spellEnd"/>
      <w:r>
        <w:t xml:space="preserve"> pass on the 3,253 binary images, report the outcome, and re-run the nine binary models on the deduplicated pool.</w:t>
      </w:r>
    </w:p>
    <w:p w:rsidR="006A70C2" w:rsidRDefault="00000000">
      <w:pPr>
        <w:pStyle w:val="Heading3"/>
        <w:spacing w:before="220" w:after="110"/>
      </w:pPr>
      <w:r>
        <w:rPr>
          <w:i/>
          <w:iCs/>
        </w:rPr>
        <w:t>Make deduplication label-aware and report cross-label collisions</w:t>
      </w:r>
    </w:p>
    <w:p w:rsidR="006A70C2" w:rsidRDefault="00000000">
      <w:pPr>
        <w:spacing w:after="130" w:line="276" w:lineRule="auto"/>
        <w:jc w:val="both"/>
      </w:pPr>
      <w:r>
        <w:lastRenderedPageBreak/>
        <w:t>Section 3.6 discloses that the hash pass processes classes in a fixed order, so where a near-duplicate pair spans two classes the glioma image is always retained, and that such removals are “neither counted nor reported”.</w:t>
      </w:r>
    </w:p>
    <w:p w:rsidR="006A70C2" w:rsidRDefault="00000000">
      <w:pPr>
        <w:spacing w:after="130" w:line="276" w:lineRule="auto"/>
        <w:jc w:val="both"/>
      </w:pPr>
      <w:r>
        <w:t>Required: count them, report them, and decide what they mean. A cross-label near-duplicate pair is either (a) a labelling error in one of the source collections, or (b) a false positive of the hash at Hamming distance ≤ 5, or (c) genuinely the same image filed under two labels. Each has a different remedy: (a) argues for excluding both copies, (b) argues for a tighter threshold, (c) argues for excluding both copies and reporting the label noise.</w:t>
      </w:r>
    </w:p>
    <w:p w:rsidR="00FF42B9" w:rsidRDefault="00FF42B9">
      <w:pPr>
        <w:spacing w:after="130" w:line="276" w:lineRule="auto"/>
        <w:jc w:val="both"/>
      </w:pPr>
    </w:p>
    <w:p w:rsidR="00FF42B9" w:rsidRDefault="00FF42B9">
      <w:pPr>
        <w:spacing w:after="130" w:line="276" w:lineRule="auto"/>
        <w:jc w:val="both"/>
        <w:rPr>
          <w:b/>
          <w:bCs/>
          <w:i/>
          <w:iCs/>
          <w:color w:val="1F3864"/>
          <w:sz w:val="22"/>
          <w:szCs w:val="22"/>
        </w:rPr>
      </w:pPr>
      <w:r w:rsidRPr="00FF42B9">
        <w:rPr>
          <w:b/>
          <w:bCs/>
          <w:i/>
          <w:iCs/>
          <w:color w:val="1F3864"/>
          <w:sz w:val="22"/>
          <w:szCs w:val="22"/>
        </w:rPr>
        <w:t>Evaluation Metrics</w:t>
      </w:r>
    </w:p>
    <w:p w:rsidR="00FF42B9" w:rsidRPr="00FF42B9" w:rsidRDefault="00FF42B9">
      <w:pPr>
        <w:spacing w:after="130" w:line="276" w:lineRule="auto"/>
        <w:jc w:val="both"/>
      </w:pPr>
      <w:r w:rsidRPr="00FF42B9">
        <w:t xml:space="preserve">Remove this </w:t>
      </w:r>
    </w:p>
    <w:p w:rsidR="00FF42B9" w:rsidRDefault="00FF42B9">
      <w:pPr>
        <w:rPr>
          <w:b/>
          <w:bCs/>
          <w:color w:val="1F3864"/>
          <w:sz w:val="25"/>
          <w:szCs w:val="25"/>
        </w:rPr>
      </w:pPr>
    </w:p>
    <w:p w:rsidR="00FF42B9" w:rsidRDefault="00FF42B9">
      <w:pPr>
        <w:rPr>
          <w:b/>
          <w:bCs/>
          <w:color w:val="1F3864"/>
          <w:sz w:val="25"/>
          <w:szCs w:val="25"/>
        </w:rPr>
      </w:pPr>
    </w:p>
    <w:p w:rsidR="006A70C2" w:rsidRDefault="00FF42B9">
      <w:pPr>
        <w:rPr>
          <w:b/>
          <w:bCs/>
          <w:color w:val="1F3864"/>
          <w:sz w:val="25"/>
          <w:szCs w:val="25"/>
        </w:rPr>
      </w:pPr>
      <w:r w:rsidRPr="00FF42B9">
        <w:rPr>
          <w:b/>
          <w:bCs/>
          <w:color w:val="1F3864"/>
          <w:sz w:val="25"/>
          <w:szCs w:val="25"/>
        </w:rPr>
        <w:t>Results and Discussion</w:t>
      </w:r>
    </w:p>
    <w:p w:rsidR="00FF42B9" w:rsidRPr="00FF42B9" w:rsidRDefault="00FF42B9">
      <w:pPr>
        <w:rPr>
          <w:b/>
          <w:bCs/>
          <w:color w:val="1F3864"/>
          <w:sz w:val="25"/>
          <w:szCs w:val="25"/>
        </w:rPr>
      </w:pPr>
    </w:p>
    <w:p w:rsidR="006A70C2" w:rsidRDefault="00FF42B9" w:rsidP="00FF42B9">
      <w:pPr>
        <w:spacing w:after="130" w:line="276" w:lineRule="auto"/>
        <w:jc w:val="both"/>
        <w:rPr>
          <w:b/>
          <w:bCs/>
          <w:i/>
          <w:iCs/>
          <w:color w:val="1F3864"/>
          <w:sz w:val="22"/>
          <w:szCs w:val="22"/>
        </w:rPr>
      </w:pPr>
      <w:r>
        <w:rPr>
          <w:b/>
          <w:bCs/>
          <w:i/>
          <w:iCs/>
          <w:color w:val="1F3864"/>
          <w:sz w:val="22"/>
          <w:szCs w:val="22"/>
        </w:rPr>
        <w:t xml:space="preserve">4.1 </w:t>
      </w:r>
      <w:r w:rsidRPr="00FF42B9">
        <w:rPr>
          <w:b/>
          <w:bCs/>
          <w:i/>
          <w:iCs/>
          <w:color w:val="1F3864"/>
          <w:sz w:val="22"/>
          <w:szCs w:val="22"/>
        </w:rPr>
        <w:t>Binary Detection</w:t>
      </w:r>
    </w:p>
    <w:p w:rsidR="00FF42B9" w:rsidRPr="00FF42B9" w:rsidRDefault="00FF42B9" w:rsidP="00FF42B9">
      <w:pPr>
        <w:pStyle w:val="ListParagraph"/>
        <w:numPr>
          <w:ilvl w:val="0"/>
          <w:numId w:val="4"/>
        </w:numPr>
        <w:spacing w:after="130" w:line="276" w:lineRule="auto"/>
        <w:jc w:val="both"/>
      </w:pPr>
      <w:r w:rsidRPr="00FF42B9">
        <w:t>Make it two paragraphs only</w:t>
      </w:r>
    </w:p>
    <w:p w:rsidR="006A70C2" w:rsidRDefault="006C407A">
      <w:pPr>
        <w:pStyle w:val="Heading2"/>
        <w:spacing w:before="280" w:after="140"/>
      </w:pPr>
      <w:r>
        <w:rPr>
          <w:i/>
          <w:iCs/>
          <w:sz w:val="22"/>
          <w:szCs w:val="22"/>
        </w:rPr>
        <w:t>4.</w:t>
      </w:r>
      <w:r w:rsidRPr="006C407A">
        <w:rPr>
          <w:i/>
          <w:iCs/>
          <w:sz w:val="22"/>
          <w:szCs w:val="22"/>
        </w:rPr>
        <w:t>2 Multiclass Classification</w:t>
      </w:r>
    </w:p>
    <w:p w:rsidR="00FF42B9" w:rsidRDefault="00FF42B9" w:rsidP="00FF42B9">
      <w:pPr>
        <w:pStyle w:val="ListParagraph"/>
        <w:numPr>
          <w:ilvl w:val="0"/>
          <w:numId w:val="2"/>
        </w:numPr>
        <w:spacing w:after="130" w:line="276" w:lineRule="auto"/>
        <w:jc w:val="both"/>
      </w:pPr>
      <w:r w:rsidRPr="00FF42B9">
        <w:t>Make it two paragraphs only</w:t>
      </w:r>
    </w:p>
    <w:p w:rsidR="0015026A" w:rsidRDefault="0015026A" w:rsidP="0015026A">
      <w:pPr>
        <w:spacing w:after="130" w:line="276" w:lineRule="auto"/>
        <w:jc w:val="both"/>
      </w:pPr>
    </w:p>
    <w:p w:rsidR="0015026A" w:rsidRPr="0015026A" w:rsidRDefault="0015026A" w:rsidP="0015026A">
      <w:pPr>
        <w:pStyle w:val="Heading2"/>
        <w:spacing w:before="280" w:after="140"/>
        <w:rPr>
          <w:i/>
          <w:iCs/>
          <w:sz w:val="22"/>
          <w:szCs w:val="22"/>
        </w:rPr>
      </w:pPr>
      <w:r w:rsidRPr="0015026A">
        <w:rPr>
          <w:i/>
          <w:iCs/>
          <w:sz w:val="22"/>
          <w:szCs w:val="22"/>
        </w:rPr>
        <w:t>4.3 Efficiency</w:t>
      </w:r>
    </w:p>
    <w:p w:rsidR="0015026A" w:rsidRDefault="0015026A" w:rsidP="0015026A">
      <w:pPr>
        <w:pStyle w:val="ListParagraph"/>
        <w:numPr>
          <w:ilvl w:val="0"/>
          <w:numId w:val="2"/>
        </w:numPr>
        <w:spacing w:after="70" w:line="276" w:lineRule="auto"/>
        <w:jc w:val="both"/>
      </w:pPr>
      <w:r>
        <w:t xml:space="preserve">Merge Tables 10 and 11 into one main-text table with paired columns, or keep one in the main text and move the other to Supplementary Table S9/S10. Nine rows × eight columns twice is more </w:t>
      </w:r>
      <w:proofErr w:type="spellStart"/>
      <w:r>
        <w:t>table</w:t>
      </w:r>
      <w:proofErr w:type="spellEnd"/>
      <w:r>
        <w:t xml:space="preserve"> than the content justifies.</w:t>
      </w:r>
    </w:p>
    <w:p w:rsidR="0015026A" w:rsidRDefault="0015026A" w:rsidP="0015026A">
      <w:pPr>
        <w:pStyle w:val="ListParagraph"/>
        <w:numPr>
          <w:ilvl w:val="0"/>
          <w:numId w:val="2"/>
        </w:numPr>
        <w:spacing w:after="70" w:line="276" w:lineRule="auto"/>
        <w:jc w:val="both"/>
      </w:pPr>
      <w:r>
        <w:t>“The mid-sized CNNs, DenseNet121, ResNet50, InceptionV3, and CoAtNet-0” misclassifies CoAtNet-0, which the paper elsewhere and correctly calls a hybrid. Revise to “the mid-sized convolutional and hybrid models”.</w:t>
      </w:r>
    </w:p>
    <w:p w:rsidR="0015026A" w:rsidRDefault="0015026A" w:rsidP="0015026A">
      <w:pPr>
        <w:pStyle w:val="ListParagraph"/>
        <w:numPr>
          <w:ilvl w:val="0"/>
          <w:numId w:val="2"/>
        </w:numPr>
        <w:spacing w:after="70" w:line="276" w:lineRule="auto"/>
        <w:jc w:val="both"/>
      </w:pPr>
      <w:r>
        <w:t>InceptionV3's GFLOPs are inflated relative to every other model because it runs at 299×299 rather than 224×224. Note this where the GFLOPs are compared, otherwise the comparison is not like-for-like.</w:t>
      </w:r>
    </w:p>
    <w:p w:rsidR="0015026A" w:rsidRDefault="0015026A" w:rsidP="006F6376">
      <w:pPr>
        <w:pStyle w:val="ListParagraph"/>
        <w:numPr>
          <w:ilvl w:val="0"/>
          <w:numId w:val="2"/>
        </w:numPr>
        <w:spacing w:after="70" w:line="276" w:lineRule="auto"/>
        <w:jc w:val="both"/>
      </w:pPr>
      <w:r>
        <w:t>Latency and throughput should be reported with a variance measure (mean ± SD over, say, 100 timed runs after warm-up) and the warm-up procedure stated. A single-point latency figure quoted to two decimal places (10.76 ms) implies a precision that an untimed single measurement does not have.</w:t>
      </w:r>
    </w:p>
    <w:p w:rsidR="006A70C2" w:rsidRDefault="006A70C2" w:rsidP="006F6376">
      <w:pPr>
        <w:spacing w:after="70" w:line="276" w:lineRule="auto"/>
        <w:jc w:val="both"/>
      </w:pPr>
    </w:p>
    <w:p w:rsidR="006A70C2" w:rsidRDefault="006C407A">
      <w:pPr>
        <w:pStyle w:val="Heading2"/>
        <w:spacing w:before="280" w:after="140"/>
      </w:pPr>
      <w:r>
        <w:rPr>
          <w:i/>
          <w:iCs/>
          <w:sz w:val="22"/>
          <w:szCs w:val="22"/>
        </w:rPr>
        <w:t>4.</w:t>
      </w:r>
      <w:r w:rsidRPr="006C407A">
        <w:rPr>
          <w:i/>
          <w:iCs/>
          <w:sz w:val="22"/>
          <w:szCs w:val="22"/>
        </w:rPr>
        <w:t>4 Interpretability</w:t>
      </w:r>
      <w:r>
        <w:t xml:space="preserve"> </w:t>
      </w:r>
    </w:p>
    <w:p w:rsidR="006A70C2" w:rsidRDefault="00000000">
      <w:pPr>
        <w:pStyle w:val="ListParagraph"/>
        <w:numPr>
          <w:ilvl w:val="0"/>
          <w:numId w:val="2"/>
        </w:numPr>
        <w:spacing w:after="70" w:line="276" w:lineRule="auto"/>
        <w:jc w:val="both"/>
      </w:pPr>
      <w:r>
        <w:t>Outside-brain attention fraction. Segment the brain with Otsu thresholding plus largest-connected-component selection (adequate for skull-stripped-</w:t>
      </w:r>
      <w:proofErr w:type="spellStart"/>
      <w:r>
        <w:t>ish</w:t>
      </w:r>
      <w:proofErr w:type="spellEnd"/>
      <w:r>
        <w:t xml:space="preserve"> 2D slices; no manual annotation needed). For each model and class, compute the fraction of total Grad-CAM energy falling outside the brain mask. Report mean ± SD per model. This turns Figure 24 into a number.</w:t>
      </w:r>
    </w:p>
    <w:p w:rsidR="006A70C2" w:rsidRDefault="00000000">
      <w:pPr>
        <w:pStyle w:val="ListParagraph"/>
        <w:numPr>
          <w:ilvl w:val="0"/>
          <w:numId w:val="2"/>
        </w:numPr>
        <w:spacing w:after="70" w:line="276" w:lineRule="auto"/>
        <w:jc w:val="both"/>
      </w:pPr>
      <w:r>
        <w:t>Background-only ablation. Retrain each model on images with the brain region masked to zero, leaving only background, border and framing. If accuracy remains well above chance, the shortcut is demonstrated directly. This is the decisive experiment and it is cheap.</w:t>
      </w:r>
    </w:p>
    <w:p w:rsidR="006A70C2" w:rsidRDefault="00000000">
      <w:pPr>
        <w:pStyle w:val="Heading3"/>
        <w:spacing w:before="220" w:after="110"/>
      </w:pPr>
      <w:r>
        <w:rPr>
          <w:i/>
          <w:iCs/>
        </w:rPr>
        <w:t>G.4.2 Technical caveats to state</w:t>
      </w:r>
    </w:p>
    <w:p w:rsidR="006A70C2" w:rsidRDefault="00000000">
      <w:pPr>
        <w:pStyle w:val="ListParagraph"/>
        <w:numPr>
          <w:ilvl w:val="0"/>
          <w:numId w:val="2"/>
        </w:numPr>
        <w:spacing w:after="70" w:line="276" w:lineRule="auto"/>
        <w:jc w:val="both"/>
      </w:pPr>
      <w:r>
        <w:lastRenderedPageBreak/>
        <w:t xml:space="preserve">Grad-CAM applied to </w:t>
      </w:r>
      <w:proofErr w:type="spellStart"/>
      <w:r>
        <w:t>Swin</w:t>
      </w:r>
      <w:proofErr w:type="spellEnd"/>
      <w:r>
        <w:t>-Base and ViT-B/16 requires a reshape transform from token sequence to spatial grid, and the choice of target layer (the manuscript says the final normalisation layer of the last attention stage) materially changes the map. State the transform used. Better, corroborate with an attention-native method such as attention rollout, and note that the transformer and CNN maps are not strictly commensurable — the manuscript already says this, which is good, but it should say it before presenting the comparison rather than after.</w:t>
      </w:r>
    </w:p>
    <w:p w:rsidR="006A70C2" w:rsidRDefault="00000000">
      <w:pPr>
        <w:pStyle w:val="ListParagraph"/>
        <w:numPr>
          <w:ilvl w:val="0"/>
          <w:numId w:val="2"/>
        </w:numPr>
        <w:spacing w:after="70" w:line="276" w:lineRule="auto"/>
        <w:jc w:val="both"/>
      </w:pPr>
      <w:r>
        <w:t>Figure 22 shows Grad-CAM maps for correctly classified tumour-negative images that cover essentially the whole brain. For a negative class this is expected behaviour (there is no lesion to localise) but it is not explained in the text and a reader may misread it as diffuse or unfocused attention. Add one sentence.</w:t>
      </w:r>
    </w:p>
    <w:p w:rsidR="006A70C2" w:rsidRDefault="00000000">
      <w:pPr>
        <w:pStyle w:val="ListParagraph"/>
        <w:numPr>
          <w:ilvl w:val="0"/>
          <w:numId w:val="2"/>
        </w:numPr>
        <w:spacing w:after="70" w:line="276" w:lineRule="auto"/>
        <w:jc w:val="both"/>
      </w:pPr>
      <w:r>
        <w:t>The misclassification panels select the most confident errors. The manuscript states this clearly, which is good practice. Add the accompanying observation explicitly to the Discussion: confidently wrong predictions with plausible-looking attention maps cannot be filtered by confidence thresholding or by visual review, which is a direct argument against deploying Grad-CAM as a clinical safety check. That is a useful, transferable conclusion.</w:t>
      </w:r>
    </w:p>
    <w:p w:rsidR="006A70C2" w:rsidRDefault="00000000">
      <w:r>
        <w:br w:type="page"/>
      </w:r>
    </w:p>
    <w:p w:rsidR="006A70C2" w:rsidRDefault="00000000">
      <w:pPr>
        <w:pStyle w:val="Heading1"/>
        <w:spacing w:before="400" w:after="180"/>
      </w:pPr>
      <w:r>
        <w:lastRenderedPageBreak/>
        <w:t xml:space="preserve">Conclusion </w:t>
      </w:r>
    </w:p>
    <w:p w:rsidR="006A70C2" w:rsidRDefault="00000000">
      <w:pPr>
        <w:pStyle w:val="Heading2"/>
        <w:spacing w:before="280" w:after="140"/>
      </w:pPr>
      <w:r>
        <w:t>H.1 The structural problem</w:t>
      </w:r>
    </w:p>
    <w:p w:rsidR="006A70C2" w:rsidRDefault="005A329F" w:rsidP="005A329F">
      <w:pPr>
        <w:spacing w:after="130" w:line="276" w:lineRule="auto"/>
        <w:jc w:val="both"/>
      </w:pPr>
      <w:r>
        <w:t xml:space="preserve">Make it 500 words only </w:t>
      </w:r>
    </w:p>
    <w:p w:rsidR="006A70C2" w:rsidRDefault="00000000" w:rsidP="005A329F">
      <w:pPr>
        <w:pStyle w:val="Heading1"/>
        <w:spacing w:before="400" w:after="180"/>
      </w:pPr>
      <w:r>
        <w:t>Supplementary Figure S1–S16.</w:t>
      </w:r>
    </w:p>
    <w:p w:rsidR="005A329F" w:rsidRDefault="005A329F" w:rsidP="005A329F">
      <w:pPr>
        <w:spacing w:after="130" w:line="276" w:lineRule="auto"/>
        <w:jc w:val="both"/>
      </w:pPr>
      <w:r>
        <w:t>Every relocated item, its origin in the submitted manuscript, and its supplementary destination. This table is the authority for cross-reference consistency between the two documents.</w:t>
      </w:r>
    </w:p>
    <w:p w:rsidR="005A329F" w:rsidRDefault="005A329F" w:rsidP="005A329F">
      <w:pPr>
        <w:spacing w:before="120" w:after="80"/>
      </w:pPr>
      <w:r>
        <w:rPr>
          <w:b/>
          <w:bCs/>
          <w:sz w:val="19"/>
          <w:szCs w:val="19"/>
        </w:rPr>
        <w:t>Table M1. Main manuscript → Supplementary Material mapping</w:t>
      </w:r>
    </w:p>
    <w:tbl>
      <w:tblPr>
        <w:tblStyle w:val="TableGrid"/>
        <w:tblW w:w="9000" w:type="dxa"/>
        <w:tblLook w:val="0000" w:firstRow="0" w:lastRow="0" w:firstColumn="0" w:lastColumn="0" w:noHBand="0" w:noVBand="0"/>
      </w:tblPr>
      <w:tblGrid>
        <w:gridCol w:w="4000"/>
        <w:gridCol w:w="3600"/>
        <w:gridCol w:w="1400"/>
      </w:tblGrid>
      <w:tr w:rsidR="005A329F" w:rsidTr="00DA52E0">
        <w:tc>
          <w:tcPr>
            <w:tcW w:w="4000" w:type="dxa"/>
          </w:tcPr>
          <w:p w:rsidR="005A329F" w:rsidRDefault="005A329F" w:rsidP="00DA52E0">
            <w:r>
              <w:rPr>
                <w:b/>
                <w:bCs/>
                <w:sz w:val="18"/>
                <w:szCs w:val="18"/>
              </w:rPr>
              <w:t>Submitted item</w:t>
            </w:r>
          </w:p>
        </w:tc>
        <w:tc>
          <w:tcPr>
            <w:tcW w:w="3600" w:type="dxa"/>
          </w:tcPr>
          <w:p w:rsidR="005A329F" w:rsidRDefault="005A329F" w:rsidP="00DA52E0">
            <w:r>
              <w:rPr>
                <w:b/>
                <w:bCs/>
                <w:sz w:val="18"/>
                <w:szCs w:val="18"/>
              </w:rPr>
              <w:t>Destination</w:t>
            </w:r>
          </w:p>
        </w:tc>
        <w:tc>
          <w:tcPr>
            <w:tcW w:w="1400" w:type="dxa"/>
          </w:tcPr>
          <w:p w:rsidR="005A329F" w:rsidRDefault="005A329F" w:rsidP="00DA52E0">
            <w:r>
              <w:rPr>
                <w:b/>
                <w:bCs/>
                <w:sz w:val="18"/>
                <w:szCs w:val="18"/>
              </w:rPr>
              <w:t>Supp. section</w:t>
            </w:r>
          </w:p>
        </w:tc>
      </w:tr>
      <w:tr w:rsidR="005A329F" w:rsidTr="00DA52E0">
        <w:tc>
          <w:tcPr>
            <w:tcW w:w="4000" w:type="dxa"/>
          </w:tcPr>
          <w:p w:rsidR="005A329F" w:rsidRDefault="005A329F" w:rsidP="00DA52E0">
            <w:r>
              <w:rPr>
                <w:sz w:val="18"/>
                <w:szCs w:val="18"/>
              </w:rPr>
              <w:t>Table 7 — Per-class binary metrics</w:t>
            </w:r>
          </w:p>
        </w:tc>
        <w:tc>
          <w:tcPr>
            <w:tcW w:w="3600" w:type="dxa"/>
          </w:tcPr>
          <w:p w:rsidR="005A329F" w:rsidRDefault="005A329F" w:rsidP="00DA52E0">
            <w:r>
              <w:rPr>
                <w:sz w:val="18"/>
                <w:szCs w:val="18"/>
              </w:rPr>
              <w:t>Supplementary Table S4</w:t>
            </w:r>
          </w:p>
        </w:tc>
        <w:tc>
          <w:tcPr>
            <w:tcW w:w="1400" w:type="dxa"/>
          </w:tcPr>
          <w:p w:rsidR="005A329F" w:rsidRDefault="005A329F" w:rsidP="00DA52E0">
            <w:r>
              <w:rPr>
                <w:sz w:val="18"/>
                <w:szCs w:val="18"/>
              </w:rPr>
              <w:t>S4</w:t>
            </w:r>
          </w:p>
        </w:tc>
      </w:tr>
      <w:tr w:rsidR="005A329F" w:rsidTr="00DA52E0">
        <w:tc>
          <w:tcPr>
            <w:tcW w:w="4000" w:type="dxa"/>
          </w:tcPr>
          <w:p w:rsidR="005A329F" w:rsidRDefault="005A329F" w:rsidP="00DA52E0">
            <w:r>
              <w:rPr>
                <w:sz w:val="18"/>
                <w:szCs w:val="18"/>
              </w:rPr>
              <w:t>Table 9 — Per-class multiclass metrics</w:t>
            </w:r>
          </w:p>
        </w:tc>
        <w:tc>
          <w:tcPr>
            <w:tcW w:w="3600" w:type="dxa"/>
          </w:tcPr>
          <w:p w:rsidR="005A329F" w:rsidRDefault="005A329F" w:rsidP="00DA52E0">
            <w:r>
              <w:rPr>
                <w:sz w:val="18"/>
                <w:szCs w:val="18"/>
              </w:rPr>
              <w:t>Supplementary Table S5</w:t>
            </w:r>
          </w:p>
        </w:tc>
        <w:tc>
          <w:tcPr>
            <w:tcW w:w="1400" w:type="dxa"/>
          </w:tcPr>
          <w:p w:rsidR="005A329F" w:rsidRDefault="005A329F" w:rsidP="00DA52E0">
            <w:r>
              <w:rPr>
                <w:sz w:val="18"/>
                <w:szCs w:val="18"/>
              </w:rPr>
              <w:t>S4</w:t>
            </w:r>
          </w:p>
        </w:tc>
      </w:tr>
      <w:tr w:rsidR="005A329F" w:rsidTr="00DA52E0">
        <w:tc>
          <w:tcPr>
            <w:tcW w:w="4000" w:type="dxa"/>
          </w:tcPr>
          <w:p w:rsidR="005A329F" w:rsidRDefault="005A329F" w:rsidP="00DA52E0">
            <w:r>
              <w:rPr>
                <w:sz w:val="18"/>
                <w:szCs w:val="18"/>
              </w:rPr>
              <w:t>Table 10 — Efficiency, binary (full)</w:t>
            </w:r>
          </w:p>
        </w:tc>
        <w:tc>
          <w:tcPr>
            <w:tcW w:w="3600" w:type="dxa"/>
          </w:tcPr>
          <w:p w:rsidR="005A329F" w:rsidRDefault="005A329F" w:rsidP="00DA52E0">
            <w:r>
              <w:rPr>
                <w:sz w:val="18"/>
                <w:szCs w:val="18"/>
              </w:rPr>
              <w:t>Supplementary Table S9</w:t>
            </w:r>
          </w:p>
        </w:tc>
        <w:tc>
          <w:tcPr>
            <w:tcW w:w="1400" w:type="dxa"/>
          </w:tcPr>
          <w:p w:rsidR="005A329F" w:rsidRDefault="005A329F" w:rsidP="00DA52E0">
            <w:r>
              <w:rPr>
                <w:sz w:val="18"/>
                <w:szCs w:val="18"/>
              </w:rPr>
              <w:t>S6</w:t>
            </w:r>
          </w:p>
        </w:tc>
      </w:tr>
      <w:tr w:rsidR="005A329F" w:rsidTr="00DA52E0">
        <w:tc>
          <w:tcPr>
            <w:tcW w:w="4000" w:type="dxa"/>
          </w:tcPr>
          <w:p w:rsidR="005A329F" w:rsidRDefault="005A329F" w:rsidP="00DA52E0">
            <w:r>
              <w:rPr>
                <w:sz w:val="18"/>
                <w:szCs w:val="18"/>
              </w:rPr>
              <w:t>Table 11 — Efficiency, multiclass (full)</w:t>
            </w:r>
          </w:p>
        </w:tc>
        <w:tc>
          <w:tcPr>
            <w:tcW w:w="3600" w:type="dxa"/>
          </w:tcPr>
          <w:p w:rsidR="005A329F" w:rsidRDefault="005A329F" w:rsidP="00DA52E0">
            <w:r>
              <w:rPr>
                <w:sz w:val="18"/>
                <w:szCs w:val="18"/>
              </w:rPr>
              <w:t>Supplementary Table S10</w:t>
            </w:r>
          </w:p>
        </w:tc>
        <w:tc>
          <w:tcPr>
            <w:tcW w:w="1400" w:type="dxa"/>
          </w:tcPr>
          <w:p w:rsidR="005A329F" w:rsidRDefault="005A329F" w:rsidP="00DA52E0">
            <w:r>
              <w:rPr>
                <w:sz w:val="18"/>
                <w:szCs w:val="18"/>
              </w:rPr>
              <w:t>S6</w:t>
            </w:r>
          </w:p>
        </w:tc>
      </w:tr>
      <w:tr w:rsidR="005A329F" w:rsidTr="00DA52E0">
        <w:tc>
          <w:tcPr>
            <w:tcW w:w="4000" w:type="dxa"/>
          </w:tcPr>
          <w:p w:rsidR="005A329F" w:rsidRDefault="005A329F" w:rsidP="00DA52E0">
            <w:r>
              <w:rPr>
                <w:sz w:val="18"/>
                <w:szCs w:val="18"/>
              </w:rPr>
              <w:t>Table A.1 — Binary train/validation metrics</w:t>
            </w:r>
          </w:p>
        </w:tc>
        <w:tc>
          <w:tcPr>
            <w:tcW w:w="3600" w:type="dxa"/>
          </w:tcPr>
          <w:p w:rsidR="005A329F" w:rsidRDefault="005A329F" w:rsidP="00DA52E0">
            <w:r>
              <w:rPr>
                <w:sz w:val="18"/>
                <w:szCs w:val="18"/>
              </w:rPr>
              <w:t>Supplementary Table S6</w:t>
            </w:r>
          </w:p>
        </w:tc>
        <w:tc>
          <w:tcPr>
            <w:tcW w:w="1400" w:type="dxa"/>
          </w:tcPr>
          <w:p w:rsidR="005A329F" w:rsidRDefault="005A329F" w:rsidP="00DA52E0">
            <w:r>
              <w:rPr>
                <w:sz w:val="18"/>
                <w:szCs w:val="18"/>
              </w:rPr>
              <w:t>S5</w:t>
            </w:r>
          </w:p>
        </w:tc>
      </w:tr>
      <w:tr w:rsidR="005A329F" w:rsidTr="00DA52E0">
        <w:tc>
          <w:tcPr>
            <w:tcW w:w="4000" w:type="dxa"/>
          </w:tcPr>
          <w:p w:rsidR="005A329F" w:rsidRDefault="005A329F" w:rsidP="00DA52E0">
            <w:r>
              <w:rPr>
                <w:sz w:val="18"/>
                <w:szCs w:val="18"/>
              </w:rPr>
              <w:t>Table B.1 — Multiclass train/validation metrics</w:t>
            </w:r>
          </w:p>
        </w:tc>
        <w:tc>
          <w:tcPr>
            <w:tcW w:w="3600" w:type="dxa"/>
          </w:tcPr>
          <w:p w:rsidR="005A329F" w:rsidRDefault="005A329F" w:rsidP="00DA52E0">
            <w:r>
              <w:rPr>
                <w:sz w:val="18"/>
                <w:szCs w:val="18"/>
              </w:rPr>
              <w:t>Supplementary Table S7</w:t>
            </w:r>
          </w:p>
        </w:tc>
        <w:tc>
          <w:tcPr>
            <w:tcW w:w="1400" w:type="dxa"/>
          </w:tcPr>
          <w:p w:rsidR="005A329F" w:rsidRDefault="005A329F" w:rsidP="00DA52E0">
            <w:r>
              <w:rPr>
                <w:sz w:val="18"/>
                <w:szCs w:val="18"/>
              </w:rPr>
              <w:t>S5</w:t>
            </w:r>
          </w:p>
        </w:tc>
      </w:tr>
      <w:tr w:rsidR="005A329F" w:rsidTr="00DA52E0">
        <w:tc>
          <w:tcPr>
            <w:tcW w:w="4000" w:type="dxa"/>
          </w:tcPr>
          <w:p w:rsidR="005A329F" w:rsidRDefault="005A329F" w:rsidP="00DA52E0">
            <w:r>
              <w:rPr>
                <w:sz w:val="18"/>
                <w:szCs w:val="18"/>
              </w:rPr>
              <w:t>Figure 3 — Binary class distribution</w:t>
            </w:r>
          </w:p>
        </w:tc>
        <w:tc>
          <w:tcPr>
            <w:tcW w:w="3600" w:type="dxa"/>
          </w:tcPr>
          <w:p w:rsidR="005A329F" w:rsidRDefault="005A329F" w:rsidP="00DA52E0">
            <w:r>
              <w:rPr>
                <w:sz w:val="18"/>
                <w:szCs w:val="18"/>
              </w:rPr>
              <w:t>Supplementary Figure S3</w:t>
            </w:r>
          </w:p>
        </w:tc>
        <w:tc>
          <w:tcPr>
            <w:tcW w:w="1400" w:type="dxa"/>
          </w:tcPr>
          <w:p w:rsidR="005A329F" w:rsidRDefault="005A329F" w:rsidP="00DA52E0">
            <w:r>
              <w:rPr>
                <w:sz w:val="18"/>
                <w:szCs w:val="18"/>
              </w:rPr>
              <w:t>S1</w:t>
            </w:r>
          </w:p>
        </w:tc>
      </w:tr>
      <w:tr w:rsidR="005A329F" w:rsidTr="00DA52E0">
        <w:tc>
          <w:tcPr>
            <w:tcW w:w="4000" w:type="dxa"/>
          </w:tcPr>
          <w:p w:rsidR="005A329F" w:rsidRDefault="005A329F" w:rsidP="00DA52E0">
            <w:r>
              <w:rPr>
                <w:sz w:val="18"/>
                <w:szCs w:val="18"/>
              </w:rPr>
              <w:t>Figure 6 — Augmentation examples</w:t>
            </w:r>
          </w:p>
        </w:tc>
        <w:tc>
          <w:tcPr>
            <w:tcW w:w="3600" w:type="dxa"/>
          </w:tcPr>
          <w:p w:rsidR="005A329F" w:rsidRDefault="005A329F" w:rsidP="00DA52E0">
            <w:r>
              <w:rPr>
                <w:sz w:val="18"/>
                <w:szCs w:val="18"/>
              </w:rPr>
              <w:t>Supplementary Figure S6</w:t>
            </w:r>
          </w:p>
        </w:tc>
        <w:tc>
          <w:tcPr>
            <w:tcW w:w="1400" w:type="dxa"/>
          </w:tcPr>
          <w:p w:rsidR="005A329F" w:rsidRDefault="005A329F" w:rsidP="00DA52E0">
            <w:r>
              <w:rPr>
                <w:sz w:val="18"/>
                <w:szCs w:val="18"/>
              </w:rPr>
              <w:t>S3</w:t>
            </w:r>
          </w:p>
        </w:tc>
      </w:tr>
      <w:tr w:rsidR="005A329F" w:rsidTr="00DA52E0">
        <w:tc>
          <w:tcPr>
            <w:tcW w:w="4000" w:type="dxa"/>
          </w:tcPr>
          <w:p w:rsidR="005A329F" w:rsidRDefault="005A329F" w:rsidP="00DA52E0">
            <w:r>
              <w:rPr>
                <w:sz w:val="18"/>
                <w:szCs w:val="18"/>
              </w:rPr>
              <w:t>Figure 7 — EfficientNetB0 binary training curves</w:t>
            </w:r>
          </w:p>
        </w:tc>
        <w:tc>
          <w:tcPr>
            <w:tcW w:w="3600" w:type="dxa"/>
          </w:tcPr>
          <w:p w:rsidR="005A329F" w:rsidRDefault="005A329F" w:rsidP="00DA52E0">
            <w:r>
              <w:rPr>
                <w:sz w:val="18"/>
                <w:szCs w:val="18"/>
              </w:rPr>
              <w:t>Supplementary Figure S7 (extended to all models)</w:t>
            </w:r>
          </w:p>
        </w:tc>
        <w:tc>
          <w:tcPr>
            <w:tcW w:w="1400" w:type="dxa"/>
          </w:tcPr>
          <w:p w:rsidR="005A329F" w:rsidRDefault="005A329F" w:rsidP="00DA52E0">
            <w:r>
              <w:rPr>
                <w:sz w:val="18"/>
                <w:szCs w:val="18"/>
              </w:rPr>
              <w:t>S5</w:t>
            </w:r>
          </w:p>
        </w:tc>
      </w:tr>
      <w:tr w:rsidR="005A329F" w:rsidTr="00DA52E0">
        <w:tc>
          <w:tcPr>
            <w:tcW w:w="4000" w:type="dxa"/>
          </w:tcPr>
          <w:p w:rsidR="005A329F" w:rsidRDefault="005A329F" w:rsidP="00DA52E0">
            <w:r>
              <w:rPr>
                <w:sz w:val="18"/>
                <w:szCs w:val="18"/>
              </w:rPr>
              <w:t>Figure 10 — EfficientNetB0 binary ROC/PR</w:t>
            </w:r>
          </w:p>
        </w:tc>
        <w:tc>
          <w:tcPr>
            <w:tcW w:w="3600" w:type="dxa"/>
          </w:tcPr>
          <w:p w:rsidR="005A329F" w:rsidRDefault="005A329F" w:rsidP="00DA52E0">
            <w:r>
              <w:rPr>
                <w:sz w:val="18"/>
                <w:szCs w:val="18"/>
              </w:rPr>
              <w:t>Supplementary Figure S9 (extended to all models)</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11 — EfficientNetB0 binary per-class metrics</w:t>
            </w:r>
          </w:p>
        </w:tc>
        <w:tc>
          <w:tcPr>
            <w:tcW w:w="3600" w:type="dxa"/>
          </w:tcPr>
          <w:p w:rsidR="005A329F" w:rsidRDefault="005A329F" w:rsidP="00DA52E0">
            <w:r>
              <w:rPr>
                <w:sz w:val="18"/>
                <w:szCs w:val="18"/>
              </w:rPr>
              <w:t>Supplementary Figure S12</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12 — EfficientNetB0 binary reliability</w:t>
            </w:r>
          </w:p>
        </w:tc>
        <w:tc>
          <w:tcPr>
            <w:tcW w:w="3600" w:type="dxa"/>
          </w:tcPr>
          <w:p w:rsidR="005A329F" w:rsidRDefault="005A329F" w:rsidP="00DA52E0">
            <w:r>
              <w:rPr>
                <w:sz w:val="18"/>
                <w:szCs w:val="18"/>
              </w:rPr>
              <w:t>Supplementary Figure S11 (extended to all models)</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13 — EfficientNetB0 binary predictions</w:t>
            </w:r>
          </w:p>
        </w:tc>
        <w:tc>
          <w:tcPr>
            <w:tcW w:w="3600" w:type="dxa"/>
          </w:tcPr>
          <w:p w:rsidR="005A329F" w:rsidRDefault="005A329F" w:rsidP="00DA52E0">
            <w:r>
              <w:rPr>
                <w:sz w:val="18"/>
                <w:szCs w:val="18"/>
              </w:rPr>
              <w:t>Supplementary Figure S13</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 xml:space="preserve">Figure 15 — </w:t>
            </w:r>
            <w:proofErr w:type="spellStart"/>
            <w:r>
              <w:rPr>
                <w:sz w:val="18"/>
                <w:szCs w:val="18"/>
              </w:rPr>
              <w:t>Swin</w:t>
            </w:r>
            <w:proofErr w:type="spellEnd"/>
            <w:r>
              <w:rPr>
                <w:sz w:val="18"/>
                <w:szCs w:val="18"/>
              </w:rPr>
              <w:t>-Base multiclass ROC/PR</w:t>
            </w:r>
          </w:p>
        </w:tc>
        <w:tc>
          <w:tcPr>
            <w:tcW w:w="3600" w:type="dxa"/>
          </w:tcPr>
          <w:p w:rsidR="005A329F" w:rsidRDefault="005A329F" w:rsidP="00DA52E0">
            <w:r>
              <w:rPr>
                <w:sz w:val="18"/>
                <w:szCs w:val="18"/>
              </w:rPr>
              <w:t>Supplementary Figure S10</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16 — EfficientNetB0 multiclass training curves</w:t>
            </w:r>
          </w:p>
        </w:tc>
        <w:tc>
          <w:tcPr>
            <w:tcW w:w="3600" w:type="dxa"/>
          </w:tcPr>
          <w:p w:rsidR="005A329F" w:rsidRDefault="005A329F" w:rsidP="00DA52E0">
            <w:r>
              <w:rPr>
                <w:sz w:val="18"/>
                <w:szCs w:val="18"/>
              </w:rPr>
              <w:t>Supplementary Figure S8 (extended to all models)</w:t>
            </w:r>
          </w:p>
        </w:tc>
        <w:tc>
          <w:tcPr>
            <w:tcW w:w="1400" w:type="dxa"/>
          </w:tcPr>
          <w:p w:rsidR="005A329F" w:rsidRDefault="005A329F" w:rsidP="00DA52E0">
            <w:r>
              <w:rPr>
                <w:sz w:val="18"/>
                <w:szCs w:val="18"/>
              </w:rPr>
              <w:t>S5</w:t>
            </w:r>
          </w:p>
        </w:tc>
      </w:tr>
      <w:tr w:rsidR="005A329F" w:rsidTr="00DA52E0">
        <w:tc>
          <w:tcPr>
            <w:tcW w:w="4000" w:type="dxa"/>
          </w:tcPr>
          <w:p w:rsidR="005A329F" w:rsidRDefault="005A329F" w:rsidP="00DA52E0">
            <w:r>
              <w:rPr>
                <w:sz w:val="18"/>
                <w:szCs w:val="18"/>
              </w:rPr>
              <w:t>Figure 18 — EfficientNetB0 multiclass ROC/PR</w:t>
            </w:r>
          </w:p>
        </w:tc>
        <w:tc>
          <w:tcPr>
            <w:tcW w:w="3600" w:type="dxa"/>
          </w:tcPr>
          <w:p w:rsidR="005A329F" w:rsidRDefault="005A329F" w:rsidP="00DA52E0">
            <w:r>
              <w:rPr>
                <w:sz w:val="18"/>
                <w:szCs w:val="18"/>
              </w:rPr>
              <w:t>Supplementary Figure S10</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19 — EfficientNetB0 multiclass reliability</w:t>
            </w:r>
          </w:p>
        </w:tc>
        <w:tc>
          <w:tcPr>
            <w:tcW w:w="3600" w:type="dxa"/>
          </w:tcPr>
          <w:p w:rsidR="005A329F" w:rsidRDefault="005A329F" w:rsidP="00DA52E0">
            <w:r>
              <w:rPr>
                <w:sz w:val="18"/>
                <w:szCs w:val="18"/>
              </w:rPr>
              <w:t>Supplementary Figure S11</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20 — EfficientNetB0 multiclass per-class metrics</w:t>
            </w:r>
          </w:p>
        </w:tc>
        <w:tc>
          <w:tcPr>
            <w:tcW w:w="3600" w:type="dxa"/>
          </w:tcPr>
          <w:p w:rsidR="005A329F" w:rsidRDefault="005A329F" w:rsidP="00DA52E0">
            <w:r>
              <w:rPr>
                <w:sz w:val="18"/>
                <w:szCs w:val="18"/>
              </w:rPr>
              <w:t>Supplementary Figure S12</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 21 — EfficientNetB0 multiclass predictions</w:t>
            </w:r>
          </w:p>
        </w:tc>
        <w:tc>
          <w:tcPr>
            <w:tcW w:w="3600" w:type="dxa"/>
          </w:tcPr>
          <w:p w:rsidR="005A329F" w:rsidRDefault="005A329F" w:rsidP="00DA52E0">
            <w:r>
              <w:rPr>
                <w:sz w:val="18"/>
                <w:szCs w:val="18"/>
              </w:rPr>
              <w:t>Supplementary Figure S13</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Figures 8, 9, 14, 17 — validation panels and row-normalised panels</w:t>
            </w:r>
          </w:p>
        </w:tc>
        <w:tc>
          <w:tcPr>
            <w:tcW w:w="3600" w:type="dxa"/>
          </w:tcPr>
          <w:p w:rsidR="005A329F" w:rsidRDefault="005A329F" w:rsidP="00DA52E0">
            <w:r>
              <w:rPr>
                <w:sz w:val="18"/>
                <w:szCs w:val="18"/>
              </w:rPr>
              <w:t>Supplementary Figure S14</w:t>
            </w:r>
          </w:p>
        </w:tc>
        <w:tc>
          <w:tcPr>
            <w:tcW w:w="1400" w:type="dxa"/>
          </w:tcPr>
          <w:p w:rsidR="005A329F" w:rsidRDefault="005A329F" w:rsidP="00DA52E0">
            <w:r>
              <w:rPr>
                <w:sz w:val="18"/>
                <w:szCs w:val="18"/>
              </w:rPr>
              <w:t>S7</w:t>
            </w:r>
          </w:p>
        </w:tc>
      </w:tr>
      <w:tr w:rsidR="005A329F" w:rsidTr="00DA52E0">
        <w:tc>
          <w:tcPr>
            <w:tcW w:w="4000" w:type="dxa"/>
          </w:tcPr>
          <w:p w:rsidR="005A329F" w:rsidRDefault="005A329F" w:rsidP="00DA52E0">
            <w:r>
              <w:rPr>
                <w:sz w:val="18"/>
                <w:szCs w:val="18"/>
              </w:rPr>
              <w:t>Figures 22, 23 — Grad-CAM, correct cases</w:t>
            </w:r>
          </w:p>
        </w:tc>
        <w:tc>
          <w:tcPr>
            <w:tcW w:w="3600" w:type="dxa"/>
          </w:tcPr>
          <w:p w:rsidR="005A329F" w:rsidRDefault="005A329F" w:rsidP="00DA52E0">
            <w:r>
              <w:rPr>
                <w:sz w:val="18"/>
                <w:szCs w:val="18"/>
              </w:rPr>
              <w:t>Supplementary Figure S15 (test panels merged into main Fig. 8)</w:t>
            </w:r>
          </w:p>
        </w:tc>
        <w:tc>
          <w:tcPr>
            <w:tcW w:w="1400" w:type="dxa"/>
          </w:tcPr>
          <w:p w:rsidR="005A329F" w:rsidRDefault="005A329F" w:rsidP="00DA52E0">
            <w:r>
              <w:rPr>
                <w:sz w:val="18"/>
                <w:szCs w:val="18"/>
              </w:rPr>
              <w:t>S8</w:t>
            </w:r>
          </w:p>
        </w:tc>
      </w:tr>
      <w:tr w:rsidR="005A329F" w:rsidTr="00DA52E0">
        <w:tc>
          <w:tcPr>
            <w:tcW w:w="4000" w:type="dxa"/>
          </w:tcPr>
          <w:p w:rsidR="005A329F" w:rsidRDefault="005A329F" w:rsidP="00DA52E0">
            <w:r>
              <w:rPr>
                <w:sz w:val="18"/>
                <w:szCs w:val="18"/>
              </w:rPr>
              <w:t>Figures 25, 26 — Grad-CAM, misclassified cases</w:t>
            </w:r>
          </w:p>
        </w:tc>
        <w:tc>
          <w:tcPr>
            <w:tcW w:w="3600" w:type="dxa"/>
          </w:tcPr>
          <w:p w:rsidR="005A329F" w:rsidRDefault="005A329F" w:rsidP="00DA52E0">
            <w:r>
              <w:rPr>
                <w:sz w:val="18"/>
                <w:szCs w:val="18"/>
              </w:rPr>
              <w:t>Supplementary Figure S16</w:t>
            </w:r>
          </w:p>
        </w:tc>
        <w:tc>
          <w:tcPr>
            <w:tcW w:w="1400" w:type="dxa"/>
          </w:tcPr>
          <w:p w:rsidR="005A329F" w:rsidRDefault="005A329F" w:rsidP="00DA52E0">
            <w:r>
              <w:rPr>
                <w:sz w:val="18"/>
                <w:szCs w:val="18"/>
              </w:rPr>
              <w:t>S8</w:t>
            </w:r>
          </w:p>
        </w:tc>
      </w:tr>
      <w:tr w:rsidR="005A329F" w:rsidTr="00DA52E0">
        <w:tc>
          <w:tcPr>
            <w:tcW w:w="4000" w:type="dxa"/>
          </w:tcPr>
          <w:p w:rsidR="005A329F" w:rsidRDefault="005A329F" w:rsidP="00DA52E0">
            <w:r>
              <w:rPr>
                <w:sz w:val="18"/>
                <w:szCs w:val="18"/>
              </w:rPr>
              <w:t>Figure A.1, Figure B.2 — split distributions</w:t>
            </w:r>
          </w:p>
        </w:tc>
        <w:tc>
          <w:tcPr>
            <w:tcW w:w="3600" w:type="dxa"/>
          </w:tcPr>
          <w:p w:rsidR="005A329F" w:rsidRDefault="005A329F" w:rsidP="00DA52E0">
            <w:r>
              <w:rPr>
                <w:sz w:val="18"/>
                <w:szCs w:val="18"/>
              </w:rPr>
              <w:t>Supplementary Figure S4</w:t>
            </w:r>
          </w:p>
        </w:tc>
        <w:tc>
          <w:tcPr>
            <w:tcW w:w="1400" w:type="dxa"/>
          </w:tcPr>
          <w:p w:rsidR="005A329F" w:rsidRDefault="005A329F" w:rsidP="00DA52E0">
            <w:r>
              <w:rPr>
                <w:sz w:val="18"/>
                <w:szCs w:val="18"/>
              </w:rPr>
              <w:t>S1</w:t>
            </w:r>
          </w:p>
        </w:tc>
      </w:tr>
      <w:tr w:rsidR="005A329F" w:rsidTr="00DA52E0">
        <w:tc>
          <w:tcPr>
            <w:tcW w:w="4000" w:type="dxa"/>
          </w:tcPr>
          <w:p w:rsidR="005A329F" w:rsidRDefault="005A329F" w:rsidP="00DA52E0">
            <w:r>
              <w:rPr>
                <w:sz w:val="18"/>
                <w:szCs w:val="18"/>
              </w:rPr>
              <w:t>Figure A.2 — Binary image dimensions/intensities</w:t>
            </w:r>
          </w:p>
        </w:tc>
        <w:tc>
          <w:tcPr>
            <w:tcW w:w="3600" w:type="dxa"/>
          </w:tcPr>
          <w:p w:rsidR="005A329F" w:rsidRDefault="005A329F" w:rsidP="00DA52E0">
            <w:r>
              <w:rPr>
                <w:sz w:val="18"/>
                <w:szCs w:val="18"/>
              </w:rPr>
              <w:t>Supplementary Figure S1</w:t>
            </w:r>
          </w:p>
        </w:tc>
        <w:tc>
          <w:tcPr>
            <w:tcW w:w="1400" w:type="dxa"/>
          </w:tcPr>
          <w:p w:rsidR="005A329F" w:rsidRDefault="005A329F" w:rsidP="00DA52E0">
            <w:r>
              <w:rPr>
                <w:sz w:val="18"/>
                <w:szCs w:val="18"/>
              </w:rPr>
              <w:t>S1</w:t>
            </w:r>
          </w:p>
        </w:tc>
      </w:tr>
      <w:tr w:rsidR="005A329F" w:rsidTr="00DA52E0">
        <w:tc>
          <w:tcPr>
            <w:tcW w:w="4000" w:type="dxa"/>
          </w:tcPr>
          <w:p w:rsidR="005A329F" w:rsidRDefault="005A329F" w:rsidP="00DA52E0">
            <w:r>
              <w:rPr>
                <w:sz w:val="18"/>
                <w:szCs w:val="18"/>
              </w:rPr>
              <w:t>Figure B.3 — Multiclass image dimensions/intensities</w:t>
            </w:r>
          </w:p>
        </w:tc>
        <w:tc>
          <w:tcPr>
            <w:tcW w:w="3600" w:type="dxa"/>
          </w:tcPr>
          <w:p w:rsidR="005A329F" w:rsidRDefault="005A329F" w:rsidP="00DA52E0">
            <w:r>
              <w:rPr>
                <w:sz w:val="18"/>
                <w:szCs w:val="18"/>
              </w:rPr>
              <w:t>Supplementary Figure S2</w:t>
            </w:r>
          </w:p>
        </w:tc>
        <w:tc>
          <w:tcPr>
            <w:tcW w:w="1400" w:type="dxa"/>
          </w:tcPr>
          <w:p w:rsidR="005A329F" w:rsidRDefault="005A329F" w:rsidP="00DA52E0">
            <w:r>
              <w:rPr>
                <w:sz w:val="18"/>
                <w:szCs w:val="18"/>
              </w:rPr>
              <w:t>S1</w:t>
            </w:r>
          </w:p>
        </w:tc>
      </w:tr>
      <w:tr w:rsidR="005A329F" w:rsidTr="00DA52E0">
        <w:tc>
          <w:tcPr>
            <w:tcW w:w="4000" w:type="dxa"/>
          </w:tcPr>
          <w:p w:rsidR="005A329F" w:rsidRDefault="005A329F" w:rsidP="00DA52E0">
            <w:r>
              <w:rPr>
                <w:sz w:val="18"/>
                <w:szCs w:val="18"/>
              </w:rPr>
              <w:t>Figure B.1 — Pre-</w:t>
            </w:r>
            <w:proofErr w:type="spellStart"/>
            <w:r>
              <w:rPr>
                <w:sz w:val="18"/>
                <w:szCs w:val="18"/>
              </w:rPr>
              <w:t>dedup</w:t>
            </w:r>
            <w:proofErr w:type="spellEnd"/>
            <w:r>
              <w:rPr>
                <w:sz w:val="18"/>
                <w:szCs w:val="18"/>
              </w:rPr>
              <w:t xml:space="preserve"> class distribution</w:t>
            </w:r>
          </w:p>
        </w:tc>
        <w:tc>
          <w:tcPr>
            <w:tcW w:w="3600" w:type="dxa"/>
          </w:tcPr>
          <w:p w:rsidR="005A329F" w:rsidRDefault="005A329F" w:rsidP="00DA52E0">
            <w:r>
              <w:rPr>
                <w:sz w:val="18"/>
                <w:szCs w:val="18"/>
              </w:rPr>
              <w:t>DELETE (duplicates Figure 5 upper panel)</w:t>
            </w:r>
          </w:p>
        </w:tc>
        <w:tc>
          <w:tcPr>
            <w:tcW w:w="1400" w:type="dxa"/>
          </w:tcPr>
          <w:p w:rsidR="005A329F" w:rsidRDefault="005A329F" w:rsidP="00DA52E0">
            <w:r>
              <w:rPr>
                <w:sz w:val="18"/>
                <w:szCs w:val="18"/>
              </w:rPr>
              <w:t>—</w:t>
            </w:r>
          </w:p>
        </w:tc>
      </w:tr>
    </w:tbl>
    <w:p w:rsidR="005A329F" w:rsidRDefault="005A329F" w:rsidP="005A329F">
      <w:pPr>
        <w:pStyle w:val="Heading1"/>
        <w:spacing w:before="400" w:after="180"/>
      </w:pPr>
    </w:p>
    <w:sectPr w:rsidR="005A329F" w:rsidSect="002A19C2">
      <w:pgSz w:w="11906" w:h="16838"/>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2E86" w:rsidRDefault="00882E86">
      <w:r>
        <w:separator/>
      </w:r>
    </w:p>
  </w:endnote>
  <w:endnote w:type="continuationSeparator" w:id="0">
    <w:p w:rsidR="00882E86" w:rsidRDefault="0088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2E86" w:rsidRDefault="00882E86">
      <w:r>
        <w:separator/>
      </w:r>
    </w:p>
  </w:footnote>
  <w:footnote w:type="continuationSeparator" w:id="0">
    <w:p w:rsidR="00882E86" w:rsidRDefault="00882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3434"/>
    <w:multiLevelType w:val="hybridMultilevel"/>
    <w:tmpl w:val="CEE02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B81BD8"/>
    <w:multiLevelType w:val="hybridMultilevel"/>
    <w:tmpl w:val="EC60E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B83CAC"/>
    <w:multiLevelType w:val="hybridMultilevel"/>
    <w:tmpl w:val="BBD46990"/>
    <w:lvl w:ilvl="0" w:tplc="2C528BB4">
      <w:start w:val="1"/>
      <w:numFmt w:val="bullet"/>
      <w:lvlText w:val="●"/>
      <w:lvlJc w:val="left"/>
      <w:pPr>
        <w:ind w:left="720" w:hanging="360"/>
      </w:pPr>
    </w:lvl>
    <w:lvl w:ilvl="1" w:tplc="E02C7766">
      <w:start w:val="1"/>
      <w:numFmt w:val="bullet"/>
      <w:lvlText w:val="○"/>
      <w:lvlJc w:val="left"/>
      <w:pPr>
        <w:ind w:left="1440" w:hanging="360"/>
      </w:pPr>
    </w:lvl>
    <w:lvl w:ilvl="2" w:tplc="2272B132">
      <w:start w:val="1"/>
      <w:numFmt w:val="bullet"/>
      <w:lvlText w:val="■"/>
      <w:lvlJc w:val="left"/>
      <w:pPr>
        <w:ind w:left="2160" w:hanging="360"/>
      </w:pPr>
    </w:lvl>
    <w:lvl w:ilvl="3" w:tplc="774C0BEC">
      <w:start w:val="1"/>
      <w:numFmt w:val="bullet"/>
      <w:lvlText w:val="●"/>
      <w:lvlJc w:val="left"/>
      <w:pPr>
        <w:ind w:left="2880" w:hanging="360"/>
      </w:pPr>
    </w:lvl>
    <w:lvl w:ilvl="4" w:tplc="A8962332">
      <w:start w:val="1"/>
      <w:numFmt w:val="bullet"/>
      <w:lvlText w:val="○"/>
      <w:lvlJc w:val="left"/>
      <w:pPr>
        <w:ind w:left="3600" w:hanging="360"/>
      </w:pPr>
    </w:lvl>
    <w:lvl w:ilvl="5" w:tplc="BB5666BE">
      <w:start w:val="1"/>
      <w:numFmt w:val="bullet"/>
      <w:lvlText w:val="■"/>
      <w:lvlJc w:val="left"/>
      <w:pPr>
        <w:ind w:left="4320" w:hanging="360"/>
      </w:pPr>
    </w:lvl>
    <w:lvl w:ilvl="6" w:tplc="E4807DB2">
      <w:start w:val="1"/>
      <w:numFmt w:val="bullet"/>
      <w:lvlText w:val="●"/>
      <w:lvlJc w:val="left"/>
      <w:pPr>
        <w:ind w:left="5040" w:hanging="360"/>
      </w:pPr>
    </w:lvl>
    <w:lvl w:ilvl="7" w:tplc="755A8834">
      <w:start w:val="1"/>
      <w:numFmt w:val="bullet"/>
      <w:lvlText w:val="●"/>
      <w:lvlJc w:val="left"/>
      <w:pPr>
        <w:ind w:left="5760" w:hanging="360"/>
      </w:pPr>
    </w:lvl>
    <w:lvl w:ilvl="8" w:tplc="C8307E3C">
      <w:start w:val="1"/>
      <w:numFmt w:val="bullet"/>
      <w:lvlText w:val="●"/>
      <w:lvlJc w:val="left"/>
      <w:pPr>
        <w:ind w:left="6480" w:hanging="360"/>
      </w:pPr>
    </w:lvl>
  </w:abstractNum>
  <w:abstractNum w:abstractNumId="3" w15:restartNumberingAfterBreak="0">
    <w:nsid w:val="6FA55D86"/>
    <w:multiLevelType w:val="hybridMultilevel"/>
    <w:tmpl w:val="61C07F94"/>
    <w:lvl w:ilvl="0" w:tplc="E9E81828">
      <w:start w:val="1"/>
      <w:numFmt w:val="bullet"/>
      <w:lvlText w:val="•"/>
      <w:lvlJc w:val="left"/>
      <w:pPr>
        <w:ind w:left="460" w:hanging="240"/>
      </w:pPr>
    </w:lvl>
    <w:lvl w:ilvl="1" w:tplc="FC3AE45A">
      <w:start w:val="1"/>
      <w:numFmt w:val="bullet"/>
      <w:lvlText w:val="◦"/>
      <w:lvlJc w:val="left"/>
      <w:pPr>
        <w:ind w:left="900" w:hanging="240"/>
      </w:pPr>
    </w:lvl>
    <w:lvl w:ilvl="2" w:tplc="F856B300">
      <w:start w:val="1"/>
      <w:numFmt w:val="bullet"/>
      <w:lvlText w:val="▪"/>
      <w:lvlJc w:val="left"/>
      <w:pPr>
        <w:ind w:left="1340" w:hanging="240"/>
      </w:pPr>
    </w:lvl>
    <w:lvl w:ilvl="3" w:tplc="7AF806D2">
      <w:numFmt w:val="decimal"/>
      <w:lvlText w:val=""/>
      <w:lvlJc w:val="left"/>
    </w:lvl>
    <w:lvl w:ilvl="4" w:tplc="06C28DDC">
      <w:numFmt w:val="decimal"/>
      <w:lvlText w:val=""/>
      <w:lvlJc w:val="left"/>
    </w:lvl>
    <w:lvl w:ilvl="5" w:tplc="A1D28760">
      <w:numFmt w:val="decimal"/>
      <w:lvlText w:val=""/>
      <w:lvlJc w:val="left"/>
    </w:lvl>
    <w:lvl w:ilvl="6" w:tplc="00400A34">
      <w:numFmt w:val="decimal"/>
      <w:lvlText w:val=""/>
      <w:lvlJc w:val="left"/>
    </w:lvl>
    <w:lvl w:ilvl="7" w:tplc="DD8A981E">
      <w:numFmt w:val="decimal"/>
      <w:lvlText w:val=""/>
      <w:lvlJc w:val="left"/>
    </w:lvl>
    <w:lvl w:ilvl="8" w:tplc="1F4E3AC0">
      <w:numFmt w:val="decimal"/>
      <w:lvlText w:val=""/>
      <w:lvlJc w:val="left"/>
    </w:lvl>
  </w:abstractNum>
  <w:num w:numId="1" w16cid:durableId="1735546229">
    <w:abstractNumId w:val="2"/>
    <w:lvlOverride w:ilvl="0">
      <w:startOverride w:val="1"/>
    </w:lvlOverride>
  </w:num>
  <w:num w:numId="2" w16cid:durableId="55667622">
    <w:abstractNumId w:val="3"/>
    <w:lvlOverride w:ilvl="0">
      <w:startOverride w:val="1"/>
    </w:lvlOverride>
  </w:num>
  <w:num w:numId="3" w16cid:durableId="110787892">
    <w:abstractNumId w:val="0"/>
  </w:num>
  <w:num w:numId="4" w16cid:durableId="1522359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0C2"/>
    <w:rsid w:val="0005531F"/>
    <w:rsid w:val="000A6DB5"/>
    <w:rsid w:val="0015026A"/>
    <w:rsid w:val="001805B0"/>
    <w:rsid w:val="001857BB"/>
    <w:rsid w:val="002935F0"/>
    <w:rsid w:val="002A19C2"/>
    <w:rsid w:val="0034792B"/>
    <w:rsid w:val="003965FD"/>
    <w:rsid w:val="00412EA2"/>
    <w:rsid w:val="00477727"/>
    <w:rsid w:val="004B6B19"/>
    <w:rsid w:val="005A329F"/>
    <w:rsid w:val="005E18C2"/>
    <w:rsid w:val="0064592E"/>
    <w:rsid w:val="006A1B4F"/>
    <w:rsid w:val="006A70C2"/>
    <w:rsid w:val="006C16BE"/>
    <w:rsid w:val="006C407A"/>
    <w:rsid w:val="006F6376"/>
    <w:rsid w:val="00762116"/>
    <w:rsid w:val="00797E93"/>
    <w:rsid w:val="007E7B66"/>
    <w:rsid w:val="00817D19"/>
    <w:rsid w:val="00882E86"/>
    <w:rsid w:val="008E0107"/>
    <w:rsid w:val="00973747"/>
    <w:rsid w:val="009E1260"/>
    <w:rsid w:val="009F51D8"/>
    <w:rsid w:val="00A92764"/>
    <w:rsid w:val="00AD5C34"/>
    <w:rsid w:val="00AF1800"/>
    <w:rsid w:val="00AF2240"/>
    <w:rsid w:val="00B92150"/>
    <w:rsid w:val="00BD53FD"/>
    <w:rsid w:val="00CE0511"/>
    <w:rsid w:val="00D3220D"/>
    <w:rsid w:val="00D405E8"/>
    <w:rsid w:val="00DA0C65"/>
    <w:rsid w:val="00E0747B"/>
    <w:rsid w:val="00E25A1F"/>
    <w:rsid w:val="00E75DD8"/>
    <w:rsid w:val="00EB2BF5"/>
    <w:rsid w:val="00F0726C"/>
    <w:rsid w:val="00F130B8"/>
    <w:rsid w:val="00F659AC"/>
    <w:rsid w:val="00F67639"/>
    <w:rsid w:val="00F944FD"/>
    <w:rsid w:val="00FF42B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docId w15:val="{DB60C200-5A62-E244-AA2F-06A72EBF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unhideWhenUsed/>
    <w:qFormat/>
    <w:pPr>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1260"/>
    <w:pPr>
      <w:tabs>
        <w:tab w:val="center" w:pos="4513"/>
        <w:tab w:val="right" w:pos="9026"/>
      </w:tabs>
    </w:pPr>
  </w:style>
  <w:style w:type="character" w:customStyle="1" w:styleId="HeaderChar">
    <w:name w:val="Header Char"/>
    <w:basedOn w:val="DefaultParagraphFont"/>
    <w:link w:val="Header"/>
    <w:uiPriority w:val="99"/>
    <w:rsid w:val="009E1260"/>
  </w:style>
  <w:style w:type="paragraph" w:styleId="Footer">
    <w:name w:val="footer"/>
    <w:basedOn w:val="Normal"/>
    <w:link w:val="FooterChar"/>
    <w:uiPriority w:val="99"/>
    <w:unhideWhenUsed/>
    <w:rsid w:val="009E1260"/>
    <w:pPr>
      <w:tabs>
        <w:tab w:val="center" w:pos="4513"/>
        <w:tab w:val="right" w:pos="9026"/>
      </w:tabs>
    </w:pPr>
  </w:style>
  <w:style w:type="character" w:customStyle="1" w:styleId="FooterChar">
    <w:name w:val="Footer Char"/>
    <w:basedOn w:val="DefaultParagraphFont"/>
    <w:link w:val="Footer"/>
    <w:uiPriority w:val="99"/>
    <w:rsid w:val="009E1260"/>
  </w:style>
  <w:style w:type="table" w:styleId="TableGrid">
    <w:name w:val="Table Grid"/>
    <w:basedOn w:val="TableNormal"/>
    <w:uiPriority w:val="39"/>
    <w:rsid w:val="005A3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MUZAFFAR AHMAD DAR</cp:lastModifiedBy>
  <cp:revision>50</cp:revision>
  <dcterms:created xsi:type="dcterms:W3CDTF">2026-09-22T09:25:00Z</dcterms:created>
  <dcterms:modified xsi:type="dcterms:W3CDTF">2026-10-05T10:37:00Z</dcterms:modified>
</cp:coreProperties>
</file>